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Two-Arm Wet-Lab Validation Protocol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Patient TCGA-AO-A128 (confirmed TNBC) — Computational Hypotheses for Experimental Testing</w:t>
      </w:r>
    </w:p>
    <w:p>
      <w:pPr>
        <w:spacing w:after="100" w:line="260"/>
      </w:pPr>
      <w:r>
        <w:rPr>
          <w:b w:val="false"/>
          <w:bCs w:val="false"/>
          <w:sz w:val="20"/>
          <w:szCs w:val="20"/>
        </w:rPr>
        <w:t xml:space="preserve">This patient carries real, confirmed alterations in EGFR, PTEN, FLT1, TP53, ERBB2, and TYK2. The computational pipeline (MDCOE beam search + HCOS scoring) generated two mechanistically distinct hypotheses from the same genomic profile. Both are proposed for parallel testing, not sequential testing — the comparison between them is itself part of what this pilot is designed to learn.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Arm A — EGFR / PI3K / HER2-Directed Triplet  (primary hypothesis, HCOS = 0.450)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Drugs: afatinib + alpelisib + trastuzumab. (capivasertib is an equally-ranked alternative to alpelisib — both act on the same PTEN-loss-driven PI3K/AKT node; either is a valid substitution.)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Rationale: EGFR inhibition (afatinib) + PI3K inhibition targeting this patient's PTEN loss (alpelisib) + HER2-directed therapy for the ERBB2 activating mutation (trastuzumab). Real clinical precedent: the Phase II SUMMIT basket trial's cohort of HER2-mutant, non-amplified patients.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Model system: a PTEN-null, ERBB2-mutant (non-amplified) TNBC cell line or patient-derived organoid; MCF10A as a non-malignant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Design: fixed-ratio ray (afatinib × alpelisib × trastuzumab) rather than a full 3D checkerboard.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Comparator: afatinib + alpelisib alone (no trastuzumab) — isolates the HER2-directed component's specific contribution.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Readouts: viability; apoptosis; phospho-EGFR / phospho-AKT / phospho-HER2; cardiotoxicity via primary cardiomyocytes (a known trastuzumab-specific risk).</w:t>
      </w:r>
    </w:p>
    <w:p>
      <w:pPr>
        <w:spacing w:after="80" w:before="220"/>
      </w:pPr>
      <w:r>
        <w:rPr>
          <w:b/>
          <w:bCs/>
          <w:color w:val="2E7D6E"/>
          <w:sz w:val="24"/>
          <w:szCs w:val="24"/>
        </w:rPr>
        <w:t xml:space="preserve">Arm B — TP53-Directed Pairing  (secondary hypothesis, lower-ranked — see note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Drugs: adavosertib (WEE1 inhibitor) + venetoclax (BCL-2 inhibitor).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Rationale: this patient's TP53 nonsense mutation, resolved via nonsense-mediated-decay-aware zygosity logic — a mechanistically distinct, p53-independent strategy from Arm 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Model system: identical cell stock / organoid as Arm A — no new model system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Design: standard 8×8 checkerboard (adavosertib × venetoclax).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Readouts: viability; apoptosis; plus γH2AX foci and cleaved PARP (DNA-damage-response markers specific to this mechanism).</w:t>
      </w:r>
    </w:p>
    <w:p>
      <w:pPr>
        <w:pBdr>
          <w:top w:val="single" w:color="8A6D00" w:sz="4"/>
          <w:bottom w:val="single" w:color="8A6D00" w:sz="4"/>
          <w:left w:val="single" w:color="8A6D00" w:sz="4"/>
          <w:right w:val="single" w:color="8A6D00" w:sz="4"/>
        </w:pBdr>
        <w:shd w:fill="FFF6DE" w:val="clear"/>
        <w:spacing w:after="200" w:before="120"/>
        <w:ind w:left="100" w:right="100"/>
      </w:pPr>
      <w:r>
        <w:rPr>
          <w:i/>
          <w:iCs/>
          <w:sz w:val="19"/>
          <w:szCs w:val="19"/>
        </w:rPr>
        <w:t xml:space="preserve">Why Arm B is ranked lower, and why that is not a biological demotion: the current HCOS scoring formula rewards shared pathway overlap between a regimen's targets. TP53's pathway does not overlap with EGFR/PTEN/ERBB2's, so Arm B is scored lower for a scoring-design reason, not because the underlying biology is weaker. This is a stated, known limitation of the ranking model — not a hidden one.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Synergy Call Rule (both arms)</w:t>
      </w:r>
    </w:p>
    <w:p>
      <w:pPr>
        <w:spacing w:after="100" w:line="260"/>
      </w:pPr>
      <w:r>
        <w:rPr>
          <w:sz w:val="20"/>
          <w:szCs w:val="20"/>
        </w:rPr>
        <w:t xml:space="preserve">Compute Bliss independence, Loewe additivity, and HSA in parallel. A combination is only advanced as “confirmed synergistic” if ≥ 2 of 3 metrics agree — do not rely on a single synergy metric.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Anticipated Outcomes and Interpretation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700"/>
      </w:tblGrid>
      <w:tr>
        <w:trPr>
          <w:tblHeader/>
        </w:trPr>
        <w:tc>
          <w:tcPr>
            <w:tcW w:type="dxa" w:w="2600"/>
            <w:shd w:fill="2E7D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shd w:fill="2E7D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Arm B synergistic</w:t>
            </w:r>
          </w:p>
        </w:tc>
        <w:tc>
          <w:tcPr>
            <w:tcW w:type="dxa" w:w="3700"/>
            <w:shd w:fill="2E7D6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Arm B additive / antagonistic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Arm A synergistic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hypotheses validated — the strongest possible result, though least diagnostic for HCOS's ranking specifically, since both worked regardless of score.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Arm A validated, Arm B refuted — confirms HCOS's ranking was directionally correct; supports scaling the pipeline as-is.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Arm A additive / antagonistic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Arm B wins despite its lower HCOS score — this is a pre-registered, direct trigger for correcting the pathway-overlap bias in the scoring model.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Neither arm confirmed — an informative null result, motivating a more substantial revision of the synergy-scoring approach.</w:t>
            </w:r>
          </w:p>
        </w:tc>
      </w:tr>
    </w:tbl>
    <w:p>
      <w:pPr>
        <w:spacing w:after="100" w:line="260"/>
      </w:pPr>
      <w:r>
        <w:rPr>
          <w:i/>
          <w:iCs/>
          <w:sz w:val="19"/>
          <w:szCs w:val="19"/>
        </w:rPr>
        <w:t xml:space="preserve">Target engagement (phospho-HER2 drop in Arm A; γH2AX rise in Arm B) should be assessed independently of the viability/synergy call: correct engagement with no net synergy points to a downstream resistance mechanism, not a wrong hypothesis.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Before Committing Bench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Confirm the chosen cell line or PDO genuinely carries this patient's real profile (EGFR-altered, PTEN-null, ERBB2 activating but non-amplified, TP53-altered). If no exact match is available, treat this as validation of the closest analogous model, and state that explicitly in any resulting write-up — not as a literal patient-specific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Specific drug concentrations and dilution ranges are not yet fixed by the computational pipeline; set these from each drug's published IC50 in the chosen model system before running the ray/checkerboard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toxicity estimates behind these rankings are label-based (adverse-event data), not measured in this specific cellular context — treat any toxicity prediction as a hypothesis this pilot can check, not a given.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Every result upstream of this protocol is a computational hypothesis, independently reproduced across four separate code paths this session — but none of it has been validated by a wet-lab or clinical result until this pilot runs.</w:t>
      </w:r>
    </w:p>
    <w:p>
      <w:pPr>
        <w:spacing w:after="80" w:before="220"/>
      </w:pPr>
      <w:r>
        <w:rPr>
          <w:b/>
          <w:bCs/>
          <w:color w:val="1F3864"/>
          <w:sz w:val="24"/>
          <w:szCs w:val="24"/>
        </w:rPr>
        <w:t xml:space="preserve">Proposed Timeline</w:t>
      </w:r>
    </w:p>
    <w:p>
      <w:pPr>
        <w:spacing w:after="100" w:line="260"/>
      </w:pPr>
      <w:r>
        <w:rPr>
          <w:sz w:val="20"/>
          <w:szCs w:val="20"/>
        </w:rPr>
        <w:t xml:space="preserve">Months 3–6: execute both arms; complete toxicity and synergy data collection. Months 6–8: analyze results against model predictions; apply the pre-registered pathway-overlap-bias test above; update the scoring model's weights accordingly.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2026-07-25T01:39:00.135Z</dcterms:created>
  <dcterms:modified xsi:type="dcterms:W3CDTF">2026-07-25T01:39:00.150Z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