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Agentic AI Discovery Findings</w:t>
      </w:r>
    </w:p>
    <w:p>
      <w:pPr>
        <w:spacing w:after="40"/>
      </w:pPr>
      <w:r>
        <w:rPr>
          <w:b/>
          <w:bCs/>
          <w:color w:val="595959"/>
          <w:sz w:val="24"/>
          <w:szCs w:val="24"/>
        </w:rPr>
        <w:t xml:space="preserve">Literature-Mining Pipeline: Real Results, Safety Verification, and Next Steps</w:t>
      </w:r>
    </w:p>
    <w:p>
      <w:pPr>
        <w:pBdr>
          <w:bottom w:val="single" w:color="CCCCCC" w:sz="6" w:space="8"/>
        </w:pBdr>
        <w:spacing w:after="320"/>
      </w:pPr>
      <w:r>
        <w:rPr>
          <w:i/>
          <w:iCs/>
          <w:color w:val="595959"/>
          <w:sz w:val="20"/>
          <w:szCs w:val="20"/>
        </w:rPr>
        <w:t xml:space="preserve">Findings from an agentic search-and-evidence-gathering pipeline built this session, run against live PubMed and DGIdb data across the TCGA-AO-A128 focal patient's six altered genes.</w:t>
      </w:r>
    </w:p>
    <w:p>
      <w:pPr>
        <w:pStyle w:val="Heading1"/>
        <w:spacing w:after="160" w:before="320"/>
      </w:pPr>
      <w:r>
        <w:t xml:space="preserve">1. What Was Built</w:t>
      </w:r>
    </w:p>
    <w:p>
      <w:pPr>
        <w:spacing w:after="160" w:line="300"/>
        <w:jc w:val="both"/>
      </w:pPr>
      <w:r>
        <w:rPr>
          <w:sz w:val="21"/>
          <w:szCs w:val="21"/>
        </w:rPr>
        <w:t xml:space="preserve">An agentic literature-mining pipeline was built to address a specific, previously-identified limitation: the hand-curated drug-target dictionary used by the MDCOE/HCOS regimen-ranking system cannot discover new candidates, only rank the ones already entered into it. The “agentic” component is the search-and-evidence-gathering loop — deciding what to search for based on real coverage gaps, retrieving live literature, and independently verifying candidates — not free-form biological reasoning. Every candidate this pipeline surfaces must independently pass a live DGIdb confirmation before being trusted, and every claim carries a real, traceable PubMed citation.</w:t>
      </w:r>
    </w:p>
    <w:p>
      <w:pPr>
        <w:pStyle w:val="Heading1"/>
        <w:spacing w:after="160" w:before="320"/>
      </w:pPr>
      <w:r>
        <w:t xml:space="preserve">2. The Headline Finding: A Real Addition to the TP53 Hypothesis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carboplatin + eprenetapopt, added to the TP53 candidate pool</w:t>
            </w:r>
          </w:p>
          <w:p>
            <w:pPr>
              <w:spacing w:after="0" w:line="270"/>
            </w:pPr>
            <w:r>
              <w:rPr>
                <w:b w:val="false"/>
                <w:bCs w:val="false"/>
                <w:color w:val="2E7D32"/>
                <w:sz w:val="20"/>
                <w:szCs w:val="20"/>
              </w:rPr>
              <w:t xml:space="preserve">PMID 42003968 reports a real, measured synergistic effect (Chou-Talalay combination index) between these two drugs specifically in olaparib-resistant TNBC and ovarian cancer cell lines. The TP53 candidate pool grew from ['adavosertib', 'venetoclax'] to ['adavosertib', 'venetoclax', 'carboplatin', 'eprenetapopt'], backed by a real, checkable citation rather than a plausible-sounding but unverified claim.</w:t>
            </w:r>
          </w:p>
        </w:tc>
      </w:tr>
    </w:tbl>
    <w:p>
      <w:pPr>
        <w:spacing w:after="160" w:line="300"/>
        <w:jc w:val="both"/>
      </w:pPr>
      <w:r>
        <w:rPr>
          <w:sz w:val="21"/>
          <w:szCs w:val="21"/>
        </w:rPr>
        <w:t xml:space="preserve">This is the one genuinely new, actionable result from this exercise — a literature-backed candidate that did not exist anywhere in the curated dictionary and was independently confirmed against DGIdb before being added.</w:t>
      </w:r>
    </w:p>
    <w:p>
      <w:pPr>
        <w:pStyle w:val="Heading1"/>
        <w:spacing w:after="160" w:before="320"/>
      </w:pPr>
      <w:r>
        <w:t xml:space="preserve">3. Equally Important: What the Pipeline Correctly Refused to Add</w:t>
      </w:r>
    </w:p>
    <w:p>
      <w:pPr>
        <w:spacing w:after="160" w:line="300"/>
        <w:jc w:val="both"/>
      </w:pPr>
      <w:r>
        <w:rPr>
          <w:sz w:val="21"/>
          <w:szCs w:val="21"/>
        </w:rPr>
        <w:t xml:space="preserve">Two real, DGIdb-confirmed drugs were extracted from the same batch of literature and correctly excluded from the final candidate pool, because the source text did not actually support recommending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3700"/>
      </w:tblGrid>
      <w:tr>
        <w:trPr>
          <w:tblHeader/>
        </w:trPr>
        <w:tc>
          <w:tcPr>
            <w:tcW w:type="dxa" w:w="2200"/>
            <w:shd w:fill="1F3864" w:val="clear"/>
            <w:tcMar>
              <w:top w:type="dxa" w:w="90"/>
              <w:left w:type="dxa" w:w="110"/>
              <w:bottom w:type="dxa" w:w="90"/>
              <w:right w:type="dxa" w:w="110"/>
            </w:tcMar>
          </w:tcPr>
          <w:p>
            <w:r>
              <w:rPr>
                <w:b/>
                <w:bCs/>
                <w:color w:val="FFFFFF"/>
                <w:sz w:val="18"/>
                <w:szCs w:val="18"/>
              </w:rPr>
              <w:t xml:space="preserve">Candidate</w:t>
            </w:r>
          </w:p>
        </w:tc>
        <w:tc>
          <w:tcPr>
            <w:tcW w:type="dxa" w:w="3450"/>
            <w:shd w:fill="1F3864" w:val="clear"/>
            <w:tcMar>
              <w:top w:type="dxa" w:w="90"/>
              <w:left w:type="dxa" w:w="110"/>
              <w:bottom w:type="dxa" w:w="90"/>
              <w:right w:type="dxa" w:w="110"/>
            </w:tcMar>
          </w:tcPr>
          <w:p>
            <w:r>
              <w:rPr>
                <w:b/>
                <w:bCs/>
                <w:color w:val="FFFFFF"/>
                <w:sz w:val="18"/>
                <w:szCs w:val="18"/>
              </w:rPr>
              <w:t xml:space="preserve">Source</w:t>
            </w:r>
          </w:p>
        </w:tc>
        <w:tc>
          <w:tcPr>
            <w:tcW w:type="dxa" w:w="3700"/>
            <w:shd w:fill="1F3864" w:val="clear"/>
            <w:tcMar>
              <w:top w:type="dxa" w:w="90"/>
              <w:left w:type="dxa" w:w="110"/>
              <w:bottom w:type="dxa" w:w="90"/>
              <w:right w:type="dxa" w:w="110"/>
            </w:tcMar>
          </w:tcPr>
          <w:p>
            <w:r>
              <w:rPr>
                <w:b/>
                <w:bCs/>
                <w:color w:val="FFFFFF"/>
                <w:sz w:val="18"/>
                <w:szCs w:val="18"/>
              </w:rPr>
              <w:t xml:space="preserve">Why it was excluded</w:t>
            </w:r>
          </w:p>
        </w:tc>
      </w:tr>
      <w:tr>
        <w:tc>
          <w:tcPr>
            <w:tcW w:type="dxa" w:w="2200"/>
            <w:tcMar>
              <w:top w:type="dxa" w:w="80"/>
              <w:left w:type="dxa" w:w="110"/>
              <w:bottom w:type="dxa" w:w="80"/>
              <w:right w:type="dxa" w:w="110"/>
            </w:tcMar>
          </w:tcPr>
          <w:p>
            <w:r>
              <w:rPr>
                <w:sz w:val="18"/>
                <w:szCs w:val="18"/>
              </w:rPr>
              <w:t xml:space="preserve">olaparib</w:t>
            </w:r>
          </w:p>
        </w:tc>
        <w:tc>
          <w:tcPr>
            <w:tcW w:type="dxa" w:w="3450"/>
            <w:tcMar>
              <w:top w:type="dxa" w:w="80"/>
              <w:left w:type="dxa" w:w="110"/>
              <w:bottom w:type="dxa" w:w="80"/>
              <w:right w:type="dxa" w:w="110"/>
            </w:tcMar>
          </w:tcPr>
          <w:p>
            <w:r>
              <w:rPr>
                <w:sz w:val="18"/>
                <w:szCs w:val="18"/>
              </w:rPr>
              <w:t xml:space="preserve">PMID 42003968 (same paper as the carboplatin finding)</w:t>
            </w:r>
          </w:p>
        </w:tc>
        <w:tc>
          <w:tcPr>
            <w:tcW w:type="dxa" w:w="3700"/>
            <w:tcMar>
              <w:top w:type="dxa" w:w="80"/>
              <w:left w:type="dxa" w:w="110"/>
              <w:bottom w:type="dxa" w:w="80"/>
              <w:right w:type="dxa" w:w="110"/>
            </w:tcMar>
          </w:tcPr>
          <w:p>
            <w:r>
              <w:rPr>
                <w:sz w:val="18"/>
                <w:szCs w:val="18"/>
              </w:rPr>
              <w:t xml:space="preserve">The paper's entire point is overcoming olaparib RESISTANCE — recommending it would be backwards relative to what the source actually says</w:t>
            </w:r>
          </w:p>
        </w:tc>
      </w:tr>
      <w:tr>
        <w:tc>
          <w:tcPr>
            <w:tcW w:type="dxa" w:w="2200"/>
            <w:tcMar>
              <w:top w:type="dxa" w:w="80"/>
              <w:left w:type="dxa" w:w="110"/>
              <w:bottom w:type="dxa" w:w="80"/>
              <w:right w:type="dxa" w:w="110"/>
            </w:tcMar>
          </w:tcPr>
          <w:p>
            <w:r>
              <w:rPr>
                <w:sz w:val="18"/>
                <w:szCs w:val="18"/>
              </w:rPr>
              <w:t xml:space="preserve">pembrolizumab</w:t>
            </w:r>
          </w:p>
        </w:tc>
        <w:tc>
          <w:tcPr>
            <w:tcW w:type="dxa" w:w="3450"/>
            <w:tcMar>
              <w:top w:type="dxa" w:w="80"/>
              <w:left w:type="dxa" w:w="110"/>
              <w:bottom w:type="dxa" w:w="80"/>
              <w:right w:type="dxa" w:w="110"/>
            </w:tcMar>
          </w:tcPr>
          <w:p>
            <w:r>
              <w:rPr>
                <w:sz w:val="18"/>
                <w:szCs w:val="18"/>
              </w:rPr>
              <w:t xml:space="preserve">PMID 41727427</w:t>
            </w:r>
          </w:p>
        </w:tc>
        <w:tc>
          <w:tcPr>
            <w:tcW w:type="dxa" w:w="3700"/>
            <w:tcMar>
              <w:top w:type="dxa" w:w="80"/>
              <w:left w:type="dxa" w:w="110"/>
              <w:bottom w:type="dxa" w:w="80"/>
              <w:right w:type="dxa" w:w="110"/>
            </w:tcMar>
          </w:tcPr>
          <w:p>
            <w:r>
              <w:rPr>
                <w:sz w:val="18"/>
                <w:szCs w:val="18"/>
              </w:rPr>
              <w:t xml:space="preserve">The source paper explicitly describes this combination trial as showing “limited efficacy”</w:t>
            </w:r>
          </w:p>
        </w:tc>
      </w:tr>
    </w:tbl>
    <w:p>
      <w:pPr>
        <w:spacing w:after="200"/>
      </w:pPr>
    </w:p>
    <w:p>
      <w:pPr>
        <w:spacing w:after="160" w:line="300"/>
        <w:jc w:val="both"/>
      </w:pPr>
      <w:r>
        <w:rPr>
          <w:sz w:val="21"/>
          <w:szCs w:val="21"/>
        </w:rPr>
        <w:t xml:space="preserve">Both were real, independently-confirmed drugs that a naive keyword-based search would have wrongly recommended. The pipeline's sentence-level mention-context classifier caught both, after two earlier, less careful implementations failed to (see §6).</w:t>
      </w:r>
    </w:p>
    <w:p>
      <w:pPr>
        <w:pStyle w:val="Heading1"/>
        <w:spacing w:after="160" w:before="320"/>
      </w:pPr>
      <w:r>
        <w:t xml:space="preserve">4. Independent Confirmation of Existing Curated Choices</w:t>
      </w:r>
    </w:p>
    <w:p>
      <w:pPr>
        <w:spacing w:after="160" w:line="300"/>
        <w:jc w:val="both"/>
      </w:pPr>
      <w:r>
        <w:rPr>
          <w:sz w:val="21"/>
          <w:szCs w:val="21"/>
        </w:rPr>
        <w:t xml:space="preserve">Literature search also surfaced real papers supporting several drugs already present in the hand-curated dictionary: erlotinib (EGFR), capivasertib (PTEN), neratinib (ERBB2), and deucravacitinib (TYK2). These are not new information, but they are real, external, independently-sourced validation that the curated dictionary's choices were not purely speculative.</w:t>
      </w:r>
    </w:p>
    <w:p>
      <w:pPr>
        <w:pStyle w:val="Heading1"/>
        <w:spacing w:after="160" w:before="320"/>
      </w:pPr>
      <w:r>
        <w:t xml:space="preserve">5. A Genuinely Informative Pattern: Where New Value Concentrated</w:t>
      </w:r>
    </w:p>
    <w:p>
      <w:pPr>
        <w:spacing w:after="160" w:line="300"/>
        <w:jc w:val="both"/>
      </w:pPr>
      <w:r>
        <w:rPr>
          <w:sz w:val="21"/>
          <w:szCs w:val="21"/>
        </w:rPr>
        <w:t xml:space="preserve">Across a search of all five under-covered genes (EGFR, PTEN, TP53, ERBB2, TYK2), every single confirmed-and-supportive candidate found for EGFR, PTEN, ERBB2, and TYK2 turned out to already be in the curated dictionary — zero new additions for any of those four. All new value concentrated entirely in TP53.</w:t>
      </w:r>
    </w:p>
    <w:p>
      <w:pPr>
        <w:spacing w:after="160" w:line="300"/>
        <w:jc w:val="both"/>
      </w:pPr>
      <w:r>
        <w:rPr>
          <w:sz w:val="21"/>
          <w:szCs w:val="21"/>
        </w:rPr>
        <w:t xml:space="preserve">This is a coherent, biologically sensible result rather than a weak one: EGFR and ERBB2 in particular are among the most extensively studied druggable targets in oncology, already reflected in a thoroughly curated dictionary. TP53 has historically been one of the hardest genes to drug directly, and is exactly where a fresh literature search would be expected to still turn up genuinely new, non-obvious leads.</w:t>
      </w:r>
    </w:p>
    <w:p>
      <w:pPr>
        <w:pStyle w:val="Heading1"/>
        <w:spacing w:after="160" w:before="320"/>
      </w:pPr>
      <w:r>
        <w:t xml:space="preserve">6. Methodological Finding: The Safety Architecture Held, Even When the Logic Underneath It Didn't</w:t>
      </w:r>
    </w:p>
    <w:p>
      <w:pPr>
        <w:spacing w:after="160" w:line="300"/>
        <w:jc w:val="both"/>
      </w:pPr>
      <w:r>
        <w:rPr>
          <w:sz w:val="21"/>
          <w:szCs w:val="21"/>
        </w:rPr>
        <w:t xml:space="preserve">Getting the mention-context classification right took three attempts, each failing for a different, real reason discovered only by testing against actual retrieved abstracts rather than synthetic text:</w:t>
      </w:r>
    </w:p>
    <w:p>
      <w:pPr>
        <w:pStyle w:val="ListParagraph"/>
        <w:numPr>
          <w:ilvl w:val="0"/>
          <w:numId w:val="2"/>
        </w:numPr>
        <w:spacing w:after="100" w:line="290"/>
      </w:pPr>
      <w:r>
        <w:rPr>
          <w:b/>
          <w:bCs/>
          <w:sz w:val="21"/>
          <w:szCs w:val="21"/>
        </w:rPr>
        <w:t xml:space="preserve">Attempt 1 (proximity override): </w:t>
      </w:r>
      <w:r>
        <w:rPr>
          <w:sz w:val="21"/>
          <w:szCs w:val="21"/>
        </w:rPr>
        <w:t xml:space="preserve"> flagged a drug as cautionary even when the paper's real conclusion about it was positive, because a single nearby resistance-related phrase could override clear, later synergy language for the same drug.</w:t>
      </w:r>
    </w:p>
    <w:p>
      <w:pPr>
        <w:pStyle w:val="ListParagraph"/>
        <w:numPr>
          <w:ilvl w:val="0"/>
          <w:numId w:val="2"/>
        </w:numPr>
        <w:spacing w:after="100" w:line="290"/>
      </w:pPr>
      <w:r>
        <w:rPr>
          <w:b/>
          <w:bCs/>
          <w:sz w:val="21"/>
          <w:szCs w:val="21"/>
        </w:rPr>
        <w:t xml:space="preserve">Attempt 2 (character-window counting): </w:t>
      </w:r>
      <w:r>
        <w:rPr>
          <w:sz w:val="21"/>
          <w:szCs w:val="21"/>
        </w:rPr>
        <w:t xml:space="preserve"> fixed that, but a drug mentioned several times close together produced overlapping text windows that multiply-counted the same phrase and skewed the result.</w:t>
      </w:r>
    </w:p>
    <w:p>
      <w:pPr>
        <w:pStyle w:val="ListParagraph"/>
        <w:numPr>
          <w:ilvl w:val="0"/>
          <w:numId w:val="2"/>
        </w:numPr>
        <w:spacing w:after="100" w:line="290"/>
      </w:pPr>
      <w:r>
        <w:rPr>
          <w:b/>
          <w:bCs/>
          <w:sz w:val="21"/>
          <w:szCs w:val="21"/>
        </w:rPr>
        <w:t xml:space="preserve">Attempt 3 (merged windows): </w:t>
      </w:r>
      <w:r>
        <w:rPr>
          <w:sz w:val="21"/>
          <w:szCs w:val="21"/>
        </w:rPr>
        <w:t xml:space="preserve"> fixed that, but a window still wide enough to span two adjacent sentences pulled in language about a completely different drug discussed nearby in the same dense paragraph.</w:t>
      </w:r>
    </w:p>
    <w:p>
      <w:pPr>
        <w:pStyle w:val="ListParagraph"/>
        <w:numPr>
          <w:ilvl w:val="0"/>
          <w:numId w:val="2"/>
        </w:numPr>
        <w:spacing w:after="100" w:line="290"/>
      </w:pPr>
      <w:r>
        <w:rPr>
          <w:b/>
          <w:bCs/>
          <w:sz w:val="21"/>
          <w:szCs w:val="21"/>
        </w:rPr>
        <w:t xml:space="preserve">Final version (sentence-level attribution): </w:t>
      </w:r>
      <w:r>
        <w:rPr>
          <w:sz w:val="21"/>
          <w:szCs w:val="21"/>
        </w:rPr>
        <w:t xml:space="preserve"> respects the actual grammatical unit of a single claim, and correctly separated all four real test cases (olaparib/cautionary, carboplatin/supportive, eprenetapopt/supportive, pembrolizumab/cautionary).</w:t>
      </w:r>
    </w:p>
    <w:p>
      <w:pPr>
        <w:spacing w:after="160" w:line="300"/>
        <w:jc w:val="both"/>
      </w:pPr>
      <w:r>
        <w:rPr>
          <w:sz w:val="21"/>
          <w:szCs w:val="21"/>
        </w:rPr>
        <w:t xml:space="preserve">A separate, related issue was found during actual production use, not testing: the merge step originally treated an “unclear” classification (no strong signal found either way) as equivalent to “safe to add” — which is not the same thing, and let one contextually ambiguous olaparib mention slip through undetected until a real run's output was checked line by line against its source. This was corrected to require an explicit “supportive” label before auto-merging anything.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6"/>
              <w:left w:val="single" w:color="9C5700" w:sz="6"/>
              <w:bottom w:val="single" w:color="9C5700" w:sz="6"/>
              <w:right w:val="single" w:color="9C5700" w:sz="6"/>
            </w:tcBorders>
            <w:shd w:fill="FFF2E0" w:val="clear"/>
            <w:tcMar>
              <w:top w:type="dxa" w:w="140"/>
              <w:left w:type="dxa" w:w="180"/>
              <w:bottom w:type="dxa" w:w="140"/>
              <w:right w:type="dxa" w:w="180"/>
            </w:tcMar>
          </w:tcPr>
          <w:p>
            <w:pPr>
              <w:spacing w:after="70" w:line="270"/>
            </w:pPr>
            <w:r>
              <w:rPr>
                <w:b/>
                <w:bCs/>
                <w:color w:val="9C5700"/>
                <w:sz w:val="20"/>
                <w:szCs w:val="20"/>
              </w:rPr>
              <w:t xml:space="preserve">Despite four real bugs across the pipeline's logic, the one component that never failed, across every version and every real run, was the mandatory independent DGIdb confirmation gate.</w:t>
            </w:r>
          </w:p>
          <w:p>
            <w:pPr>
              <w:spacing w:after="0" w:line="270"/>
            </w:pPr>
            <w:r>
              <w:rPr>
                <w:b w:val="false"/>
                <w:bCs w:val="false"/>
                <w:color w:val="9C5700"/>
                <w:sz w:val="20"/>
                <w:szCs w:val="20"/>
              </w:rPr>
              <w:t xml:space="preserve">Not one fabricated, noise, or non-existent drug name ever reached the final candidate pool — including when extraction noise pulled out literal non-drug text such as the bare word “gene”, a paper's author-affiliated company name, and several other false-positive tokens. Every one of these was independently rejected by DGIdb before being trusted. This is real, repeated evidence that the layered verification design works as intended, even while the more interpretive logic layered on top of it (context classification, extraction precision) needed multiple real-world corrections to get right.</w:t>
            </w:r>
          </w:p>
        </w:tc>
      </w:tr>
    </w:tbl>
    <w:p>
      <w:pPr>
        <w:pStyle w:val="Heading1"/>
        <w:spacing w:after="160" w:before="320"/>
      </w:pPr>
      <w:r>
        <w:t xml:space="preserve">7. Candidates Worth a Manual Follow-Up (Not Yet Confirmed for These Genes)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800"/>
        <w:gridCol w:w="3150"/>
      </w:tblGrid>
      <w:tr>
        <w:trPr>
          <w:tblHeader/>
        </w:trPr>
        <w:tc>
          <w:tcPr>
            <w:tcW w:type="dxa" w:w="3200"/>
            <w:shd w:fill="1F3864" w:val="clear"/>
            <w:tcMar>
              <w:top w:type="dxa" w:w="90"/>
              <w:left w:type="dxa" w:w="110"/>
              <w:bottom w:type="dxa" w:w="90"/>
              <w:right w:type="dxa" w:w="110"/>
            </w:tcMar>
          </w:tcPr>
          <w:p>
            <w:r>
              <w:rPr>
                <w:b/>
                <w:bCs/>
                <w:color w:val="FFFFFF"/>
                <w:sz w:val="18"/>
                <w:szCs w:val="18"/>
              </w:rPr>
              <w:t xml:space="preserve">Candidates</w:t>
            </w:r>
          </w:p>
        </w:tc>
        <w:tc>
          <w:tcPr>
            <w:tcW w:type="dxa" w:w="1200"/>
            <w:shd w:fill="1F3864" w:val="clear"/>
            <w:tcMar>
              <w:top w:type="dxa" w:w="90"/>
              <w:left w:type="dxa" w:w="110"/>
              <w:bottom w:type="dxa" w:w="90"/>
              <w:right w:type="dxa" w:w="110"/>
            </w:tcMar>
          </w:tcPr>
          <w:p>
            <w:r>
              <w:rPr>
                <w:b/>
                <w:bCs/>
                <w:color w:val="FFFFFF"/>
                <w:sz w:val="18"/>
                <w:szCs w:val="18"/>
              </w:rPr>
              <w:t xml:space="preserve">Gene</w:t>
            </w:r>
          </w:p>
        </w:tc>
        <w:tc>
          <w:tcPr>
            <w:tcW w:type="dxa" w:w="1800"/>
            <w:shd w:fill="1F3864" w:val="clear"/>
            <w:tcMar>
              <w:top w:type="dxa" w:w="90"/>
              <w:left w:type="dxa" w:w="110"/>
              <w:bottom w:type="dxa" w:w="90"/>
              <w:right w:type="dxa" w:w="110"/>
            </w:tcMar>
          </w:tcPr>
          <w:p>
            <w:r>
              <w:rPr>
                <w:b/>
                <w:bCs/>
                <w:color w:val="FFFFFF"/>
                <w:sz w:val="18"/>
                <w:szCs w:val="18"/>
              </w:rPr>
              <w:t xml:space="preserve">Source</w:t>
            </w:r>
          </w:p>
        </w:tc>
        <w:tc>
          <w:tcPr>
            <w:tcW w:type="dxa" w:w="3150"/>
            <w:shd w:fill="1F3864" w:val="clear"/>
            <w:tcMar>
              <w:top w:type="dxa" w:w="90"/>
              <w:left w:type="dxa" w:w="110"/>
              <w:bottom w:type="dxa" w:w="90"/>
              <w:right w:type="dxa" w:w="110"/>
            </w:tcMar>
          </w:tcPr>
          <w:p>
            <w:r>
              <w:rPr>
                <w:b/>
                <w:bCs/>
                <w:color w:val="FFFFFF"/>
                <w:sz w:val="18"/>
                <w:szCs w:val="18"/>
              </w:rPr>
              <w:t xml:space="preserve">Status</w:t>
            </w:r>
          </w:p>
        </w:tc>
      </w:tr>
      <w:tr>
        <w:tc>
          <w:tcPr>
            <w:tcW w:type="dxa" w:w="3200"/>
            <w:tcMar>
              <w:top w:type="dxa" w:w="80"/>
              <w:left w:type="dxa" w:w="110"/>
              <w:bottom w:type="dxa" w:w="80"/>
              <w:right w:type="dxa" w:w="110"/>
            </w:tcMar>
          </w:tcPr>
          <w:p>
            <w:r>
              <w:rPr>
                <w:sz w:val="18"/>
                <w:szCs w:val="18"/>
              </w:rPr>
              <w:t xml:space="preserve">durvalumab, oleclumab</w:t>
            </w:r>
          </w:p>
        </w:tc>
        <w:tc>
          <w:tcPr>
            <w:tcW w:type="dxa" w:w="1200"/>
            <w:tcMar>
              <w:top w:type="dxa" w:w="80"/>
              <w:left w:type="dxa" w:w="110"/>
              <w:bottom w:type="dxa" w:w="80"/>
              <w:right w:type="dxa" w:w="110"/>
            </w:tcMar>
          </w:tcPr>
          <w:p>
            <w:r>
              <w:rPr>
                <w:sz w:val="18"/>
                <w:szCs w:val="18"/>
              </w:rPr>
              <w:t xml:space="preserve">PTEN</w:t>
            </w:r>
          </w:p>
        </w:tc>
        <w:tc>
          <w:tcPr>
            <w:tcW w:type="dxa" w:w="1800"/>
            <w:tcMar>
              <w:top w:type="dxa" w:w="80"/>
              <w:left w:type="dxa" w:w="110"/>
              <w:bottom w:type="dxa" w:w="80"/>
              <w:right w:type="dxa" w:w="110"/>
            </w:tcMar>
          </w:tcPr>
          <w:p>
            <w:r>
              <w:rPr>
                <w:sz w:val="18"/>
                <w:szCs w:val="18"/>
              </w:rPr>
              <w:t xml:space="preserve">PMID 42189888</w:t>
            </w:r>
          </w:p>
        </w:tc>
        <w:tc>
          <w:tcPr>
            <w:tcW w:type="dxa" w:w="3150"/>
            <w:tcMar>
              <w:top w:type="dxa" w:w="80"/>
              <w:left w:type="dxa" w:w="110"/>
              <w:bottom w:type="dxa" w:w="80"/>
              <w:right w:type="dxa" w:w="110"/>
            </w:tcMar>
          </w:tcPr>
          <w:p>
            <w:r>
              <w:rPr>
                <w:sz w:val="18"/>
                <w:szCs w:val="18"/>
              </w:rPr>
              <w:t xml:space="preserve">Real drugs, “supportive” context, not DGIdb-confirmed for PTEN specifically — likely a pathway/immune-context rationale worth reading in full</w:t>
            </w:r>
          </w:p>
        </w:tc>
      </w:tr>
      <w:tr>
        <w:tc>
          <w:tcPr>
            <w:tcW w:type="dxa" w:w="3200"/>
            <w:tcMar>
              <w:top w:type="dxa" w:w="80"/>
              <w:left w:type="dxa" w:w="110"/>
              <w:bottom w:type="dxa" w:w="80"/>
              <w:right w:type="dxa" w:w="110"/>
            </w:tcMar>
          </w:tcPr>
          <w:p>
            <w:r>
              <w:rPr>
                <w:sz w:val="18"/>
                <w:szCs w:val="18"/>
              </w:rPr>
              <w:t xml:space="preserve">bosutinib, dasatinib, mobocertinib, saracatinib</w:t>
            </w:r>
          </w:p>
        </w:tc>
        <w:tc>
          <w:tcPr>
            <w:tcW w:type="dxa" w:w="1200"/>
            <w:tcMar>
              <w:top w:type="dxa" w:w="80"/>
              <w:left w:type="dxa" w:w="110"/>
              <w:bottom w:type="dxa" w:w="80"/>
              <w:right w:type="dxa" w:w="110"/>
            </w:tcMar>
          </w:tcPr>
          <w:p>
            <w:r>
              <w:rPr>
                <w:sz w:val="18"/>
                <w:szCs w:val="18"/>
              </w:rPr>
              <w:t xml:space="preserve">ERBB2</w:t>
            </w:r>
          </w:p>
        </w:tc>
        <w:tc>
          <w:tcPr>
            <w:tcW w:type="dxa" w:w="1800"/>
            <w:tcMar>
              <w:top w:type="dxa" w:w="80"/>
              <w:left w:type="dxa" w:w="110"/>
              <w:bottom w:type="dxa" w:w="80"/>
              <w:right w:type="dxa" w:w="110"/>
            </w:tcMar>
          </w:tcPr>
          <w:p>
            <w:r>
              <w:rPr>
                <w:sz w:val="18"/>
                <w:szCs w:val="18"/>
              </w:rPr>
              <w:t xml:space="preserve">PMID 41813757</w:t>
            </w:r>
          </w:p>
        </w:tc>
        <w:tc>
          <w:tcPr>
            <w:tcW w:type="dxa" w:w="3150"/>
            <w:tcMar>
              <w:top w:type="dxa" w:w="80"/>
              <w:left w:type="dxa" w:w="110"/>
              <w:bottom w:type="dxa" w:w="80"/>
              <w:right w:type="dxa" w:w="110"/>
            </w:tcMar>
          </w:tcPr>
          <w:p>
            <w:r>
              <w:rPr>
                <w:sz w:val="18"/>
                <w:szCs w:val="18"/>
              </w:rPr>
              <w:t xml:space="preserve">Real kinase inhibitors from a multi-drug panel paper, “supportive” context, not DGIdb-confirmed for ERBB2 specifically</w:t>
            </w:r>
          </w:p>
        </w:tc>
      </w:tr>
    </w:tbl>
    <w:p>
      <w:pPr>
        <w:spacing w:after="200"/>
      </w:pPr>
    </w:p>
    <w:p>
      <w:pPr>
        <w:pStyle w:val="Heading1"/>
        <w:spacing w:after="160" w:before="320"/>
      </w:pPr>
      <w:r>
        <w:t xml:space="preserve">8. Recommended Next Steps</w:t>
      </w:r>
    </w:p>
    <w:p>
      <w:pPr>
        <w:pStyle w:val="ListParagraph"/>
        <w:numPr>
          <w:ilvl w:val="0"/>
          <w:numId w:val="2"/>
        </w:numPr>
        <w:spacing w:after="100" w:line="290"/>
      </w:pPr>
      <w:r>
        <w:rPr>
          <w:sz w:val="21"/>
          <w:szCs w:val="21"/>
        </w:rPr>
        <w:t xml:space="preserve">Read the full abstracts for PMID 42189888 and PMID 41813757 to assess whether the unconfirmed candidates in §7 warrant addition with a manual override.</w:t>
      </w:r>
    </w:p>
    <w:p>
      <w:pPr>
        <w:pStyle w:val="ListParagraph"/>
        <w:numPr>
          <w:ilvl w:val="0"/>
          <w:numId w:val="2"/>
        </w:numPr>
        <w:spacing w:after="100" w:line="290"/>
      </w:pPr>
      <w:r>
        <w:rPr>
          <w:sz w:val="21"/>
          <w:szCs w:val="21"/>
        </w:rPr>
        <w:t xml:space="preserve">Score the confirmed TP53 addition (carboplatin + eprenetapopt) through the existing MDCOE/HCOS pipeline alongside the current candidate set, and note the literature citation when reporting any resulting regimen.</w:t>
      </w:r>
    </w:p>
    <w:p>
      <w:pPr>
        <w:pStyle w:val="ListParagraph"/>
        <w:numPr>
          <w:ilvl w:val="0"/>
          <w:numId w:val="2"/>
        </w:numPr>
        <w:spacing w:after="100" w:line="290"/>
      </w:pPr>
      <w:r>
        <w:rPr>
          <w:sz w:val="21"/>
          <w:szCs w:val="21"/>
        </w:rPr>
        <w:t xml:space="preserve">Consider raising the minimum-candidate coverage threshold (currently defaulting to 2) for genes where expanding beyond a bare minimum is scientifically valuable, as was done for this run (raised to 4).</w:t>
      </w:r>
    </w:p>
    <w:p>
      <w:pPr>
        <w:pStyle w:val="ListParagraph"/>
        <w:numPr>
          <w:ilvl w:val="0"/>
          <w:numId w:val="2"/>
        </w:numPr>
        <w:spacing w:after="100" w:line="290"/>
      </w:pPr>
      <w:r>
        <w:rPr>
          <w:sz w:val="21"/>
          <w:szCs w:val="21"/>
        </w:rPr>
        <w:t xml:space="preserve">This literature-mining approach could reasonably be re-run periodically as new PubMed literature is published, to keep the candidate pool current without repeating manual curation from scratch each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2026-07-12T22:32:57.894Z</dcterms:created>
  <dcterms:modified xsi:type="dcterms:W3CDTF">2026-07-12T22:32:57.907Z</dcterms:modified>
</cp:coreProperties>
</file>

<file path=docProps/custom.xml><?xml version="1.0" encoding="utf-8"?>
<Properties xmlns="http://schemas.openxmlformats.org/officeDocument/2006/custom-properties" xmlns:vt="http://schemas.openxmlformats.org/officeDocument/2006/docPropsVTypes"/>
</file>