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Heuristic vs. Machine-Learning Scoring</w:t>
      </w:r>
    </w:p>
    <w:p>
      <w:pPr>
        <w:spacing w:after="40"/>
      </w:pPr>
      <w:r>
        <w:rPr>
          <w:b/>
          <w:bCs/>
          <w:color w:val="595959"/>
          <w:sz w:val="24"/>
          <w:szCs w:val="24"/>
        </w:rPr>
        <w:t xml:space="preserve">A Methodological Comparison and Recommendations for Large-Volume Data</w:t>
      </w:r>
    </w:p>
    <w:p>
      <w:pPr>
        <w:pBdr>
          <w:bottom w:val="single" w:color="CCCCCC" w:sz="6" w:space="8"/>
        </w:pBdr>
        <w:spacing w:after="320"/>
      </w:pPr>
      <w:r>
        <w:rPr>
          <w:i/>
          <w:iCs/>
          <w:color w:val="595959"/>
          <w:sz w:val="20"/>
          <w:szCs w:val="20"/>
        </w:rPr>
        <w:t xml:space="preserve">How CTS/HCOS's hand-built scoring compares to the trained dependency-prediction model, what this session's real result actually showed, and concrete next steps for scaling the analysis to larger cohorts.</w:t>
      </w:r>
    </w:p>
    <w:p>
      <w:pPr>
        <w:pStyle w:val="Heading1"/>
        <w:spacing w:after="160" w:before="320"/>
      </w:pPr>
      <w:r>
        <w:t xml:space="preserve">1. Purpose</w:t>
      </w:r>
    </w:p>
    <w:p>
      <w:pPr>
        <w:spacing w:after="160" w:line="300"/>
        <w:jc w:val="both"/>
      </w:pPr>
      <w:r>
        <w:rPr>
          <w:sz w:val="21"/>
          <w:szCs w:val="21"/>
        </w:rPr>
        <w:t xml:space="preserve">This report clarifies the methodological distinction between the two scoring approaches used in this project — the hand-built heuristic formulas (CTS and HCOS) and the trained machine-learning model built to predict CRISPR dependency — and records the concrete finding from testing one against the other. It closes with specific, actionable recommendations for how a larger-volume data strategy could extend this work in the future.</w:t>
      </w:r>
    </w:p>
    <w:p>
      <w:pPr>
        <w:pStyle w:val="Heading1"/>
        <w:spacing w:after="160" w:before="320"/>
      </w:pPr>
      <w:r>
        <w:t xml:space="preserve">2. Two Different Ways to Build a 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rPr>
          <w:tblHeader/>
        </w:trPr>
        <w:tc>
          <w:tcPr>
            <w:tcW w:type="dxa" w:w="2400"/>
            <w:shd w:fill="1F3864" w:val="clear"/>
            <w:tcMar>
              <w:top w:type="dxa" w:w="90"/>
              <w:left w:type="dxa" w:w="110"/>
              <w:bottom w:type="dxa" w:w="90"/>
              <w:right w:type="dxa" w:w="110"/>
            </w:tcMar>
          </w:tcPr>
          <w:p>
            <w:r>
              <w:rPr>
                <w:b/>
                <w:bCs/>
                <w:color w:val="FFFFFF"/>
                <w:sz w:val="18"/>
                <w:szCs w:val="18"/>
              </w:rPr>
              <w:t xml:space="preserve"/>
            </w:r>
          </w:p>
        </w:tc>
        <w:tc>
          <w:tcPr>
            <w:tcW w:type="dxa" w:w="3450"/>
            <w:shd w:fill="1F3864" w:val="clear"/>
            <w:tcMar>
              <w:top w:type="dxa" w:w="90"/>
              <w:left w:type="dxa" w:w="110"/>
              <w:bottom w:type="dxa" w:w="90"/>
              <w:right w:type="dxa" w:w="110"/>
            </w:tcMar>
          </w:tcPr>
          <w:p>
            <w:r>
              <w:rPr>
                <w:b/>
                <w:bCs/>
                <w:color w:val="FFFFFF"/>
                <w:sz w:val="18"/>
                <w:szCs w:val="18"/>
              </w:rPr>
              <w:t xml:space="preserve">Heuristic (CTS / HCOS)</w:t>
            </w:r>
          </w:p>
        </w:tc>
        <w:tc>
          <w:tcPr>
            <w:tcW w:type="dxa" w:w="3500"/>
            <w:shd w:fill="1F3864" w:val="clear"/>
            <w:tcMar>
              <w:top w:type="dxa" w:w="90"/>
              <w:left w:type="dxa" w:w="110"/>
              <w:bottom w:type="dxa" w:w="90"/>
              <w:right w:type="dxa" w:w="110"/>
            </w:tcMar>
          </w:tcPr>
          <w:p>
            <w:r>
              <w:rPr>
                <w:b/>
                <w:bCs/>
                <w:color w:val="FFFFFF"/>
                <w:sz w:val="18"/>
                <w:szCs w:val="18"/>
              </w:rPr>
              <w:t xml:space="preserve">Machine Learning (dependency model)</w:t>
            </w:r>
          </w:p>
        </w:tc>
      </w:tr>
      <w:tr>
        <w:tc>
          <w:tcPr>
            <w:tcW w:type="dxa" w:w="2400"/>
            <w:tcMar>
              <w:top w:type="dxa" w:w="80"/>
              <w:left w:type="dxa" w:w="110"/>
              <w:bottom w:type="dxa" w:w="80"/>
              <w:right w:type="dxa" w:w="110"/>
            </w:tcMar>
          </w:tcPr>
          <w:p>
            <w:r>
              <w:rPr>
                <w:sz w:val="18"/>
                <w:szCs w:val="18"/>
              </w:rPr>
              <w:t xml:space="preserve">How the scoring logic is created</w:t>
            </w:r>
          </w:p>
        </w:tc>
        <w:tc>
          <w:tcPr>
            <w:tcW w:type="dxa" w:w="3450"/>
            <w:tcMar>
              <w:top w:type="dxa" w:w="80"/>
              <w:left w:type="dxa" w:w="110"/>
              <w:bottom w:type="dxa" w:w="80"/>
              <w:right w:type="dxa" w:w="110"/>
            </w:tcMar>
          </w:tcPr>
          <w:p>
            <w:r>
              <w:rPr>
                <w:sz w:val="18"/>
                <w:szCs w:val="18"/>
              </w:rPr>
              <w:t xml:space="preserve">Hand-designed, encoding explicit biological reasoning (pathway overlap, network centrality, a curated synergy table)</w:t>
            </w:r>
          </w:p>
        </w:tc>
        <w:tc>
          <w:tcPr>
            <w:tcW w:type="dxa" w:w="3500"/>
            <w:tcMar>
              <w:top w:type="dxa" w:w="80"/>
              <w:left w:type="dxa" w:w="110"/>
              <w:bottom w:type="dxa" w:w="80"/>
              <w:right w:type="dxa" w:w="110"/>
            </w:tcMar>
          </w:tcPr>
          <w:p>
            <w:r>
              <w:rPr>
                <w:sz w:val="18"/>
                <w:szCs w:val="18"/>
              </w:rPr>
              <w:t xml:space="preserve">Learned automatically from real training data via gradient boosting — no rule is written by hand</w:t>
            </w:r>
          </w:p>
        </w:tc>
      </w:tr>
      <w:tr>
        <w:tc>
          <w:tcPr>
            <w:tcW w:type="dxa" w:w="2400"/>
            <w:tcMar>
              <w:top w:type="dxa" w:w="80"/>
              <w:left w:type="dxa" w:w="110"/>
              <w:bottom w:type="dxa" w:w="80"/>
              <w:right w:type="dxa" w:w="110"/>
            </w:tcMar>
          </w:tcPr>
          <w:p>
            <w:r>
              <w:rPr>
                <w:sz w:val="18"/>
                <w:szCs w:val="18"/>
              </w:rPr>
              <w:t xml:space="preserve">What it requires to run</w:t>
            </w:r>
          </w:p>
        </w:tc>
        <w:tc>
          <w:tcPr>
            <w:tcW w:type="dxa" w:w="3450"/>
            <w:tcMar>
              <w:top w:type="dxa" w:w="80"/>
              <w:left w:type="dxa" w:w="110"/>
              <w:bottom w:type="dxa" w:w="80"/>
              <w:right w:type="dxa" w:w="110"/>
            </w:tcMar>
          </w:tcPr>
          <w:p>
            <w:r>
              <w:rPr>
                <w:sz w:val="18"/>
                <w:szCs w:val="18"/>
              </w:rPr>
              <w:t xml:space="preserve">Nothing beyond the formula itself; applies immediately to any new patient or kinase</w:t>
            </w:r>
          </w:p>
        </w:tc>
        <w:tc>
          <w:tcPr>
            <w:tcW w:type="dxa" w:w="3500"/>
            <w:tcMar>
              <w:top w:type="dxa" w:w="80"/>
              <w:left w:type="dxa" w:w="110"/>
              <w:bottom w:type="dxa" w:w="80"/>
              <w:right w:type="dxa" w:w="110"/>
            </w:tcMar>
          </w:tcPr>
          <w:p>
            <w:r>
              <w:rPr>
                <w:sz w:val="18"/>
                <w:szCs w:val="18"/>
              </w:rPr>
              <w:t xml:space="preserve">A trained model, which itself requires real multi-omic training data across many samples</w:t>
            </w:r>
          </w:p>
        </w:tc>
      </w:tr>
      <w:tr>
        <w:tc>
          <w:tcPr>
            <w:tcW w:type="dxa" w:w="2400"/>
            <w:tcMar>
              <w:top w:type="dxa" w:w="80"/>
              <w:left w:type="dxa" w:w="110"/>
              <w:bottom w:type="dxa" w:w="80"/>
              <w:right w:type="dxa" w:w="110"/>
            </w:tcMar>
          </w:tcPr>
          <w:p>
            <w:r>
              <w:rPr>
                <w:sz w:val="18"/>
                <w:szCs w:val="18"/>
              </w:rPr>
              <w:t xml:space="preserve">How it is validated</w:t>
            </w:r>
          </w:p>
        </w:tc>
        <w:tc>
          <w:tcPr>
            <w:tcW w:type="dxa" w:w="3450"/>
            <w:tcMar>
              <w:top w:type="dxa" w:w="80"/>
              <w:left w:type="dxa" w:w="110"/>
              <w:bottom w:type="dxa" w:w="80"/>
              <w:right w:type="dxa" w:w="110"/>
            </w:tcMar>
          </w:tcPr>
          <w:p>
            <w:r>
              <w:rPr>
                <w:sz w:val="18"/>
                <w:szCs w:val="18"/>
              </w:rPr>
              <w:t xml:space="preserve">Internal consistency and face-validity checks (does it recover known biology, are the terms mathematically sound)</w:t>
            </w:r>
          </w:p>
        </w:tc>
        <w:tc>
          <w:tcPr>
            <w:tcW w:type="dxa" w:w="3500"/>
            <w:tcMar>
              <w:top w:type="dxa" w:w="80"/>
              <w:left w:type="dxa" w:w="110"/>
              <w:bottom w:type="dxa" w:w="80"/>
              <w:right w:type="dxa" w:w="110"/>
            </w:tcMar>
          </w:tcPr>
          <w:p>
            <w:r>
              <w:rPr>
                <w:sz w:val="18"/>
                <w:szCs w:val="18"/>
              </w:rPr>
              <w:t xml:space="preserve">Held-out cross-validation, grouped by cell line — a quantitative accuracy estimate (R², Spearman), not just plausibility</w:t>
            </w:r>
          </w:p>
        </w:tc>
      </w:tr>
      <w:tr>
        <w:tc>
          <w:tcPr>
            <w:tcW w:type="dxa" w:w="2400"/>
            <w:tcMar>
              <w:top w:type="dxa" w:w="80"/>
              <w:left w:type="dxa" w:w="110"/>
              <w:bottom w:type="dxa" w:w="80"/>
              <w:right w:type="dxa" w:w="110"/>
            </w:tcMar>
          </w:tcPr>
          <w:p>
            <w:r>
              <w:rPr>
                <w:sz w:val="18"/>
                <w:szCs w:val="18"/>
              </w:rPr>
              <w:t xml:space="preserve">Interpretability</w:t>
            </w:r>
          </w:p>
        </w:tc>
        <w:tc>
          <w:tcPr>
            <w:tcW w:type="dxa" w:w="3450"/>
            <w:tcMar>
              <w:top w:type="dxa" w:w="80"/>
              <w:left w:type="dxa" w:w="110"/>
              <w:bottom w:type="dxa" w:w="80"/>
              <w:right w:type="dxa" w:w="110"/>
            </w:tcMar>
          </w:tcPr>
          <w:p>
            <w:r>
              <w:rPr>
                <w:sz w:val="18"/>
                <w:szCs w:val="18"/>
              </w:rPr>
              <w:t xml:space="preserve">Fully transparent — every term has a stated biological rationale</w:t>
            </w:r>
          </w:p>
        </w:tc>
        <w:tc>
          <w:tcPr>
            <w:tcW w:type="dxa" w:w="3500"/>
            <w:tcMar>
              <w:top w:type="dxa" w:w="80"/>
              <w:left w:type="dxa" w:w="110"/>
              <w:bottom w:type="dxa" w:w="80"/>
              <w:right w:type="dxa" w:w="110"/>
            </w:tcMar>
          </w:tcPr>
          <w:p>
            <w:r>
              <w:rPr>
                <w:sz w:val="18"/>
                <w:szCs w:val="18"/>
              </w:rPr>
              <w:t xml:space="preserve">A gradient-boosted ensemble is not easily inspected term-by-term; only aggregate feature importances are available</w:t>
            </w:r>
          </w:p>
        </w:tc>
      </w:tr>
      <w:tr>
        <w:tc>
          <w:tcPr>
            <w:tcW w:type="dxa" w:w="2400"/>
            <w:tcMar>
              <w:top w:type="dxa" w:w="80"/>
              <w:left w:type="dxa" w:w="110"/>
              <w:bottom w:type="dxa" w:w="80"/>
              <w:right w:type="dxa" w:w="110"/>
            </w:tcMar>
          </w:tcPr>
          <w:p>
            <w:r>
              <w:rPr>
                <w:sz w:val="18"/>
                <w:szCs w:val="18"/>
              </w:rPr>
              <w:t xml:space="preserve">Known limitation</w:t>
            </w:r>
          </w:p>
        </w:tc>
        <w:tc>
          <w:tcPr>
            <w:tcW w:type="dxa" w:w="3450"/>
            <w:tcMar>
              <w:top w:type="dxa" w:w="80"/>
              <w:left w:type="dxa" w:w="110"/>
              <w:bottom w:type="dxa" w:w="80"/>
              <w:right w:type="dxa" w:w="110"/>
            </w:tcMar>
          </w:tcPr>
          <w:p>
            <w:r>
              <w:rPr>
                <w:sz w:val="18"/>
                <w:szCs w:val="18"/>
              </w:rPr>
              <w:t xml:space="preserve">Cannot distinguish two drugs acting on the same pathway node (e.g. the alpelisib/capivasertib tie)</w:t>
            </w:r>
          </w:p>
        </w:tc>
        <w:tc>
          <w:tcPr>
            <w:tcW w:type="dxa" w:w="3500"/>
            <w:tcMar>
              <w:top w:type="dxa" w:w="80"/>
              <w:left w:type="dxa" w:w="110"/>
              <w:bottom w:type="dxa" w:w="80"/>
              <w:right w:type="dxa" w:w="110"/>
            </w:tcMar>
          </w:tcPr>
          <w:p>
            <w:r>
              <w:rPr>
                <w:sz w:val="18"/>
                <w:szCs w:val="18"/>
              </w:rPr>
              <w:t xml:space="preserve">Needs real data at meaningful scale; with a small cohort, per-sample features have little to learn from</w:t>
            </w:r>
          </w:p>
        </w:tc>
      </w:tr>
    </w:tbl>
    <w:p>
      <w:pPr>
        <w:spacing w:after="200"/>
      </w:pPr>
    </w:p>
    <w:p>
      <w:pPr>
        <w:pStyle w:val="Heading1"/>
        <w:spacing w:after="160" w:before="320"/>
      </w:pPr>
      <w:r>
        <w:t xml:space="preserve">3. What This Session's Comparison Actually Found</w:t>
      </w:r>
    </w:p>
    <w:p>
      <w:pPr>
        <w:spacing w:after="160" w:line="300"/>
        <w:jc w:val="both"/>
      </w:pPr>
      <w:r>
        <w:rPr>
          <w:sz w:val="21"/>
          <w:szCs w:val="21"/>
        </w:rPr>
        <w:t xml:space="preserve">A common assumption is that a trained model will outperform a hand-built heuristic once real data is available. This session tested that assumption directly, and the result was more specific and more useful than a simple win/loss: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700"/>
        <w:gridCol w:w="3650"/>
      </w:tblGrid>
      <w:tr>
        <w:trPr>
          <w:tblHeader/>
        </w:trPr>
        <w:tc>
          <w:tcPr>
            <w:tcW w:type="dxa" w:w="5700"/>
            <w:shd w:fill="1F3864" w:val="clear"/>
            <w:tcMar>
              <w:top w:type="dxa" w:w="90"/>
              <w:left w:type="dxa" w:w="110"/>
              <w:bottom w:type="dxa" w:w="90"/>
              <w:right w:type="dxa" w:w="110"/>
            </w:tcMar>
          </w:tcPr>
          <w:p>
            <w:r>
              <w:rPr>
                <w:b/>
                <w:bCs/>
                <w:color w:val="FFFFFF"/>
                <w:sz w:val="18"/>
                <w:szCs w:val="18"/>
              </w:rPr>
              <w:t xml:space="preserve">Model</w:t>
            </w:r>
          </w:p>
        </w:tc>
        <w:tc>
          <w:tcPr>
            <w:tcW w:type="dxa" w:w="3650"/>
            <w:shd w:fill="1F3864" w:val="clear"/>
            <w:tcMar>
              <w:top w:type="dxa" w:w="90"/>
              <w:left w:type="dxa" w:w="110"/>
              <w:bottom w:type="dxa" w:w="90"/>
              <w:right w:type="dxa" w:w="110"/>
            </w:tcMar>
          </w:tcPr>
          <w:p>
            <w:r>
              <w:rPr>
                <w:b/>
                <w:bCs/>
                <w:color w:val="FFFFFF"/>
                <w:sz w:val="18"/>
                <w:szCs w:val="18"/>
              </w:rPr>
              <w:t xml:space="preserve">R² (grouped cross-validation)</w:t>
            </w:r>
          </w:p>
        </w:tc>
      </w:tr>
      <w:tr>
        <w:tc>
          <w:tcPr>
            <w:tcW w:type="dxa" w:w="5700"/>
            <w:tcMar>
              <w:top w:type="dxa" w:w="80"/>
              <w:left w:type="dxa" w:w="110"/>
              <w:bottom w:type="dxa" w:w="80"/>
              <w:right w:type="dxa" w:w="110"/>
            </w:tcMar>
          </w:tcPr>
          <w:p>
            <w:r>
              <w:rPr>
                <w:sz w:val="18"/>
                <w:szCs w:val="18"/>
              </w:rPr>
              <w:t xml:space="preserve">Multi-omic features alone (expression, copy number, damaging mutation)</w:t>
            </w:r>
          </w:p>
        </w:tc>
        <w:tc>
          <w:tcPr>
            <w:tcW w:type="dxa" w:w="3650"/>
            <w:tcMar>
              <w:top w:type="dxa" w:w="80"/>
              <w:left w:type="dxa" w:w="110"/>
              <w:bottom w:type="dxa" w:w="80"/>
              <w:right w:type="dxa" w:w="110"/>
            </w:tcMar>
          </w:tcPr>
          <w:p>
            <w:r>
              <w:rPr>
                <w:sz w:val="18"/>
                <w:szCs w:val="18"/>
              </w:rPr>
              <w:t xml:space="preserve">-0.029 (no real predictive power)</w:t>
            </w:r>
          </w:p>
        </w:tc>
      </w:tr>
      <w:tr>
        <w:tc>
          <w:tcPr>
            <w:tcW w:type="dxa" w:w="5700"/>
            <w:tcMar>
              <w:top w:type="dxa" w:w="80"/>
              <w:left w:type="dxa" w:w="110"/>
              <w:bottom w:type="dxa" w:w="80"/>
              <w:right w:type="dxa" w:w="110"/>
            </w:tcMar>
          </w:tcPr>
          <w:p>
            <w:r>
              <w:rPr>
                <w:sz w:val="18"/>
                <w:szCs w:val="18"/>
              </w:rPr>
              <w:t xml:space="preserve">Gene identity alone (each kinase's own typical dependency level)</w:t>
            </w:r>
          </w:p>
        </w:tc>
        <w:tc>
          <w:tcPr>
            <w:tcW w:type="dxa" w:w="3650"/>
            <w:tcMar>
              <w:top w:type="dxa" w:w="80"/>
              <w:left w:type="dxa" w:w="110"/>
              <w:bottom w:type="dxa" w:w="80"/>
              <w:right w:type="dxa" w:w="110"/>
            </w:tcMar>
          </w:tcPr>
          <w:p>
            <w:r>
              <w:rPr>
                <w:sz w:val="18"/>
                <w:szCs w:val="18"/>
              </w:rPr>
              <w:t xml:space="preserve">0.337</w:t>
            </w:r>
          </w:p>
        </w:tc>
      </w:tr>
      <w:tr>
        <w:tc>
          <w:tcPr>
            <w:tcW w:type="dxa" w:w="5700"/>
            <w:tcMar>
              <w:top w:type="dxa" w:w="80"/>
              <w:left w:type="dxa" w:w="110"/>
              <w:bottom w:type="dxa" w:w="80"/>
              <w:right w:type="dxa" w:w="110"/>
            </w:tcMar>
          </w:tcPr>
          <w:p>
            <w:r>
              <w:rPr>
                <w:sz w:val="18"/>
                <w:szCs w:val="18"/>
              </w:rPr>
              <w:t xml:space="preserve">Combined (gene identity + multi-omic features)</w:t>
            </w:r>
          </w:p>
        </w:tc>
        <w:tc>
          <w:tcPr>
            <w:tcW w:type="dxa" w:w="3650"/>
            <w:tcMar>
              <w:top w:type="dxa" w:w="80"/>
              <w:left w:type="dxa" w:w="110"/>
              <w:bottom w:type="dxa" w:w="80"/>
              <w:right w:type="dxa" w:w="110"/>
            </w:tcMar>
          </w:tcPr>
          <w:p>
            <w:r>
              <w:rPr>
                <w:sz w:val="18"/>
                <w:szCs w:val="18"/>
              </w:rPr>
              <w:t xml:space="preserve">0.339 (no meaningful improvement over gene identity alone)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6"/>
              <w:left w:val="single" w:color="2E7D32" w:sz="6"/>
              <w:bottom w:val="single" w:color="2E7D32" w:sz="6"/>
              <w:right w:val="single" w:color="2E7D32" w:sz="6"/>
            </w:tcBorders>
            <w:shd w:fill="E9F5EA" w:val="clear"/>
            <w:tcMar>
              <w:top w:type="dxa" w:w="140"/>
              <w:left w:type="dxa" w:w="180"/>
              <w:bottom w:type="dxa" w:w="140"/>
              <w:right w:type="dxa" w:w="180"/>
            </w:tcMar>
          </w:tcPr>
          <w:p>
            <w:pPr>
              <w:spacing w:after="70" w:line="270"/>
            </w:pPr>
            <w:r>
              <w:rPr>
                <w:b/>
                <w:bCs/>
                <w:color w:val="2E7D32"/>
                <w:sz w:val="20"/>
                <w:szCs w:val="20"/>
              </w:rPr>
              <w:t xml:space="preserve">The ML investigation validated the heuristic; it did not replace it.</w:t>
            </w:r>
          </w:p>
          <w:p>
            <w:pPr>
              <w:spacing w:after="0" w:line="270"/>
            </w:pPr>
            <w:r>
              <w:rPr>
                <w:b w:val="false"/>
                <w:bCs w:val="false"/>
                <w:color w:val="2E7D32"/>
                <w:sz w:val="20"/>
                <w:szCs w:val="20"/>
              </w:rPr>
              <w:t xml:space="preserve">CTS's essentiality term already scores each kinase by its mean DepMap essentiality — exactly the “gene identity” signal that explained the overwhelming majority of the learnable variance in this cohort. The more sophisticated, per-sample multi-omic model added nothing once that signal was accounted for. This is a legitimate, useful outcome: it is evidence that CTS's original design choice (score by mean essentiality, not by a per-sample predictive model) was the right one for a cohort of this size, not a failure of the ML approach.</w:t>
            </w:r>
          </w:p>
        </w:tc>
      </w:tr>
    </w:tbl>
    <w:p>
      <w:pPr>
        <w:pStyle w:val="Heading1"/>
        <w:spacing w:after="160" w:before="320"/>
      </w:pPr>
      <w:r>
        <w:t xml:space="preserve">4. Why Sample Size Limited This Investigation</w:t>
      </w:r>
    </w:p>
    <w:p>
      <w:pPr>
        <w:spacing w:after="160" w:line="300"/>
        <w:jc w:val="both"/>
      </w:pPr>
      <w:r>
        <w:rPr>
          <w:sz w:val="21"/>
          <w:szCs w:val="21"/>
        </w:rPr>
        <w:t xml:space="preserve">The dependency-prediction model was trained on 25 confirmed-TNBC cell lines — the entire set DepMap currently provides for this specific cancer subtype with complete CRISPR, expression, and copy-number coverage. This is a genuine constraint, not a choice: 25 independent biological samples is a small number for detecting a real but modest per-sample effect using gradient boosting, which typically needs substantially more data to distinguish true signal from noise reliably.</w:t>
      </w:r>
    </w:p>
    <w:p>
      <w:pPr>
        <w:spacing w:after="160" w:line="300"/>
        <w:jc w:val="both"/>
      </w:pPr>
      <w:r>
        <w:rPr>
          <w:sz w:val="21"/>
          <w:szCs w:val="21"/>
        </w:rPr>
        <w:t xml:space="preserve">The honest interpretation of §3's result is therefore two-sided: either (a) cell-line-specific expression and copy number genuinely do not modulate dependency for these kinases within TNBC, or (b) a real but modest effect exists that 25 samples lacks the statistical power to detect. The recommendations below are aimed directly at resolving that ambiguity with more data, rather than treating either reading as settled.</w:t>
      </w:r>
    </w:p>
    <w:p>
      <w:pPr>
        <w:pStyle w:val="Heading1"/>
        <w:spacing w:after="160" w:before="320"/>
      </w:pPr>
      <w:r>
        <w:t xml:space="preserve">5. Recommendations for Using Large-Volume Data</w:t>
      </w:r>
    </w:p>
    <w:p>
      <w:pPr>
        <w:pStyle w:val="Heading2"/>
        <w:spacing w:after="120" w:before="240"/>
      </w:pPr>
      <w:r>
        <w:t xml:space="preserve">5.1 Expand beyond TNBC-only training, using subtype as a feature rather than a filter</w:t>
      </w:r>
    </w:p>
    <w:p>
      <w:pPr>
        <w:spacing w:after="160" w:line="300"/>
        <w:jc w:val="both"/>
      </w:pPr>
      <w:r>
        <w:rPr>
          <w:sz w:val="21"/>
          <w:szCs w:val="21"/>
        </w:rPr>
        <w:t xml:space="preserve">DepMap's full public release covers over a thousand cancer cell lines across all lineages, of which the ~25 TNBC lines used here are a small fraction. Training a single model across the full pan-cancer panel — with cancer subtype/lineage included as an explicit categorical feature rather than as a pre-filter — would increase the training sample by roughly 40-50x while still allowing TNBC-specific predictions to be extracted at inference time. The within-gene, cross-sample relationship between expression/CNV and dependency may be shared across cancer types even where each gene's baseline essentiality differs by context; a pan-cancer model can separate these two effects explicitly, which a TNBC-only model with 25 samples cannot do reliably.</w:t>
      </w:r>
    </w:p>
    <w:p>
      <w:pPr>
        <w:pStyle w:val="Heading2"/>
        <w:spacing w:after="120" w:before="240"/>
      </w:pPr>
      <w:r>
        <w:t xml:space="preserve">5.2 Use a hierarchical (mixed-effects) model, not a single flat gradient-boosted model</w:t>
      </w:r>
    </w:p>
    <w:p>
      <w:pPr>
        <w:spacing w:after="160" w:line="300"/>
        <w:jc w:val="both"/>
      </w:pPr>
      <w:r>
        <w:rPr>
          <w:sz w:val="21"/>
          <w:szCs w:val="21"/>
        </w:rPr>
        <w:t xml:space="preserve">The core ambiguity this session could not resolve — how much of dependency is a fixed, per-gene baseline versus a per-sample, feature-driven modulation — is precisely the problem hierarchical/mixed-effects models are designed to separate cleanly and with a formal statistical basis (a per-gene random intercept, plus fixed effects for expression/CNV/mutation). This would replace the current two-stage, ad hoc comparison (gene-identity-only vs. combined) with a single, statistically principled model that reports both effects and their uncertainty simultaneously.</w:t>
      </w:r>
    </w:p>
    <w:p>
      <w:pPr>
        <w:pStyle w:val="Heading2"/>
        <w:spacing w:after="120" w:before="240"/>
      </w:pPr>
      <w:r>
        <w:t xml:space="preserve">5.3 Acquire real pairwise drug-synergy data to close the two stated open gaps</w:t>
      </w:r>
    </w:p>
    <w:p>
      <w:pPr>
        <w:spacing w:after="160" w:line="300"/>
        <w:jc w:val="both"/>
      </w:pPr>
      <w:r>
        <w:rPr>
          <w:sz w:val="21"/>
          <w:szCs w:val="21"/>
        </w:rPr>
        <w:t xml:space="preserve">Both PairCTS/DrugPairScore's synergy term and TripletCTS's escape-route-closure term currently contribute zero to every score, for lack of a real data source. GDSC2 and PRISM (both public, both already referenced elsewhere in this project's documentation) provide real combination-screen synergy data at a scale that would let both terms be populated with genuine signal rather than left at zero — this is very likely a larger source of missing accuracy in TripletCTS than anything the per-sample multi-omic features could offer.</w:t>
      </w:r>
    </w:p>
    <w:p>
      <w:pPr>
        <w:pStyle w:val="Heading2"/>
        <w:spacing w:after="120" w:before="240"/>
      </w:pPr>
      <w:r>
        <w:t xml:space="preserve">5.4 Move toward direct drug-sensitivity prediction, not only gene-level dependency</w:t>
      </w:r>
    </w:p>
    <w:p>
      <w:pPr>
        <w:spacing w:after="160" w:line="300"/>
        <w:jc w:val="both"/>
      </w:pPr>
      <w:r>
        <w:rPr>
          <w:sz w:val="21"/>
          <w:szCs w:val="21"/>
        </w:rPr>
        <w:t xml:space="preserve">CRISPR dependency measures genetic necessity, not drug response — a gene can be essential without any current drug targeting it well, and a drug's real-world efficacy depends on more than its nominal target's essentiality. Public drug-sensitivity datasets (GDSC, CTRP, PRISM repurposing screens) pair actual compounds with measured cell-line viability, and would let a future model predict the thing this project's ultimate hypotheses are actually about — whether a drug works — rather than a proxy for it.</w:t>
      </w:r>
    </w:p>
    <w:p>
      <w:pPr>
        <w:pStyle w:val="Heading2"/>
        <w:spacing w:after="120" w:before="240"/>
      </w:pPr>
      <w:r>
        <w:t xml:space="preserve">5.5 Add a formal statistical power calculation before concluding “no effect” in any future small-cohort analysis</w:t>
      </w:r>
    </w:p>
    <w:p>
      <w:pPr>
        <w:spacing w:after="160" w:line="300"/>
        <w:jc w:val="both"/>
      </w:pPr>
      <w:r>
        <w:rPr>
          <w:sz w:val="21"/>
          <w:szCs w:val="21"/>
        </w:rPr>
        <w:t xml:space="preserve">This session's null result for per-sample features was interpreted cautiously (§4) rather than treated as proof of no effect, precisely because no power analysis was performed to state what minimum effect size 25 samples could reliably detect. Any future analysis on a similarly small cohort should include this calculation up front, so that a null result can be stated with a specific, defensible bound (“we can rule out an effect larger than X”) rather than a general caveat.</w:t>
      </w:r>
    </w:p>
    <w:p>
      <w:pPr>
        <w:pStyle w:val="Heading2"/>
        <w:spacing w:after="120" w:before="240"/>
      </w:pPr>
      <w:r>
        <w:t xml:space="preserve">5.6 Cross-cancer-type transfer as a validation strategy</w:t>
      </w:r>
    </w:p>
    <w:p>
      <w:pPr>
        <w:spacing w:after="160" w:line="300"/>
        <w:jc w:val="both"/>
      </w:pPr>
      <w:r>
        <w:rPr>
          <w:sz w:val="21"/>
          <w:szCs w:val="21"/>
        </w:rPr>
        <w:t xml:space="preserve">Training a model on non-TNBC cancer types and testing its accuracy specifically on the held-out TNBC lines would provide direct evidence of whether the expression/CNV-to-dependency relationship generalizes across cancer contexts — informative regardless of which way it comes out, and a natural complement to the pan-cancer training approach in §5.1.</w:t>
      </w:r>
    </w:p>
    <w:p>
      <w:pPr>
        <w:pStyle w:val="Heading1"/>
        <w:spacing w:after="160" w:before="320"/>
      </w:pPr>
      <w:r>
        <w:t xml:space="preserve">6. Summary</w:t>
      </w:r>
    </w:p>
    <w:p>
      <w:pPr>
        <w:spacing w:after="160" w:line="300"/>
        <w:jc w:val="both"/>
      </w:pPr>
      <w:r>
        <w:rPr>
          <w:sz w:val="21"/>
          <w:szCs w:val="21"/>
        </w:rPr>
        <w:t xml:space="preserve">The heuristic (CTS/HCOS) and machine-learning approaches in this project are not competing alternatives to be judged as better or worse in the abstract — they are different tools answering different questions, and this session used the ML approach specifically to test one of the heuristic's core design assumptions. That assumption held up. The path forward is not to abandon either approach, but to scale the data available to both: larger, pan-cancer training data and a properly separated statistical model for the dependency-prediction side, and real synergy/sensitivity data to fill the heuristic scoring's two acknowledged gaps.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2026-07-12T21:21:18.737Z</dcterms:created>
  <dcterms:modified xsi:type="dcterms:W3CDTF">2026-07-12T21:21:18.754Z</dcterms:modified>
</cp:coreProperties>
</file>

<file path=docProps/custom.xml><?xml version="1.0" encoding="utf-8"?>
<Properties xmlns="http://schemas.openxmlformats.org/officeDocument/2006/custom-properties" xmlns:vt="http://schemas.openxmlformats.org/officeDocument/2006/docPropsVTypes"/>
</file>