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Session Report</w:t>
      </w:r>
    </w:p>
    <w:p>
      <w:pPr>
        <w:spacing w:after="40"/>
      </w:pPr>
      <w:r>
        <w:rPr>
          <w:b/>
          <w:bCs/>
          <w:color w:val="595959"/>
          <w:sz w:val="24"/>
          <w:szCs w:val="24"/>
        </w:rPr>
        <w:t xml:space="preserve">Multi-Omic DepMap Extension, ML Validation, Real-Data Regimen Scoring, and Repository Integration</w:t>
      </w:r>
    </w:p>
    <w:p>
      <w:pPr>
        <w:pBdr>
          <w:bottom w:val="single" w:color="CCCCCC" w:sz="6" w:space="8"/>
        </w:pBdr>
        <w:spacing w:after="320"/>
      </w:pPr>
      <w:r>
        <w:rPr>
          <w:i/>
          <w:iCs/>
          <w:color w:val="595959"/>
          <w:sz w:val="20"/>
          <w:szCs w:val="20"/>
        </w:rPr>
        <w:t xml:space="preserve">A follow-on working session extending the validated 90-kinase CTS pipeline with real DepMap multi-omic data, testing a machine-learning approach to dependency prediction, integrating real drug-target evidence into regimen scoring, and resolving a series of GitHub repository management issues across three project repositories.</w:t>
      </w:r>
    </w:p>
    <w:p>
      <w:pPr>
        <w:pStyle w:val="Heading1"/>
        <w:spacing w:after="160" w:before="320"/>
      </w:pPr>
      <w:r>
        <w:t xml:space="preserve">1. Purpose and Scope</w:t>
      </w:r>
    </w:p>
    <w:p>
      <w:pPr>
        <w:spacing w:after="160" w:line="300"/>
        <w:jc w:val="both"/>
      </w:pPr>
      <w:r>
        <w:rPr>
          <w:sz w:val="21"/>
          <w:szCs w:val="21"/>
        </w:rPr>
        <w:t xml:space="preserve">This report documents a second, follow-on working session building on the previously-validated 90-kinase CTS pipeline. Three substantive scientific/engineering threads were pursued: (1) extending the pipeline with additional real DepMap multi-omic data (copy number, expression, mutation status, gene fusions, and curated gene-essentiality references) and testing whether a trained model could predict kinase dependency from these features; (2) applying the resulting findings back into the scoring pipeline itself, and running real pair- and triplet-level drug-combination scoring against the validated kinase data; and (3) building a real, DGIdb-sourced alternative to the hand-curated drug-target dictionary used in the regimen-ranking system, and comparing its output against the already-validated result. Alongside this, a substantial amount of software engineering and repository-management troubleshooting was required and is documented in full, since several of the issues encountered (a git repository silently spanning the entire home directory, a project repository nested inside another) are worth a permanent record given their potential severity.</w:t>
      </w:r>
    </w:p>
    <w:p>
      <w:pPr>
        <w:pStyle w:val="Heading1"/>
        <w:spacing w:after="160" w:before="320"/>
      </w:pPr>
      <w:r>
        <w:t xml:space="preserve">2. Why DepMap Data Was Used</w:t>
      </w:r>
    </w:p>
    <w:p>
      <w:pPr>
        <w:spacing w:after="160" w:line="300"/>
        <w:jc w:val="both"/>
      </w:pPr>
      <w:r>
        <w:rPr>
          <w:sz w:val="21"/>
          <w:szCs w:val="21"/>
        </w:rPr>
        <w:t xml:space="preserve">The original 90-kinase CTS score combined four data sources: STRING network centrality, single-value DepMap essentiality (Chronos score), TCGA-BRCA survival association, and DGIdb drug-target evidence. Each of these is either a correlative signal (network position, survival association) or a single summary statistic per kinase (mean essentiality across cell lines). None of them describe how a specific gene's essentiality might vary across different tumor contexts, or why.</w:t>
      </w:r>
    </w:p>
    <w:p>
      <w:pPr>
        <w:spacing w:after="160" w:line="300"/>
        <w:jc w:val="both"/>
      </w:pPr>
      <w:r>
        <w:rPr>
          <w:sz w:val="21"/>
          <w:szCs w:val="21"/>
        </w:rPr>
        <w:t xml:space="preserve">DepMap (the Cancer Dependency Map, Broad Institute) was selected to close that gap for three concrete reasons:</w:t>
      </w:r>
    </w:p>
    <w:p>
      <w:pPr>
        <w:pStyle w:val="ListParagraph"/>
        <w:numPr>
          <w:ilvl w:val="0"/>
          <w:numId w:val="2"/>
        </w:numPr>
        <w:spacing w:after="100" w:line="290"/>
      </w:pPr>
      <w:r>
        <w:rPr>
          <w:b/>
          <w:bCs/>
          <w:sz w:val="21"/>
          <w:szCs w:val="21"/>
        </w:rPr>
        <w:t xml:space="preserve">Direct functional evidence, not correlation. </w:t>
      </w:r>
      <w:r>
        <w:rPr>
          <w:sz w:val="21"/>
          <w:szCs w:val="21"/>
        </w:rPr>
        <w:t xml:space="preserve"> DepMap is built on genome-wide CRISPR knockout screens across hundreds of cancer cell lines, including a well-annotated panel of confirmed triple-negative breast cancer lines. This is real, experimental, loss-of-function functional genomics — direct evidence of which genes a cell actually requires to survive — not an inferred or correlative signal.</w:t>
      </w:r>
    </w:p>
    <w:p>
      <w:pPr>
        <w:pStyle w:val="ListParagraph"/>
        <w:numPr>
          <w:ilvl w:val="0"/>
          <w:numId w:val="2"/>
        </w:numPr>
        <w:spacing w:after="100" w:line="290"/>
      </w:pPr>
      <w:r>
        <w:rPr>
          <w:b/>
          <w:bCs/>
          <w:sz w:val="21"/>
          <w:szCs w:val="21"/>
        </w:rPr>
        <w:t xml:space="preserve">Matched multi-omic layers on the same cell lines. </w:t>
      </w:r>
      <w:r>
        <w:rPr>
          <w:sz w:val="21"/>
          <w:szCs w:val="21"/>
        </w:rPr>
        <w:t xml:space="preserve"> A single DepMap release provides matched expression (RNA-seq TPM), copy number (WGS-derived), and somatic mutation (damaging and hotspot) data for the same cell lines used in the CRISPR screens. This is what made it possible to ask a genuinely new question this session: does a kinase's own expression, copy number, or mutation status in a specific cell line predict how essential it is in that line, beyond its average essentiality alone?</w:t>
      </w:r>
    </w:p>
    <w:p>
      <w:pPr>
        <w:pStyle w:val="ListParagraph"/>
        <w:numPr>
          <w:ilvl w:val="0"/>
          <w:numId w:val="2"/>
        </w:numPr>
        <w:spacing w:after="100" w:line="290"/>
      </w:pPr>
      <w:r>
        <w:rPr>
          <w:b/>
          <w:bCs/>
          <w:sz w:val="21"/>
          <w:szCs w:val="21"/>
        </w:rPr>
        <w:t xml:space="preserve">It is the only available substrate for the project's own stated Phase 2 goal. </w:t>
      </w:r>
      <w:r>
        <w:rPr>
          <w:sz w:val="21"/>
          <w:szCs w:val="21"/>
        </w:rPr>
        <w:t xml:space="preserve"> The original grant proposal's own Phase 2 roadmap explicitly called for “replacing the current heuristic with a trained model.” DepMap's per-cell-line, multi-omic structure is what makes that idea testable at all — without matched expression/CNV/mutation/dependency data on the same samples, there is no feature set to train a predictive model against.</w:t>
      </w:r>
    </w:p>
    <w:p>
      <w:pPr>
        <w:spacing w:after="160" w:line="300"/>
        <w:jc w:val="both"/>
      </w:pPr>
      <w:r>
        <w:rPr>
          <w:sz w:val="21"/>
          <w:szCs w:val="21"/>
        </w:rPr>
        <w:t xml:space="preserve">DepMap is also the field-standard resource for this kind of question — maintained by the Broad Institute, used across essentially all modern cancer dependency research — so results derived from it are directly comparable to, and interpretable against, the broader literature in a way a bespoke or ad hoc essentiality source would not be.</w:t>
      </w:r>
    </w:p>
    <w:p>
      <w:pPr>
        <w:pStyle w:val="Heading1"/>
        <w:spacing w:after="160" w:before="320"/>
      </w:pPr>
      <w:r>
        <w:t xml:space="preserve">3. Data Used This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3650"/>
      </w:tblGrid>
      <w:tr>
        <w:trPr>
          <w:tblHeader/>
        </w:trPr>
        <w:tc>
          <w:tcPr>
            <w:tcW w:type="dxa" w:w="3800"/>
            <w:shd w:fill="1F3864" w:val="clear"/>
            <w:tcMar>
              <w:top w:type="dxa" w:w="90"/>
              <w:left w:type="dxa" w:w="110"/>
              <w:bottom w:type="dxa" w:w="90"/>
              <w:right w:type="dxa" w:w="110"/>
            </w:tcMar>
          </w:tcPr>
          <w:p>
            <w:r>
              <w:rPr>
                <w:b/>
                <w:bCs/>
                <w:color w:val="FFFFFF"/>
                <w:sz w:val="18"/>
                <w:szCs w:val="18"/>
              </w:rPr>
              <w:t xml:space="preserve">File</w:t>
            </w:r>
          </w:p>
        </w:tc>
        <w:tc>
          <w:tcPr>
            <w:tcW w:type="dxa" w:w="1900"/>
            <w:shd w:fill="1F3864" w:val="clear"/>
            <w:tcMar>
              <w:top w:type="dxa" w:w="90"/>
              <w:left w:type="dxa" w:w="110"/>
              <w:bottom w:type="dxa" w:w="90"/>
              <w:right w:type="dxa" w:w="110"/>
            </w:tcMar>
          </w:tcPr>
          <w:p>
            <w:r>
              <w:rPr>
                <w:b/>
                <w:bCs/>
                <w:color w:val="FFFFFF"/>
                <w:sz w:val="18"/>
                <w:szCs w:val="18"/>
              </w:rPr>
              <w:t xml:space="preserve">Source</w:t>
            </w:r>
          </w:p>
        </w:tc>
        <w:tc>
          <w:tcPr>
            <w:tcW w:type="dxa" w:w="3650"/>
            <w:shd w:fill="1F3864" w:val="clear"/>
            <w:tcMar>
              <w:top w:type="dxa" w:w="90"/>
              <w:left w:type="dxa" w:w="110"/>
              <w:bottom w:type="dxa" w:w="90"/>
              <w:right w:type="dxa" w:w="110"/>
            </w:tcMar>
          </w:tcPr>
          <w:p>
            <w:r>
              <w:rPr>
                <w:b/>
                <w:bCs/>
                <w:color w:val="FFFFFF"/>
                <w:sz w:val="18"/>
                <w:szCs w:val="18"/>
              </w:rPr>
              <w:t xml:space="preserve">Purpose</w:t>
            </w:r>
          </w:p>
        </w:tc>
      </w:tr>
      <w:tr>
        <w:tc>
          <w:tcPr>
            <w:tcW w:type="dxa" w:w="3800"/>
            <w:tcMar>
              <w:top w:type="dxa" w:w="80"/>
              <w:left w:type="dxa" w:w="110"/>
              <w:bottom w:type="dxa" w:w="80"/>
              <w:right w:type="dxa" w:w="110"/>
            </w:tcMar>
          </w:tcPr>
          <w:p>
            <w:r>
              <w:rPr>
                <w:sz w:val="18"/>
                <w:szCs w:val="18"/>
              </w:rPr>
              <w:t xml:space="preserve">OmicsExpressionTPMLogp1HumanProteinCodingGenes.csv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Per-cell-line kinase expression</w:t>
            </w:r>
          </w:p>
        </w:tc>
      </w:tr>
      <w:tr>
        <w:tc>
          <w:tcPr>
            <w:tcW w:type="dxa" w:w="3800"/>
            <w:tcMar>
              <w:top w:type="dxa" w:w="80"/>
              <w:left w:type="dxa" w:w="110"/>
              <w:bottom w:type="dxa" w:w="80"/>
              <w:right w:type="dxa" w:w="110"/>
            </w:tcMar>
          </w:tcPr>
          <w:p>
            <w:r>
              <w:rPr>
                <w:sz w:val="18"/>
                <w:szCs w:val="18"/>
              </w:rPr>
              <w:t xml:space="preserve">OmicsCNGeneWGS.csv / PortalOmicsCNGeneLog2.csv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Per-cell-line copy number (both variants downloaded for comparison)</w:t>
            </w:r>
          </w:p>
        </w:tc>
      </w:tr>
      <w:tr>
        <w:tc>
          <w:tcPr>
            <w:tcW w:type="dxa" w:w="3800"/>
            <w:tcMar>
              <w:top w:type="dxa" w:w="80"/>
              <w:left w:type="dxa" w:w="110"/>
              <w:bottom w:type="dxa" w:w="80"/>
              <w:right w:type="dxa" w:w="110"/>
            </w:tcMar>
          </w:tcPr>
          <w:p>
            <w:r>
              <w:rPr>
                <w:sz w:val="18"/>
                <w:szCs w:val="18"/>
              </w:rPr>
              <w:t xml:space="preserve">CRISPRGeneDependency.csv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Per-cell-line dependency probability (ML training label)</w:t>
            </w:r>
          </w:p>
        </w:tc>
      </w:tr>
      <w:tr>
        <w:tc>
          <w:tcPr>
            <w:tcW w:type="dxa" w:w="3800"/>
            <w:tcMar>
              <w:top w:type="dxa" w:w="80"/>
              <w:left w:type="dxa" w:w="110"/>
              <w:bottom w:type="dxa" w:w="80"/>
              <w:right w:type="dxa" w:w="110"/>
            </w:tcMar>
          </w:tcPr>
          <w:p>
            <w:r>
              <w:rPr>
                <w:sz w:val="18"/>
                <w:szCs w:val="18"/>
              </w:rPr>
              <w:t xml:space="preserve">OmicsSomaticMutationsMatrixDamaging.csv / ...Hotspot.csv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Per-cell-line loss-of-function and activating mutation counts</w:t>
            </w:r>
          </w:p>
        </w:tc>
      </w:tr>
      <w:tr>
        <w:tc>
          <w:tcPr>
            <w:tcW w:type="dxa" w:w="3800"/>
            <w:tcMar>
              <w:top w:type="dxa" w:w="80"/>
              <w:left w:type="dxa" w:w="110"/>
              <w:bottom w:type="dxa" w:w="80"/>
              <w:right w:type="dxa" w:w="110"/>
            </w:tcMar>
          </w:tcPr>
          <w:p>
            <w:r>
              <w:rPr>
                <w:sz w:val="18"/>
                <w:szCs w:val="18"/>
              </w:rPr>
              <w:t xml:space="preserve">OmicsFusionFiltered.csv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Gene fusion events (NTRK/ALK/ROS1/RET relevance)</w:t>
            </w:r>
          </w:p>
        </w:tc>
      </w:tr>
      <w:tr>
        <w:tc>
          <w:tcPr>
            <w:tcW w:type="dxa" w:w="3800"/>
            <w:tcMar>
              <w:top w:type="dxa" w:w="80"/>
              <w:left w:type="dxa" w:w="110"/>
              <w:bottom w:type="dxa" w:w="80"/>
              <w:right w:type="dxa" w:w="110"/>
            </w:tcMar>
          </w:tcPr>
          <w:p>
            <w:r>
              <w:rPr>
                <w:sz w:val="18"/>
                <w:szCs w:val="18"/>
              </w:rPr>
              <w:t xml:space="preserve">OmicsInferredMolecularSubtypes.csv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Investigated for TNBC subtype cross-validation; found to be pan-cancer hotspot-defined subtypes, not applicable to this purpose</w:t>
            </w:r>
          </w:p>
        </w:tc>
      </w:tr>
      <w:tr>
        <w:tc>
          <w:tcPr>
            <w:tcW w:type="dxa" w:w="3800"/>
            <w:tcMar>
              <w:top w:type="dxa" w:w="80"/>
              <w:left w:type="dxa" w:w="110"/>
              <w:bottom w:type="dxa" w:w="80"/>
              <w:right w:type="dxa" w:w="110"/>
            </w:tcMar>
          </w:tcPr>
          <w:p>
            <w:r>
              <w:rPr>
                <w:sz w:val="18"/>
                <w:szCs w:val="18"/>
              </w:rPr>
              <w:t xml:space="preserve">CRISPRInferredCommonEssentials.csv / AchillesNonessentialControls.csv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Pan-essential / control gene reference lists</w:t>
            </w:r>
          </w:p>
        </w:tc>
      </w:tr>
      <w:tr>
        <w:tc>
          <w:tcPr>
            <w:tcW w:type="dxa" w:w="3800"/>
            <w:tcMar>
              <w:top w:type="dxa" w:w="80"/>
              <w:left w:type="dxa" w:w="110"/>
              <w:bottom w:type="dxa" w:w="80"/>
              <w:right w:type="dxa" w:w="110"/>
            </w:tcMar>
          </w:tcPr>
          <w:p>
            <w:r>
              <w:rPr>
                <w:sz w:val="18"/>
                <w:szCs w:val="18"/>
              </w:rPr>
              <w:t xml:space="preserve">Gene.csv, CRISPRScreenMap.csv, CRISPRConfounders.csv</w:t>
            </w:r>
          </w:p>
        </w:tc>
        <w:tc>
          <w:tcPr>
            <w:tcW w:type="dxa" w:w="1900"/>
            <w:tcMar>
              <w:top w:type="dxa" w:w="80"/>
              <w:left w:type="dxa" w:w="110"/>
              <w:bottom w:type="dxa" w:w="80"/>
              <w:right w:type="dxa" w:w="110"/>
            </w:tcMar>
          </w:tcPr>
          <w:p>
            <w:r>
              <w:rPr>
                <w:sz w:val="18"/>
                <w:szCs w:val="18"/>
              </w:rPr>
              <w:t xml:space="preserve">DepMap</w:t>
            </w:r>
          </w:p>
        </w:tc>
        <w:tc>
          <w:tcPr>
            <w:tcW w:type="dxa" w:w="3650"/>
            <w:tcMar>
              <w:top w:type="dxa" w:w="80"/>
              <w:left w:type="dxa" w:w="110"/>
              <w:bottom w:type="dxa" w:w="80"/>
              <w:right w:type="dxa" w:w="110"/>
            </w:tcMar>
          </w:tcPr>
          <w:p>
            <w:r>
              <w:rPr>
                <w:sz w:val="18"/>
                <w:szCs w:val="18"/>
              </w:rPr>
              <w:t xml:space="preserve">Gene ID metadata, screen deduplication, confounder reference</w:t>
            </w:r>
          </w:p>
        </w:tc>
      </w:tr>
      <w:tr>
        <w:tc>
          <w:tcPr>
            <w:tcW w:type="dxa" w:w="3800"/>
            <w:tcMar>
              <w:top w:type="dxa" w:w="80"/>
              <w:left w:type="dxa" w:w="110"/>
              <w:bottom w:type="dxa" w:w="80"/>
              <w:right w:type="dxa" w:w="110"/>
            </w:tcMar>
          </w:tcPr>
          <w:p>
            <w:r>
              <w:rPr>
                <w:sz w:val="18"/>
                <w:szCs w:val="18"/>
              </w:rPr>
              <w:t xml:space="preserve">dgidb_interactions.tsv</w:t>
            </w:r>
          </w:p>
        </w:tc>
        <w:tc>
          <w:tcPr>
            <w:tcW w:type="dxa" w:w="1900"/>
            <w:tcMar>
              <w:top w:type="dxa" w:w="80"/>
              <w:left w:type="dxa" w:w="110"/>
              <w:bottom w:type="dxa" w:w="80"/>
              <w:right w:type="dxa" w:w="110"/>
            </w:tcMar>
          </w:tcPr>
          <w:p>
            <w:r>
              <w:rPr>
                <w:sz w:val="18"/>
                <w:szCs w:val="18"/>
              </w:rPr>
              <w:t xml:space="preserve">DGIdb (previously fetched)</w:t>
            </w:r>
          </w:p>
        </w:tc>
        <w:tc>
          <w:tcPr>
            <w:tcW w:type="dxa" w:w="3650"/>
            <w:tcMar>
              <w:top w:type="dxa" w:w="80"/>
              <w:left w:type="dxa" w:w="110"/>
              <w:bottom w:type="dxa" w:w="80"/>
              <w:right w:type="dxa" w:w="110"/>
            </w:tcMar>
          </w:tcPr>
          <w:p>
            <w:r>
              <w:rPr>
                <w:sz w:val="18"/>
                <w:szCs w:val="18"/>
              </w:rPr>
              <w:t xml:space="preserve">Real drug-target evidence for regimen scoring</w:t>
            </w:r>
          </w:p>
        </w:tc>
      </w:tr>
    </w:tbl>
    <w:p>
      <w:pPr>
        <w:spacing w:after="200"/>
      </w:pPr>
    </w:p>
    <w:p>
      <w:pPr>
        <w:pStyle w:val="Heading1"/>
        <w:spacing w:after="160" w:before="320"/>
      </w:pPr>
      <w:r>
        <w:t xml:space="preserve">4. Work Completed</w:t>
      </w:r>
    </w:p>
    <w:p>
      <w:pPr>
        <w:pStyle w:val="Heading2"/>
        <w:spacing w:after="120" w:before="240"/>
      </w:pPr>
      <w:r>
        <w:t xml:space="preserve">4.1 Multi-Omic Data Loaders</w:t>
      </w:r>
    </w:p>
    <w:p>
      <w:pPr>
        <w:spacing w:after="160" w:line="300"/>
        <w:jc w:val="both"/>
      </w:pPr>
      <w:r>
        <w:rPr>
          <w:sz w:val="21"/>
          <w:szCs w:val="21"/>
        </w:rPr>
        <w:t xml:space="preserve">Built parsers for each new DepMap file, reusing and extending the loader design already validated for the single-file DepMap essentiality source. Real-format inspection revealed two distinct file layouts in use across different DepMap files (a simple ModelID-indexed layout, and a second layout with ModelID as a named column plus duplicate per-model rows requiring de-duplication) — both are now auto-detected and handled correctly (see §5.1).</w:t>
      </w:r>
    </w:p>
    <w:p>
      <w:pPr>
        <w:pStyle w:val="Heading2"/>
        <w:spacing w:after="120" w:before="240"/>
      </w:pPr>
      <w:r>
        <w:t xml:space="preserve">4.2 Dependency-Prediction ML Investigation</w:t>
      </w:r>
    </w:p>
    <w:p>
      <w:pPr>
        <w:spacing w:after="160" w:line="300"/>
        <w:jc w:val="both"/>
      </w:pPr>
      <w:r>
        <w:rPr>
          <w:sz w:val="21"/>
          <w:szCs w:val="21"/>
        </w:rPr>
        <w:t xml:space="preserve">Built a feature matrix (expression, copy number, damaging-mutation count) and trained a gradient-boosted model to predict CRISPR dependency probability, using cross-validation grouped by cell line to prevent leakage. The first real run showed no predictive signal at all (R² = -0.029). Rather than treat this as a dead end, a diagnostic was built to test whether gene identity alone (each kinase's own typical dependency level, independent of any per-sample feature) explained the variance instead. It did: R² = 0.337. A combined model (gene identity plus the multi-omic features) showed no further improvement (R² = 0.339), producing a complete, three-way, statistically coherent finding.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6"/>
              <w:left w:val="single" w:color="2E7D32" w:sz="6"/>
              <w:bottom w:val="single" w:color="2E7D32" w:sz="6"/>
              <w:right w:val="single" w:color="2E7D32" w:sz="6"/>
            </w:tcBorders>
            <w:shd w:fill="E9F5EA" w:val="clear"/>
            <w:tcMar>
              <w:top w:type="dxa" w:w="140"/>
              <w:left w:type="dxa" w:w="180"/>
              <w:bottom w:type="dxa" w:w="140"/>
              <w:right w:type="dxa" w:w="180"/>
            </w:tcMar>
          </w:tcPr>
          <w:p>
            <w:pPr>
              <w:spacing w:after="70" w:line="270"/>
            </w:pPr>
            <w:r>
              <w:rPr>
                <w:b/>
                <w:bCs/>
                <w:color w:val="2E7D32"/>
                <w:sz w:val="20"/>
                <w:szCs w:val="20"/>
              </w:rPr>
              <w:t xml:space="preserve">Finding:</w:t>
            </w:r>
          </w:p>
          <w:p>
            <w:pPr>
              <w:spacing w:after="0" w:line="270"/>
            </w:pPr>
            <w:r>
              <w:rPr>
                <w:b w:val="false"/>
                <w:bCs w:val="false"/>
                <w:color w:val="2E7D32"/>
                <w:sz w:val="20"/>
                <w:szCs w:val="20"/>
              </w:rPr>
              <w:t xml:space="preserve">In this TNBC cohort, CRISPR dependency for the 90-kinase panel is driven almost entirely by which gene it is (R²=0.337), not by that gene's cell-line-specific expression, copy number, or mutation status (R²=-0.029 alone; R²=0.339 combined, no incremental improvement over gene identity alone). This is directly consistent with — and validates — the original CTS pipeline's design choice to score kinases by their mean essentiality across cell lines rather than requiring a per-sample predictive model.</w:t>
            </w:r>
          </w:p>
        </w:tc>
      </w:tr>
    </w:tbl>
    <w:p>
      <w:pPr>
        <w:pStyle w:val="Heading2"/>
        <w:spacing w:after="120" w:before="240"/>
      </w:pPr>
      <w:r>
        <w:t xml:space="preserve">4.3 TripletCTS v2</w:t>
      </w:r>
    </w:p>
    <w:p>
      <w:pPr>
        <w:spacing w:after="160" w:line="300"/>
        <w:jc w:val="both"/>
      </w:pPr>
      <w:r>
        <w:rPr>
          <w:sz w:val="21"/>
          <w:szCs w:val="21"/>
        </w:rPr>
        <w:t xml:space="preserve">The original TripletCTS formula (module coverage, non-redundancy, escape-route closure, combined toxicity) had no essentiality term at all. Motivated directly by §4.2's finding, a new, separately-versioned function (triplet_cts_v2) was added incorporating each regimen's mean target essentiality as an explicit term — verified to correctly rank a genuinely essential, non-redundant regimen above a redundant, low-essentiality one. The original triplet_cts() function is unmodified.</w:t>
      </w:r>
    </w:p>
    <w:p>
      <w:pPr>
        <w:pStyle w:val="Heading2"/>
        <w:spacing w:after="120" w:before="240"/>
      </w:pPr>
      <w:r>
        <w:t xml:space="preserve">4.4 Real PairCTS / TripletCTS Execution</w:t>
      </w:r>
    </w:p>
    <w:p>
      <w:pPr>
        <w:spacing w:after="160" w:line="300"/>
        <w:jc w:val="both"/>
      </w:pPr>
      <w:r>
        <w:rPr>
          <w:sz w:val="21"/>
          <w:szCs w:val="21"/>
        </w:rPr>
        <w:t xml:space="preserve">Ran the pair- and triplet-level scoring functions against the actual validated 90-kinase CTS output, real STRING community and crosstalk data, real DGIdb drug-target evidence, and a pairwise toxicity proxy built from already-downloaded FAERS reaction profiles (no new API calls required). Two structural gaps are stated explicitly rather than papered over: no real pairwise drug-synergy data source exists in this project yet, and no curated resistance-escape-route database exists — both terms currently contribute zero to every score, which is expected to produce many ties among structurally similar regimens until those data sources are built.</w:t>
      </w:r>
    </w:p>
    <w:p>
      <w:pPr>
        <w:pStyle w:val="Heading2"/>
        <w:spacing w:after="120" w:before="240"/>
      </w:pPr>
      <w:r>
        <w:t xml:space="preserve">4.5 Real DGIdb-Sourced Drug Knowledge Base for MDCOE</w:t>
      </w:r>
    </w:p>
    <w:p>
      <w:pPr>
        <w:spacing w:after="160" w:line="300"/>
        <w:jc w:val="both"/>
      </w:pPr>
      <w:r>
        <w:rPr>
          <w:sz w:val="21"/>
          <w:szCs w:val="21"/>
        </w:rPr>
        <w:t xml:space="preserve">Built a real, DGIdb-sourced alternative to mdcoe.py's hand-curated GENE_DRUGS dictionary, reusing the exact drug-name contamination filter validated earlier this project (lab compound codes, literature citations, and gene-symbol-as-drug noise). Run against the confirmed focal patient (TCGA-AO-A128), both the curated and real-DGIdb candidate lists converged on the same top-ranked regimen (afatinib + alpelisib + trastuzumab / afatinib + capivasertib + trastuzumab, HCOS = 0.450) at the 2-drug level, and the real-DGIdb path additionally surfaced three genuinely real drugs the curated dictionary did not include (filgotinib, ropsacitinib, tivozanib — confirmed via external verification, not assumed).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5700" w:sz="6"/>
              <w:left w:val="single" w:color="9C5700" w:sz="6"/>
              <w:bottom w:val="single" w:color="9C5700" w:sz="6"/>
              <w:right w:val="single" w:color="9C5700" w:sz="6"/>
            </w:tcBorders>
            <w:shd w:fill="FFF2E0" w:val="clear"/>
            <w:tcMar>
              <w:top w:type="dxa" w:w="140"/>
              <w:left w:type="dxa" w:w="180"/>
              <w:bottom w:type="dxa" w:w="140"/>
              <w:right w:type="dxa" w:w="180"/>
            </w:tcMar>
          </w:tcPr>
          <w:p>
            <w:pPr>
              <w:spacing w:after="70" w:line="270"/>
            </w:pPr>
            <w:r>
              <w:rPr>
                <w:b/>
                <w:bCs/>
                <w:color w:val="9C5700"/>
                <w:sz w:val="20"/>
                <w:szCs w:val="20"/>
              </w:rPr>
              <w:t xml:space="preserve">Important interpretive finding:</w:t>
            </w:r>
          </w:p>
          <w:p>
            <w:pPr>
              <w:spacing w:after="0" w:line="270"/>
            </w:pPr>
            <w:r>
              <w:rPr>
                <w:b w:val="false"/>
                <w:bCs w:val="false"/>
                <w:color w:val="9C5700"/>
                <w:sz w:val="20"/>
                <w:szCs w:val="20"/>
              </w:rPr>
              <w:t xml:space="preserve">The real-DGIdb candidate list could not reproduce the PTEN- and TP53-associated components of the validated regimen (alpelisib, capivasertib, adavosertib, venetoclax) at all. This is not a data quality problem: DGIdb only records direct drug-target interactions, while the actual therapeutic logic for tumor-suppressor loss (PTEN, TP53) is inherently indirect — targeting the downstream pathway consequence of the loss, not the lost gene itself. This is precisely the biological reasoning mdcoe.py's hand-curated dictionary and its resolve_tp53_drugs() function encode, and it is structurally outside what a direct drug-target interaction database can represent. The two approaches are answering related but different questions, not competing replications of the same one.</w:t>
            </w:r>
          </w:p>
        </w:tc>
      </w:tr>
    </w:tbl>
    <w:p>
      <w:pPr>
        <w:pStyle w:val="Heading1"/>
        <w:spacing w:after="160" w:before="320"/>
      </w:pPr>
      <w:r>
        <w:t xml:space="preserve">5. Troubleshooting Log</w:t>
      </w:r>
    </w:p>
    <w:p>
      <w:pPr>
        <w:spacing w:after="160" w:line="300"/>
        <w:jc w:val="both"/>
      </w:pPr>
      <w:r>
        <w:rPr>
          <w:sz w:val="21"/>
          <w:szCs w:val="21"/>
        </w:rPr>
        <w:t xml:space="preserve">Eight distinct issues were identified and resolved this session. Each is recorded with its symptom, root cause, and resolution.</w:t>
      </w:r>
    </w:p>
    <w:p>
      <w:pPr>
        <w:pStyle w:val="Heading2"/>
        <w:spacing w:after="120" w:before="240"/>
      </w:pPr>
      <w:r>
        <w:t xml:space="preserve">5.1 Two DepMap file layouts, one silently assumed identical</w:t>
      </w:r>
    </w:p>
    <w:p>
      <w:pPr>
        <w:spacing w:after="160" w:line="300"/>
        <w:jc w:val="both"/>
      </w:pPr>
      <w:r>
        <w:rPr>
          <w:sz w:val="21"/>
          <w:szCs w:val="21"/>
        </w:rPr>
        <w:t xml:space="preserve">The generic wide-matrix parser assumed every DepMap file shared CRISPRGeneEffect.csv's simple ModelID-indexed layout. Real-format inspection showed the somatic-mutation and copy-number files instead have ModelID as a named column, with additional metadata columns and duplicate per-model rows requiring an explicit default-entry filter. This was caught before producing wrong output by inspecting each real file's structure before trusting the parser, and fixed with layout auto-detection verified against reconstructed test cases matching the real structure, including a case with a duplicate model entry to confirm de-duplication kept the correct row.</w:t>
      </w:r>
    </w:p>
    <w:p>
      <w:pPr>
        <w:pStyle w:val="Heading2"/>
        <w:spacing w:after="120" w:before="240"/>
      </w:pPr>
      <w:r>
        <w:t xml:space="preserve">5.2 Gene fusion partner names include an Ensembl ID suffix</w:t>
      </w:r>
    </w:p>
    <w:p>
      <w:pPr>
        <w:spacing w:after="160" w:line="300"/>
        <w:jc w:val="both"/>
      </w:pPr>
      <w:r>
        <w:rPr>
          <w:sz w:val="21"/>
          <w:szCs w:val="21"/>
        </w:rPr>
        <w:t xml:space="preserve">The real OmicsFusionFiltered.csv records fusion partner genes as 'SYMBOL (ENSG_ID.version)', not a bare symbol. An initial version of the fusion filter compared raw values directly against target gene names, which would never match. Fixed by stripping the suffix before comparison, verified against the real confirmed column structure.</w:t>
      </w:r>
    </w:p>
    <w:p>
      <w:pPr>
        <w:pStyle w:val="Heading2"/>
        <w:spacing w:after="120" w:before="240"/>
      </w:pPr>
      <w:r>
        <w:t xml:space="preserve">5.3 A drug-name filter re-used from an earlier project, missing one exclusion</w:t>
      </w:r>
    </w:p>
    <w:p>
      <w:pPr>
        <w:spacing w:after="160" w:line="300"/>
        <w:jc w:val="both"/>
      </w:pPr>
      <w:r>
        <w:rPr>
          <w:sz w:val="21"/>
          <w:szCs w:val="21"/>
        </w:rPr>
        <w:t xml:space="preserve">A new real-DGIdb drug knowledge base builder re-used the validated contamination filter from an earlier drug-list-cleaning effort, but omitted one specific check — exclusion of kinase gene names appearing as “drugs” (DGIdb source-aggregation noise, e.g. 'syk' or 'ror1'). A test built specifically to check this case caught the omission before it shipped. The fix also required correcting the exclusion reference itself: it must check against the FULL kinase panel, not only the specific genes being scored in a given call, since contaminating gene names can belong to any kinase in the panel.</w:t>
      </w:r>
    </w:p>
    <w:p>
      <w:pPr>
        <w:pStyle w:val="Heading2"/>
        <w:spacing w:after="120" w:before="240"/>
      </w:pPr>
      <w:r>
        <w:t xml:space="preserve">5.4 Gene-identity feature initially chosen was constant for this exact kinase panel</w:t>
      </w:r>
    </w:p>
    <w:p>
      <w:pPr>
        <w:spacing w:after="160" w:line="300"/>
        <w:jc w:val="both"/>
      </w:pPr>
      <w:r>
        <w:rPr>
          <w:sz w:val="21"/>
          <w:szCs w:val="21"/>
        </w:rPr>
        <w:t xml:space="preserve">An initial fix for the ML model's near-zero predictive power added a “pan-essential” flag as a gene-identity feature. It contributed zero importance in the real run — not because gene identity does not matter, but because DepMap's pan-essential gene list consists of core housekeeping genes, and this project's kinase panel was deliberately selected to exclude exactly that category (RTK/NRTK signalling kinases are valuable drug targets precisely because they are not universally essential). The correct fix (a per-gene dependency baseline computed only from training folds, avoiding leakage) was built and confirmed via two synthetic controls: one showing a strong true signal is correctly detected, and one showing pure noise is correctly not.</w:t>
      </w:r>
    </w:p>
    <w:p>
      <w:pPr>
        <w:pStyle w:val="Heading2"/>
        <w:spacing w:after="120" w:before="240"/>
      </w:pPr>
      <w:r>
        <w:t xml:space="preserve">5.5 GitHub auto-generated CI workflows required correction, twice</w:t>
      </w:r>
    </w:p>
    <w:p>
      <w:pPr>
        <w:spacing w:after="160" w:line="300"/>
        <w:jc w:val="both"/>
      </w:pPr>
      <w:r>
        <w:rPr>
          <w:sz w:val="21"/>
          <w:szCs w:val="21"/>
        </w:rPr>
        <w:t xml:space="preserve">GitHub's own “set up this workflow” suggestion added two separate, misconfigured CI templates during this project (a Pylint workflow on the kinase-scoring repository, and a Conda-based packaging workflow on the drug-regimen repository) — neither installed this project's actual dependencies, and the second referenced a non-existent environment.yml and a non-existent pytest suite. Both were corrected to install real dependencies (or use pip instead of Conda, matching how each repository is actually built) and to run each repository's real existing verification (its own test suite or built-in smoke tests). Both were confirmed green in GitHub's Actions tab after the fix, not merely assumed to be fixed from the commit succeeding.</w:t>
      </w:r>
    </w:p>
    <w:p>
      <w:pPr>
        <w:pStyle w:val="Heading2"/>
        <w:spacing w:after="120" w:before="240"/>
      </w:pPr>
      <w:r>
        <w:t xml:space="preserve">5.6 A project repository was nested inside a different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02020" w:sz="6"/>
              <w:left w:val="single" w:color="A02020" w:sz="6"/>
              <w:bottom w:val="single" w:color="A02020" w:sz="6"/>
              <w:right w:val="single" w:color="A02020" w:sz="6"/>
            </w:tcBorders>
            <w:shd w:fill="FBEAEA" w:val="clear"/>
            <w:tcMar>
              <w:top w:type="dxa" w:w="140"/>
              <w:left w:type="dxa" w:w="180"/>
              <w:bottom w:type="dxa" w:w="140"/>
              <w:right w:type="dxa" w:w="180"/>
            </w:tcMar>
          </w:tcPr>
          <w:p>
            <w:pPr>
              <w:spacing w:after="70" w:line="270"/>
            </w:pPr>
            <w:r>
              <w:rPr>
                <w:b/>
                <w:bCs/>
                <w:color w:val="A02020"/>
                <w:sz w:val="20"/>
                <w:szCs w:val="20"/>
              </w:rPr>
              <w:t xml:space="preserve">This is the most structurally serious issue found this session.</w:t>
            </w:r>
          </w:p>
          <w:p>
            <w:pPr>
              <w:spacing w:after="0" w:line="270"/>
            </w:pPr>
            <w:r>
              <w:rPr>
                <w:b w:val="false"/>
                <w:bCs w:val="false"/>
                <w:color w:val="A02020"/>
                <w:sz w:val="20"/>
                <w:szCs w:val="20"/>
              </w:rPr>
              <w:t xml:space="preserve">During a file-reorganization step, the entire TNBC-drug-regimen-discovery repository ended up nested inside the tnbc-kinase-scoring-pipeline repository's working directory, alongside a second, dead-end duplicate copy with no git history at all sitting elsewhere. Before any fix was applied, this was explicitly verified: git correctly treats a nested .git directory as a repository boundary and does not recurse into or track its contents, and a direct check of the outer repository's status and history confirmed no cross-contamination had actually occurred. The real repository was then moved to its correct, top-level location and its git history, remote, and identity were re-verified intact before proceeding; the dead-end duplicate and its associated zip archive were deleted only after confirming they contained no git history.</w:t>
            </w:r>
          </w:p>
        </w:tc>
      </w:tr>
    </w:tbl>
    <w:p>
      <w:pPr>
        <w:pStyle w:val="Heading2"/>
        <w:spacing w:after="120" w:before="240"/>
      </w:pPr>
      <w:r>
        <w:t xml:space="preserve">5.7 An entire home directory was discovered to be a single git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02020" w:sz="6"/>
              <w:left w:val="single" w:color="A02020" w:sz="6"/>
              <w:bottom w:val="single" w:color="A02020" w:sz="6"/>
              <w:right w:val="single" w:color="A02020" w:sz="6"/>
            </w:tcBorders>
            <w:shd w:fill="FBEAEA" w:val="clear"/>
            <w:tcMar>
              <w:top w:type="dxa" w:w="140"/>
              <w:left w:type="dxa" w:w="180"/>
              <w:bottom w:type="dxa" w:w="140"/>
              <w:right w:type="dxa" w:w="180"/>
            </w:tcMar>
          </w:tcPr>
          <w:p>
            <w:pPr>
              <w:spacing w:after="70" w:line="270"/>
            </w:pPr>
            <w:r>
              <w:rPr>
                <w:b/>
                <w:bCs/>
                <w:color w:val="A02020"/>
                <w:sz w:val="20"/>
                <w:szCs w:val="20"/>
              </w:rPr>
              <w:t xml:space="preserve">A second structurally significant finding.</w:t>
            </w:r>
          </w:p>
          <w:p>
            <w:pPr>
              <w:spacing w:after="0" w:line="270"/>
            </w:pPr>
            <w:r>
              <w:rPr>
                <w:b w:val="false"/>
                <w:bCs w:val="false"/>
                <w:color w:val="A02020"/>
                <w:sz w:val="20"/>
                <w:szCs w:val="20"/>
              </w:rPr>
              <w:t xml:space="preserve">A routine 'confirm you are in the right repository' check (git rev-parse --show-toplevel) revealed that an entirely separate, pre-existing git repository rooted at the user's home directory had been in effect for every git command run from a particular project subfolder earlier in this project — not the scoped project repository assumed. This repository's remote and commit history were inspected before any action was taken. Two previously-committed-then-deleted directories were found in its history; both were confirmed, by direct inspection of their exact pre-deletion content, to be empty or non-sensitive (a 0-byte file; a 20-line generic script) rather than assumed safe. No corrective action to that repository's history was required, but the underlying practice — always verify git rev-parse --show-toplevel matches the intended project folder before running further git commands — is now treated as mandatory for any new project folder going forward.</w:t>
            </w:r>
          </w:p>
        </w:tc>
      </w:tr>
    </w:tbl>
    <w:p>
      <w:pPr>
        <w:pStyle w:val="Heading2"/>
        <w:spacing w:after="120" w:before="240"/>
      </w:pPr>
      <w:r>
        <w:t xml:space="preserve">5.8 Repeated divergent-branch push rejections</w:t>
      </w:r>
    </w:p>
    <w:p>
      <w:pPr>
        <w:spacing w:after="160" w:line="300"/>
        <w:jc w:val="both"/>
      </w:pPr>
      <w:r>
        <w:rPr>
          <w:sz w:val="21"/>
          <w:szCs w:val="21"/>
        </w:rPr>
        <w:t xml:space="preserve">Across all three repositories, GitHub's own repository-creation process or auto-suggested workflows periodically added commits directly on the remote that were never present locally, producing push rejections. Each was resolved by the same explicit sequence — fetch, inspect the actual remote commit and its content, then merge (using --allow-unrelated-histories only where the histories were genuinely unrelated, a plain merge otherwise) — rather than force-pushing over unseen remote content.</w:t>
      </w:r>
    </w:p>
    <w:p>
      <w:pPr>
        <w:pStyle w:val="Heading1"/>
        <w:spacing w:after="160" w:before="320"/>
      </w:pPr>
      <w:r>
        <w:t xml:space="preserve">6. Final Repository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90"/>
              <w:left w:type="dxa" w:w="110"/>
              <w:bottom w:type="dxa" w:w="90"/>
              <w:right w:type="dxa" w:w="110"/>
            </w:tcMar>
          </w:tcPr>
          <w:p>
            <w:r>
              <w:rPr>
                <w:b/>
                <w:bCs/>
                <w:color w:val="FFFFFF"/>
                <w:sz w:val="18"/>
                <w:szCs w:val="18"/>
              </w:rPr>
              <w:t xml:space="preserve">Repository</w:t>
            </w:r>
          </w:p>
        </w:tc>
        <w:tc>
          <w:tcPr>
            <w:tcW w:type="dxa" w:w="5550"/>
            <w:shd w:fill="1F3864" w:val="clear"/>
            <w:tcMar>
              <w:top w:type="dxa" w:w="90"/>
              <w:left w:type="dxa" w:w="110"/>
              <w:bottom w:type="dxa" w:w="90"/>
              <w:right w:type="dxa" w:w="110"/>
            </w:tcMar>
          </w:tcPr>
          <w:p>
            <w:r>
              <w:rPr>
                <w:b/>
                <w:bCs/>
                <w:color w:val="FFFFFF"/>
                <w:sz w:val="18"/>
                <w:szCs w:val="18"/>
              </w:rPr>
              <w:t xml:space="preserve">Status</w:t>
            </w:r>
          </w:p>
        </w:tc>
      </w:tr>
      <w:tr>
        <w:tc>
          <w:tcPr>
            <w:tcW w:type="dxa" w:w="3800"/>
            <w:tcMar>
              <w:top w:type="dxa" w:w="80"/>
              <w:left w:type="dxa" w:w="110"/>
              <w:bottom w:type="dxa" w:w="80"/>
              <w:right w:type="dxa" w:w="110"/>
            </w:tcMar>
          </w:tcPr>
          <w:p>
            <w:r>
              <w:rPr>
                <w:sz w:val="18"/>
                <w:szCs w:val="18"/>
              </w:rPr>
              <w:t xml:space="preserve">tnbc-kinase-scoring-pipeline</w:t>
            </w:r>
          </w:p>
        </w:tc>
        <w:tc>
          <w:tcPr>
            <w:tcW w:type="dxa" w:w="5550"/>
            <w:tcMar>
              <w:top w:type="dxa" w:w="80"/>
              <w:left w:type="dxa" w:w="110"/>
              <w:bottom w:type="dxa" w:w="80"/>
              <w:right w:type="dxa" w:w="110"/>
            </w:tcMar>
          </w:tcPr>
          <w:p>
            <w:r>
              <w:rPr>
                <w:sz w:val="18"/>
                <w:szCs w:val="18"/>
              </w:rPr>
              <w:t xml:space="preserve">Clean; Pylint CI passing; nested-repository issue resolved; multi-omic and TripletCTS v2 extensions committed</w:t>
            </w:r>
          </w:p>
        </w:tc>
      </w:tr>
      <w:tr>
        <w:tc>
          <w:tcPr>
            <w:tcW w:type="dxa" w:w="3800"/>
            <w:tcMar>
              <w:top w:type="dxa" w:w="80"/>
              <w:left w:type="dxa" w:w="110"/>
              <w:bottom w:type="dxa" w:w="80"/>
              <w:right w:type="dxa" w:w="110"/>
            </w:tcMar>
          </w:tcPr>
          <w:p>
            <w:r>
              <w:rPr>
                <w:sz w:val="18"/>
                <w:szCs w:val="18"/>
              </w:rPr>
              <w:t xml:space="preserve">TNBC-drug-regimen-discovery</w:t>
            </w:r>
          </w:p>
        </w:tc>
        <w:tc>
          <w:tcPr>
            <w:tcW w:type="dxa" w:w="5550"/>
            <w:tcMar>
              <w:top w:type="dxa" w:w="80"/>
              <w:left w:type="dxa" w:w="110"/>
              <w:bottom w:type="dxa" w:w="80"/>
              <w:right w:type="dxa" w:w="110"/>
            </w:tcMar>
          </w:tcPr>
          <w:p>
            <w:r>
              <w:rPr>
                <w:sz w:val="18"/>
                <w:szCs w:val="18"/>
              </w:rPr>
              <w:t xml:space="preserve">Clean; packaging CI fixed and passing; real DGIdb comparison committed</w:t>
            </w:r>
          </w:p>
        </w:tc>
      </w:tr>
      <w:tr>
        <w:tc>
          <w:tcPr>
            <w:tcW w:type="dxa" w:w="3800"/>
            <w:tcMar>
              <w:top w:type="dxa" w:w="80"/>
              <w:left w:type="dxa" w:w="110"/>
              <w:bottom w:type="dxa" w:w="80"/>
              <w:right w:type="dxa" w:w="110"/>
            </w:tcMar>
          </w:tcPr>
          <w:p>
            <w:r>
              <w:rPr>
                <w:sz w:val="18"/>
                <w:szCs w:val="18"/>
              </w:rPr>
              <w:t xml:space="preserve">tnbc_ml_trained_pipeline</w:t>
            </w:r>
          </w:p>
        </w:tc>
        <w:tc>
          <w:tcPr>
            <w:tcW w:type="dxa" w:w="5550"/>
            <w:tcMar>
              <w:top w:type="dxa" w:w="80"/>
              <w:left w:type="dxa" w:w="110"/>
              <w:bottom w:type="dxa" w:w="80"/>
              <w:right w:type="dxa" w:w="110"/>
            </w:tcMar>
          </w:tcPr>
          <w:p>
            <w:r>
              <w:rPr>
                <w:sz w:val="18"/>
                <w:szCs w:val="18"/>
              </w:rPr>
              <w:t xml:space="preserve">Clean; gene-identity findings and combined model committed</w:t>
            </w:r>
          </w:p>
        </w:tc>
      </w:tr>
    </w:tbl>
    <w:p>
      <w:pPr>
        <w:spacing w:after="200"/>
      </w:pPr>
    </w:p>
    <w:p>
      <w:pPr>
        <w:pStyle w:val="Heading1"/>
        <w:spacing w:after="160" w:before="320"/>
      </w:pPr>
      <w:r>
        <w:t xml:space="preserve">7. Open Items</w:t>
      </w:r>
    </w:p>
    <w:p>
      <w:pPr>
        <w:pStyle w:val="ListParagraph"/>
        <w:numPr>
          <w:ilvl w:val="0"/>
          <w:numId w:val="2"/>
        </w:numPr>
        <w:spacing w:after="100" w:line="290"/>
      </w:pPr>
      <w:r>
        <w:rPr>
          <w:sz w:val="21"/>
          <w:szCs w:val="21"/>
        </w:rPr>
        <w:t xml:space="preserve">No real pairwise drug-synergy data source exists yet; PairCTS/DrugPairScore's synergy term contributes nothing until one is built (e.g. from GDSC2/PRISM).</w:t>
      </w:r>
    </w:p>
    <w:p>
      <w:pPr>
        <w:pStyle w:val="ListParagraph"/>
        <w:numPr>
          <w:ilvl w:val="0"/>
          <w:numId w:val="2"/>
        </w:numPr>
        <w:spacing w:after="100" w:line="290"/>
      </w:pPr>
      <w:r>
        <w:rPr>
          <w:sz w:val="21"/>
          <w:szCs w:val="21"/>
        </w:rPr>
        <w:t xml:space="preserve">No curated resistance-escape-route database exists; TripletCTS's escape-route-closure term contributes nothing until one is built, and is the most likely source of the many observed ties in real triplet rankings.</w:t>
      </w:r>
    </w:p>
    <w:p>
      <w:pPr>
        <w:pStyle w:val="ListParagraph"/>
        <w:numPr>
          <w:ilvl w:val="0"/>
          <w:numId w:val="2"/>
        </w:numPr>
        <w:spacing w:after="100" w:line="290"/>
      </w:pPr>
      <w:r>
        <w:rPr>
          <w:sz w:val="21"/>
          <w:szCs w:val="21"/>
        </w:rPr>
        <w:t xml:space="preserve">PortalOmicsCNGeneLog2.csv (the alternative, pre-log-transformed copy-number file) has not yet been compared against OmicsCNGeneWGS.csv.</w:t>
      </w:r>
    </w:p>
    <w:p>
      <w:pPr>
        <w:pStyle w:val="ListParagraph"/>
        <w:numPr>
          <w:ilvl w:val="0"/>
          <w:numId w:val="2"/>
        </w:numPr>
        <w:spacing w:after="100" w:line="290"/>
      </w:pPr>
      <w:r>
        <w:rPr>
          <w:sz w:val="21"/>
          <w:szCs w:val="21"/>
        </w:rPr>
        <w:t xml:space="preserve">The real-DGIdb drug-comparison finding (§4.5) should be incorporated into the project's methodology documentation, given its genuine interpretive value regarding what direct-interaction databases can and cannot represent for tumor-suppressor-associated therapeutic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2026-07-12T18:33:23.735Z</dcterms:created>
  <dcterms:modified xsi:type="dcterms:W3CDTF">2026-07-12T18:33:23.735Z</dcterms:modified>
</cp:coreProperties>
</file>

<file path=docProps/custom.xml><?xml version="1.0" encoding="utf-8"?>
<Properties xmlns="http://schemas.openxmlformats.org/officeDocument/2006/custom-properties" xmlns:vt="http://schemas.openxmlformats.org/officeDocument/2006/docPropsVTypes"/>
</file>