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1F3864"/>
          <w:sz w:val="32"/>
          <w:szCs w:val="32"/>
        </w:rPr>
        <w:t xml:space="preserve">Addendum: TP53 Classification Confirmed</w:t>
      </w:r>
    </w:p>
    <w:p>
      <w:pPr>
        <w:spacing w:after="40"/>
      </w:pPr>
      <w:r>
        <w:rPr>
          <w:b/>
          <w:bCs/>
          <w:color w:val="595959"/>
          <w:sz w:val="22"/>
          <w:szCs w:val="22"/>
        </w:rPr>
        <w:t xml:space="preserve">Resolving a long-standing open item from the TCGA-AO-A128 focal patient analysis</w:t>
      </w:r>
    </w:p>
    <w:p>
      <w:pPr>
        <w:pBdr>
          <w:bottom w:val="single" w:color="CCCCCC" w:sz="6" w:space="8"/>
        </w:pBdr>
        <w:spacing w:after="320"/>
      </w:pPr>
      <w:r>
        <w:rPr>
          <w:i/>
          <w:iCs/>
          <w:color w:val="595959"/>
          <w:sz w:val="20"/>
          <w:szCs w:val="20"/>
        </w:rPr>
        <w:t xml:space="preserve">This item was carried as an unconfirmed assumption since early in the project. It is now resolved against the real MAF file.</w:t>
      </w:r>
    </w:p>
    <w:p>
      <w:pPr>
        <w:pStyle w:val="Heading1"/>
        <w:spacing w:after="140" w:before="280"/>
      </w:pPr>
      <w:r>
        <w:t xml:space="preserve">Background</w:t>
      </w:r>
    </w:p>
    <w:p>
      <w:pPr>
        <w:spacing w:after="160" w:line="300"/>
        <w:jc w:val="both"/>
      </w:pPr>
      <w:r>
        <w:rPr>
          <w:sz w:val="21"/>
          <w:szCs w:val="21"/>
        </w:rPr>
        <w:t xml:space="preserve">Every downstream result involving the TP53 arm of the TCGA-AO-A128 focal patient case — the drug candidates from resolve_tp53_drugs(), the resulting MDCOE/HCOS regimen rankings, and the recent agentic literature-mining additions (carboplatin, eprenetapopt) — depended on an assumed TP53 alteration type (Nonsense_Mutation) that was never verified against the patient's real somatic mutation data. This was explicitly flagged as an open item across multiple prior reports.</w:t>
      </w:r>
    </w:p>
    <w:p>
      <w:pPr>
        <w:pStyle w:val="Heading1"/>
        <w:spacing w:after="140" w:before="280"/>
      </w:pPr>
      <w:r>
        <w:t xml:space="preserve">Resolution</w:t>
      </w:r>
    </w:p>
    <w:p>
      <w:pPr>
        <w:spacing w:after="160" w:line="300"/>
        <w:jc w:val="both"/>
      </w:pPr>
      <w:r>
        <w:rPr>
          <w:sz w:val="21"/>
          <w:szCs w:val="21"/>
        </w:rPr>
        <w:t xml:space="preserve">The real, GDC-downloaded, masked somatic mutation MAF file for this patient was located and searched directly. The relevant row was extracted and inspected in full, including its clinical annotation fields.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single" w:color="2E7D32" w:sz="6"/>
              <w:left w:val="single" w:color="2E7D32" w:sz="6"/>
              <w:bottom w:val="single" w:color="2E7D32" w:sz="6"/>
              <w:right w:val="single" w:color="2E7D32" w:sz="6"/>
            </w:tcBorders>
            <w:shd w:fill="E9F5EA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70" w:line="270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Confirmed result</w:t>
            </w:r>
          </w:p>
          <w:p>
            <w:pPr>
              <w:spacing w:after="70" w:line="270"/>
            </w:pPr>
            <w:r>
              <w:rPr>
                <w:b w:val="false"/>
                <w:bCs w:val="false"/>
                <w:color w:val="2E7D32"/>
                <w:sz w:val="20"/>
                <w:szCs w:val="20"/>
              </w:rPr>
              <w:t xml:space="preserve">Hugo_Symbol: TP53</w:t>
            </w:r>
          </w:p>
          <w:p>
            <w:pPr>
              <w:spacing w:after="70" w:line="270"/>
            </w:pPr>
            <w:r>
              <w:rPr>
                <w:b w:val="false"/>
                <w:bCs w:val="false"/>
                <w:color w:val="2E7D32"/>
                <w:sz w:val="20"/>
                <w:szCs w:val="20"/>
              </w:rPr>
              <w:t xml:space="preserve">Variant_Classification: Nonsense_Mutation</w:t>
            </w:r>
          </w:p>
          <w:p>
            <w:pPr>
              <w:spacing w:after="70" w:line="270"/>
            </w:pPr>
            <w:r>
              <w:rPr>
                <w:b w:val="false"/>
                <w:bCs w:val="false"/>
                <w:color w:val="2E7D32"/>
                <w:sz w:val="20"/>
                <w:szCs w:val="20"/>
              </w:rPr>
              <w:t xml:space="preserve">HGVSp_Short: p.R342* (stop-gained at codon 342 of 393)</w:t>
            </w:r>
          </w:p>
          <w:p>
            <w:pPr>
              <w:spacing w:after="70" w:line="270"/>
            </w:pPr>
            <w:r>
              <w:rPr>
                <w:b w:val="false"/>
                <w:bCs w:val="false"/>
                <w:color w:val="2E7D32"/>
                <w:sz w:val="20"/>
                <w:szCs w:val="20"/>
              </w:rPr>
              <w:t xml:space="preserve">CLIN_SIG: pathogenic</w:t>
            </w:r>
          </w:p>
          <w:p>
            <w:pPr>
              <w:spacing w:after="0" w:line="270"/>
            </w:pPr>
            <w:r>
              <w:rPr>
                <w:b w:val="false"/>
                <w:bCs w:val="false"/>
                <w:color w:val="2E7D32"/>
                <w:sz w:val="20"/>
                <w:szCs w:val="20"/>
              </w:rPr>
              <w:t xml:space="preserve">dbSNP: rs730882029  |  COSMIC: COSM11073, COSM99721</w:t>
            </w:r>
          </w:p>
        </w:tc>
      </w:tr>
    </w:tbl>
    <w:p>
      <w:pPr>
        <w:pStyle w:val="Heading1"/>
        <w:spacing w:after="140" w:before="280"/>
      </w:pPr>
      <w:r>
        <w:t xml:space="preserve">Interpretation</w:t>
      </w:r>
    </w:p>
    <w:p>
      <w:pPr>
        <w:spacing w:after="160" w:line="300"/>
        <w:jc w:val="both"/>
      </w:pPr>
      <w:r>
        <w:rPr>
          <w:sz w:val="21"/>
          <w:szCs w:val="21"/>
        </w:rPr>
        <w:t xml:space="preserve">The assumption used throughout this project — that this patient's TP53 alteration is a Nonsense_Mutation, and that resolve_tp53_drugs('Nonsense_Mutation') is therefore the correct call — is now independently confirmed, not assumed. The stop-gained position (codon 342 of 393) is well upstream enough to be consistent with a nonsense-mediated-decay mechanism, matching the biological reasoning the adavosertib/venetoclax drug mapping was originally built around. The variant's real clinical annotation as pathogenic, with existing dbSNP and COSMIC identifiers, further supports treating this as a genuine, characterized loss-of-function event rather than a variant of uncertain significance.</w:t>
      </w:r>
    </w:p>
    <w:p>
      <w:pPr>
        <w:spacing w:after="160" w:line="300"/>
        <w:jc w:val="both"/>
      </w:pPr>
      <w:r>
        <w:rPr>
          <w:sz w:val="21"/>
          <w:szCs w:val="21"/>
        </w:rPr>
        <w:t xml:space="preserve">One minor artifact encountered during this check is noted for completeness: an initial loose text search also surfaced an unrelated gene (GIT1) whose row happened to contain the substring “TP53I13” (TP53-inducible protein 13, a distinct gene) inside a VEP annotation field. This was identified as a search-pattern artifact, not a second real finding, once the row was inspected directly.</w:t>
      </w:r>
    </w:p>
    <w:p>
      <w:pPr>
        <w:pStyle w:val="Heading1"/>
        <w:spacing w:after="140" w:before="280"/>
      </w:pPr>
      <w:r>
        <w:t xml:space="preserve">Updated Status</w:t>
      </w:r>
    </w:p>
    <w:tbl>
      <w:tblPr>
        <w:tblW w:type="dxa" w:w="97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200"/>
        <w:gridCol w:w="3050"/>
      </w:tblGrid>
      <w:tr>
        <w:trPr>
          <w:tblHeader/>
        </w:trPr>
        <w:tc>
          <w:tcPr>
            <w:tcW w:type="dxa" w:w="3500"/>
            <w:shd w:fill="1F3864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3200"/>
            <w:shd w:fill="1F3864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 Status</w:t>
            </w:r>
          </w:p>
        </w:tc>
        <w:tc>
          <w:tcPr>
            <w:tcW w:type="dxa" w:w="3050"/>
            <w:shd w:fill="1F3864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Current Status</w:t>
            </w:r>
          </w:p>
        </w:tc>
      </w:tr>
      <w:tr>
        <w:tc>
          <w:tcPr>
            <w:tcW w:type="dxa" w:w="35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TCGA-AO-A128 TP53 alteration type</w:t>
            </w:r>
          </w:p>
        </w:tc>
        <w:tc>
          <w:tcPr>
            <w:tcW w:type="dxa" w:w="3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Assumed (Nonsense_Mutation), unconfirmed since early project stages</w:t>
            </w:r>
          </w:p>
        </w:tc>
        <w:tc>
          <w:tcPr>
            <w:tcW w:type="dxa" w:w="305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Confirmed against real MAF data: Nonsense_Mutation, pathogenic, p.R342*</w:t>
            </w:r>
          </w:p>
        </w:tc>
      </w:tr>
      <w:tr>
        <w:tc>
          <w:tcPr>
            <w:tcW w:type="dxa" w:w="35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resolve_tp53_drugs() drug mapping validity</w:t>
            </w:r>
          </w:p>
        </w:tc>
        <w:tc>
          <w:tcPr>
            <w:tcW w:type="dxa" w:w="3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Contingent on the above assumption</w:t>
            </w:r>
          </w:p>
        </w:tc>
        <w:tc>
          <w:tcPr>
            <w:tcW w:type="dxa" w:w="305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Validated — the correct branch was used throughout</w:t>
            </w:r>
          </w:p>
        </w:tc>
      </w:tr>
    </w:tbl>
    <w:p>
      <w:pPr>
        <w:spacing w:after="200"/>
      </w:pPr>
    </w:p>
    <w:p>
      <w:pPr>
        <w:spacing w:after="160" w:line="300"/>
        <w:jc w:val="both"/>
      </w:pPr>
      <w:r>
        <w:rPr>
          <w:sz w:val="21"/>
          <w:szCs w:val="21"/>
        </w:rPr>
        <w:t xml:space="preserve">This item can now be considered closed. All prior CTS, HCOS/MDCOE, and agentic-discovery results involving this patient's TP53 status may be cited as resting on confirmed, real clinical annotation data rather than a carried assumption.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2026-07-12T23:01:24.607Z</dcterms:created>
  <dcterms:modified xsi:type="dcterms:W3CDTF">2026-07-12T23:01:24.619Z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