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52"/>
          <w:szCs w:val="52"/>
        </w:rPr>
        <w:t xml:space="preserve">TNBC GENOMICS AGENT</w:t>
      </w:r>
    </w:p>
    <w:p>
      <w:pPr>
        <w:spacing w:after="200" w:before="0"/>
        <w:jc w:val="center"/>
      </w:pPr>
      <w:r>
        <w:rPr>
          <w:rFonts w:ascii="Arial" w:cs="Arial" w:eastAsia="Arial" w:hAnsi="Arial"/>
          <w:color w:val="2E75B6"/>
          <w:sz w:val="32"/>
          <w:szCs w:val="32"/>
        </w:rPr>
        <w:t xml:space="preserve">RTK/nRTK Redundancy Analysis Pipeline</w:t>
      </w:r>
    </w:p>
    <w:p>
      <w:pPr>
        <w:pBdr>
          <w:bottom w:val="single" w:color="2E75B6" w:sz="6" w:space="1"/>
        </w:pBdr>
        <w:spacing w:after="120" w:before="120"/>
      </w:pPr>
      <w:r>
        <w:t xml:space="preserve"/>
      </w:r>
    </w:p>
    <w:p>
      <w:pPr>
        <w:spacing w:after="0" w:before="200"/>
      </w:pPr>
      <w:r>
        <w:t xml:space="preserve"/>
      </w:r>
    </w:p>
    <w:p>
      <w:pPr>
        <w:spacing w:after="120" w:before="0"/>
        <w:jc w:val="center"/>
      </w:pPr>
      <w:r>
        <w:rPr>
          <w:rFonts w:ascii="Arial" w:cs="Arial" w:eastAsia="Arial" w:hAnsi="Arial"/>
          <w:b/>
          <w:bCs/>
          <w:i/>
          <w:iCs/>
          <w:color w:val="595959"/>
          <w:sz w:val="28"/>
          <w:szCs w:val="28"/>
        </w:rPr>
        <w:t xml:space="preserve">A Comprehensive Technical &amp; Scientific Report</w:t>
      </w:r>
    </w:p>
    <w:p>
      <w:pPr>
        <w:spacing w:after="80" w:before="0"/>
        <w:jc w:val="center"/>
      </w:pPr>
      <w:r>
        <w:rPr>
          <w:rFonts w:ascii="Arial" w:cs="Arial" w:eastAsia="Arial" w:hAnsi="Arial"/>
          <w:color w:val="0D6E6E"/>
          <w:sz w:val="24"/>
          <w:szCs w:val="24"/>
        </w:rPr>
        <w:t xml:space="preserve">Bioinformatics · Artificial Intelligence · Precision Oncology</w:t>
      </w:r>
    </w:p>
    <w:p>
      <w:pPr>
        <w:spacing w:after="0" w:before="600"/>
      </w:pPr>
      <w:r>
        <w:t xml:space="preserve"/>
      </w:r>
    </w:p>
    <w:p>
      <w:pPr>
        <w:jc w:val="center"/>
      </w:pPr>
      <w:r>
        <w:rPr>
          <w:rFonts w:ascii="Arial" w:cs="Arial" w:eastAsia="Arial" w:hAnsi="Arial"/>
          <w:b/>
          <w:bCs/>
          <w:color w:val="595959"/>
          <w:sz w:val="22"/>
          <w:szCs w:val="22"/>
        </w:rPr>
        <w:t xml:space="preserve">Repository: </w:t>
      </w:r>
      <w:r>
        <w:rPr>
          <w:rFonts w:ascii="Arial" w:cs="Arial" w:eastAsia="Arial" w:hAnsi="Arial"/>
          <w:color w:val="2E75B6"/>
          <w:sz w:val="22"/>
          <w:szCs w:val="22"/>
        </w:rPr>
        <w:t xml:space="preserve">github.com/mtariqi/tnbc-genomics-agent</w:t>
      </w:r>
    </w:p>
    <w:p>
      <w:pPr>
        <w:spacing w:before="80"/>
        <w:jc w:val="center"/>
      </w:pPr>
      <w:r>
        <w:rPr>
          <w:rFonts w:ascii="Arial" w:cs="Arial" w:eastAsia="Arial" w:hAnsi="Arial"/>
          <w:color w:val="595959"/>
          <w:sz w:val="22"/>
          <w:szCs w:val="22"/>
        </w:rPr>
        <w:t xml:space="preserve">Version 1.0.0  |  June 2026</w:t>
      </w:r>
    </w:p>
    <w:p>
      <w:r>
        <w:br w:type="page"/>
      </w:r>
    </w:p>
    <w:p>
      <w:pPr>
        <w:pStyle w:val="Heading1"/>
        <w:spacing w:after="200" w:before="360"/>
      </w:pPr>
      <w:r>
        <w:rPr>
          <w:rFonts w:ascii="Arial" w:cs="Arial" w:eastAsia="Arial" w:hAnsi="Arial"/>
          <w:b/>
          <w:bCs/>
          <w:color w:val="1F4E79"/>
          <w:sz w:val="32"/>
          <w:szCs w:val="32"/>
        </w:rPr>
        <w:t xml:space="preserve">1. Executive Summary</w:t>
      </w:r>
    </w:p>
    <w:p>
      <w:pPr>
        <w:pBdr>
          <w:bottom w:val="single" w:color="2E75B6" w:sz="6" w:space="1"/>
        </w:pBdr>
        <w:spacing w:after="120" w:before="120"/>
      </w:pPr>
      <w:r>
        <w:t xml:space="preserve"/>
      </w:r>
    </w:p>
    <w:p>
      <w:pPr>
        <w:spacing w:after="120" w:before="80" w:line="320"/>
        <w:jc w:val="both"/>
      </w:pPr>
      <w:r>
        <w:rPr>
          <w:rFonts w:ascii="Arial" w:cs="Arial" w:eastAsia="Arial" w:hAnsi="Arial"/>
          <w:color w:val="000000"/>
          <w:sz w:val="22"/>
          <w:szCs w:val="22"/>
        </w:rPr>
        <w:t xml:space="preserve">Triple-Negative Breast Cancer (TNBC) represents one of the most therapeutically challenging malignancies in oncology. Defined by the absence of estrogen receptor (ER), progesterone receptor (PR), and HER2 amplification, TNBC accounts for approximately 15–20% of all breast cancer diagnoses yet disproportionately contributes to breast cancer mortality due to its aggressive clinical course and limited targeted therapy options.</w:t>
      </w:r>
    </w:p>
    <w:p>
      <w:pPr>
        <w:spacing w:after="0" w:before="80"/>
      </w:pPr>
      <w:r>
        <w:t xml:space="preserve"/>
      </w:r>
    </w:p>
    <w:p>
      <w:pPr>
        <w:spacing w:after="120" w:before="80" w:line="320"/>
        <w:jc w:val="both"/>
      </w:pPr>
      <w:r>
        <w:rPr>
          <w:rFonts w:ascii="Arial" w:cs="Arial" w:eastAsia="Arial" w:hAnsi="Arial"/>
          <w:color w:val="000000"/>
          <w:sz w:val="22"/>
          <w:szCs w:val="22"/>
        </w:rPr>
        <w:t xml:space="preserve">The tnbc-genomics-agent is a fully open-source, AI-augmented bioinformatics pipeline purpose-built to address a specific and clinically critical problem: the redundancy of receptor tyrosine kinase (RTK) and non-receptor tyrosine kinase (nRTK) signalling in TNBC. This redundancy — where multiple kinases simultaneously activate shared downstream pathways such as MAPK/ERK and PI3K/AKT — is a primary driver of resistance to targeted monotherapy.</w:t>
      </w:r>
    </w:p>
    <w:p>
      <w:pPr>
        <w:spacing w:after="0" w:before="80"/>
      </w:pPr>
      <w:r>
        <w:t xml:space="preserve"/>
      </w:r>
    </w:p>
    <w:p>
      <w:pPr>
        <w:spacing w:after="120" w:before="80" w:line="320"/>
        <w:jc w:val="both"/>
      </w:pPr>
      <w:r>
        <w:rPr>
          <w:rFonts w:ascii="Arial" w:cs="Arial" w:eastAsia="Arial" w:hAnsi="Arial"/>
          <w:color w:val="000000"/>
          <w:sz w:val="22"/>
          <w:szCs w:val="22"/>
        </w:rPr>
        <w:t xml:space="preserve">This pipeline integrates four computational layers: (1) structured VCF variant parsing, (2) a curated kinase knowledge base, (3) a quantitative pathway redundancy scoring engine, and (4) a large language model (LLM) reasoning layer powered by Claude (claude-sonnet-4-6) that synthesizes structured genomic data into clinician-readable narratives. The result is a reproducible, locally deployable, patient-specific analytical tool that bridges raw genomic data and actionable clinical insights.</w:t>
      </w:r>
    </w:p>
    <w:p>
      <w:pPr>
        <w:spacing w:after="0" w:before="80"/>
      </w:pPr>
      <w:r>
        <w:t xml:space="preserve"/>
      </w:r>
    </w:p>
    <w:p>
      <w:pPr>
        <w:pBdr>
          <w:left w:val="single" w:color="2E75B6" w:sz="12" w:space="4"/>
        </w:pBdr>
        <w:shd w:fill="EBF3FB" w:val="clear"/>
        <w:spacing w:after="120" w:before="120"/>
      </w:pPr>
      <w:r>
        <w:rPr>
          <w:rFonts w:ascii="Arial" w:cs="Arial" w:eastAsia="Arial" w:hAnsi="Arial"/>
          <w:b/>
          <w:bCs/>
          <w:color w:val="1F4E79"/>
          <w:sz w:val="22"/>
          <w:szCs w:val="22"/>
        </w:rPr>
        <w:t xml:space="preserve">Key finding from sample analysis: </w:t>
      </w:r>
      <w:r>
        <w:rPr>
          <w:rFonts w:ascii="Arial" w:cs="Arial" w:eastAsia="Arial" w:hAnsi="Arial"/>
          <w:color w:val="000000"/>
          <w:sz w:val="22"/>
          <w:szCs w:val="22"/>
        </w:rPr>
        <w:t xml:space="preserve">All 9 detected kinase genes (EGFR, MET, ERBB2, SRC, ABL1, FGFR1, FGFR2, FGFR3, ALK) converge on MAPK/ERK (redundancy score 0.865) and PI3K/AKT (0.848), yielding a bypass risk score of 1.0 for every individual target — a profile that categorically contraindicates monotherapy.</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2. Scientific Background</w:t>
      </w:r>
    </w:p>
    <w:p>
      <w:pPr>
        <w:pBdr>
          <w:bottom w:val="single" w:color="2E75B6" w:sz="6" w:space="1"/>
        </w:pBdr>
        <w:spacing w:after="120" w:before="120"/>
      </w:pPr>
      <w:r>
        <w:t xml:space="preserve"/>
      </w:r>
    </w:p>
    <w:p>
      <w:pPr>
        <w:pStyle w:val="Heading2"/>
        <w:spacing w:after="140" w:before="280"/>
      </w:pPr>
      <w:r>
        <w:rPr>
          <w:rFonts w:ascii="Arial" w:cs="Arial" w:eastAsia="Arial" w:hAnsi="Arial"/>
          <w:b/>
          <w:bCs/>
          <w:color w:val="2E75B6"/>
          <w:sz w:val="26"/>
          <w:szCs w:val="26"/>
        </w:rPr>
        <w:t xml:space="preserve">2.1 Triple-Negative Breast Cancer</w:t>
      </w:r>
    </w:p>
    <w:p>
      <w:pPr>
        <w:spacing w:after="120" w:before="80" w:line="320"/>
        <w:jc w:val="both"/>
      </w:pPr>
      <w:r>
        <w:rPr>
          <w:rFonts w:ascii="Arial" w:cs="Arial" w:eastAsia="Arial" w:hAnsi="Arial"/>
          <w:color w:val="000000"/>
          <w:sz w:val="22"/>
          <w:szCs w:val="22"/>
        </w:rPr>
        <w:t xml:space="preserve">TNBC is a heterogeneous disease encompassing multiple molecular subtypes, including basal-like 1 (BL1), basal-like 2 (BL2), mesenchymal (M), mesenchymal stem-like (MSL), immunomodulatory (IM), and luminal androgen receptor (LAR). Each subtype exhibits a distinct kinase activation profile, but all share a common vulnerability: the absence of targetable hormone receptors forces therapeutic strategies toward kinase inhibition, chemotherapy, immunotherapy, or combinations thereof.</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2.2 RTK and nRTK Biology</w:t>
      </w:r>
    </w:p>
    <w:p>
      <w:pPr>
        <w:spacing w:after="120" w:before="80" w:line="320"/>
        <w:jc w:val="both"/>
      </w:pPr>
      <w:r>
        <w:rPr>
          <w:rFonts w:ascii="Arial" w:cs="Arial" w:eastAsia="Arial" w:hAnsi="Arial"/>
          <w:color w:val="000000"/>
          <w:sz w:val="22"/>
          <w:szCs w:val="22"/>
        </w:rPr>
        <w:t xml:space="preserve">Receptor tyrosine kinases are transmembrane proteins that, upon ligand binding, undergo autophosphorylation and activate intracellular signalling cascades. In TNBC, the most clinically relevant RTKs include EGFR (overexpressed in ~54% of cases), MET (~42%), FGFR1 (~31%), and ERBB2 (~12% with low-level co-expression). Non-receptor tyrosine kinases such as SRC and ABL1 lack extracellular domains but transduce signals from RTKs and integrins to shared downstream effectors.</w:t>
      </w:r>
    </w:p>
    <w:p>
      <w:pPr>
        <w:spacing w:after="0" w:before="80"/>
      </w:pPr>
      <w:r>
        <w:t xml:space="preserve"/>
      </w:r>
    </w:p>
    <w:p>
      <w:pPr>
        <w:spacing w:after="120" w:before="80" w:line="320"/>
        <w:jc w:val="both"/>
      </w:pPr>
      <w:r>
        <w:rPr>
          <w:rFonts w:ascii="Arial" w:cs="Arial" w:eastAsia="Arial" w:hAnsi="Arial"/>
          <w:color w:val="000000"/>
          <w:sz w:val="22"/>
          <w:szCs w:val="22"/>
        </w:rPr>
        <w:t xml:space="preserve">The critical insight motivating this pipeline is that RTKs and nRTKs do not operate in isolation — they form an interconnected signalling network where inhibiting one node frequently results in compensatory upregulation of another. This phenomenon, termed adaptive resistance or bypass signalling, has been observed clinically when EGFR inhibitors are used in TNBC without co-targeting MET or FGFR.</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2.3 The Redundancy Problem</w:t>
      </w:r>
    </w:p>
    <w:p>
      <w:pPr>
        <w:spacing w:after="120" w:before="80" w:line="320"/>
        <w:jc w:val="both"/>
      </w:pPr>
      <w:r>
        <w:rPr>
          <w:rFonts w:ascii="Arial" w:cs="Arial" w:eastAsia="Arial" w:hAnsi="Arial"/>
          <w:color w:val="000000"/>
          <w:sz w:val="22"/>
          <w:szCs w:val="22"/>
        </w:rPr>
        <w:t xml:space="preserve">Pathway redundancy in cancer signalling is a well-documented obstacle to durable therapeutic response. When a cell is treated with an RTK inhibitor, surviving cancer cells exploit alternative kinase inputs to the same downstream pathway. For example, MET amplification is a known resistance mechanism to EGFR inhibition, while FGFR1 amplification drives resistance in EGFR-inhibited mesenchymal TNBC. The systematic identification of these co-activated kinases in a patient's genomic profile is therefore essential for rational combination therapy design — which is precisely the function this pipeline automates.</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3. Pipeline Architecture</w:t>
      </w:r>
    </w:p>
    <w:p>
      <w:pPr>
        <w:pBdr>
          <w:bottom w:val="single" w:color="2E75B6" w:sz="6" w:space="1"/>
        </w:pBdr>
        <w:spacing w:after="120" w:before="120"/>
      </w:pPr>
      <w:r>
        <w:t xml:space="preserve"/>
      </w:r>
    </w:p>
    <w:p>
      <w:pPr>
        <w:pStyle w:val="Heading2"/>
        <w:spacing w:after="140" w:before="280"/>
      </w:pPr>
      <w:r>
        <w:rPr>
          <w:rFonts w:ascii="Arial" w:cs="Arial" w:eastAsia="Arial" w:hAnsi="Arial"/>
          <w:b/>
          <w:bCs/>
          <w:color w:val="2E75B6"/>
          <w:sz w:val="26"/>
          <w:szCs w:val="26"/>
        </w:rPr>
        <w:t xml:space="preserve">3.1 System Overview</w:t>
      </w:r>
    </w:p>
    <w:p>
      <w:pPr>
        <w:spacing w:after="120" w:before="80" w:line="320"/>
        <w:jc w:val="both"/>
      </w:pPr>
      <w:r>
        <w:rPr>
          <w:rFonts w:ascii="Arial" w:cs="Arial" w:eastAsia="Arial" w:hAnsi="Arial"/>
          <w:color w:val="000000"/>
          <w:sz w:val="22"/>
          <w:szCs w:val="22"/>
        </w:rPr>
        <w:t xml:space="preserve">The tnbc-genomics-agent is structured as a modular Python pipeline with four loosely coupled analytical layers, each implemented as a discrete module. This architecture enables independent testing, extension, and substitution of components without affecting the overall pipeline.</w:t>
      </w:r>
    </w:p>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1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Parsing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vcf_parser.py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Ingests VCF 4.x, extracts RTK/nRTK variants, scores severity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List[Variant] objects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 Knowledge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kinase_db.py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Curated database of 10 kinases with pathways, drugs, resistance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Dict lookup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redundancy_analyzer.py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Pathway redundancy scoring, bypass risk, combination suggestions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report Dict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 AI Synthesis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ai_agent.py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reasoning over structured data → clinical narrative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Natural language report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entrypoint, coordinates all modules, produces JSON report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 console output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Centralised thresholds, API keys, env-var overrides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Runtime configuration</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3.2 Data Flow</w:t>
      </w:r>
    </w:p>
    <w:p>
      <w:pPr>
        <w:spacing w:after="120" w:before="80" w:line="320"/>
        <w:jc w:val="both"/>
      </w:pPr>
      <w:r>
        <w:rPr>
          <w:rFonts w:ascii="Arial" w:cs="Arial" w:eastAsia="Arial" w:hAnsi="Arial"/>
          <w:color w:val="000000"/>
          <w:sz w:val="22"/>
          <w:szCs w:val="22"/>
        </w:rPr>
        <w:t xml:space="preserve">The pipeline follows a strict linear data flow with no circular dependencies. A patient VCF file enters the system at the parsing layer, where variants are extracted and annotated against the kinase database. The annotated variant set is then passed to the redundancy analyzer, which computes pathway-level and gene-level scores. The complete structured output is finally passed to the AI agent, which uses it as grounded evidence for clinical narrative generation.</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3.3 Repository Structure</w:t>
      </w:r>
    </w:p>
    <w:p>
      <w:pPr>
        <w:spacing w:after="120" w:before="80" w:line="320"/>
        <w:jc w:val="left"/>
      </w:pPr>
      <w:r>
        <w:rPr>
          <w:rFonts w:ascii="Arial" w:cs="Arial" w:eastAsia="Arial" w:hAnsi="Arial"/>
          <w:color w:val="000000"/>
          <w:sz w:val="22"/>
          <w:szCs w:val="22"/>
        </w:rPr>
        <w:t xml:space="preserve">The repository is organized to separate concerns clearly:</w:t>
      </w:r>
    </w:p>
    <w:p>
      <w:pPr>
        <w:pStyle w:val="ListParagraph"/>
        <w:numPr>
          <w:ilvl w:val="0"/>
          <w:numId w:val="2"/>
        </w:numPr>
        <w:spacing w:after="60" w:before="60"/>
      </w:pPr>
      <w:r>
        <w:rPr>
          <w:rFonts w:ascii="Arial" w:cs="Arial" w:eastAsia="Arial" w:hAnsi="Arial"/>
          <w:sz w:val="22"/>
          <w:szCs w:val="22"/>
        </w:rPr>
        <w:t xml:space="preserve">modules/ — all analytical logic, independently importable</w:t>
      </w:r>
    </w:p>
    <w:p>
      <w:pPr>
        <w:pStyle w:val="ListParagraph"/>
        <w:numPr>
          <w:ilvl w:val="0"/>
          <w:numId w:val="2"/>
        </w:numPr>
        <w:spacing w:after="60" w:before="60"/>
      </w:pPr>
      <w:r>
        <w:rPr>
          <w:rFonts w:ascii="Arial" w:cs="Arial" w:eastAsia="Arial" w:hAnsi="Arial"/>
          <w:sz w:val="22"/>
          <w:szCs w:val="22"/>
        </w:rPr>
        <w:t xml:space="preserve">data/sample/ — demo VCF for reproducibility testing</w:t>
      </w:r>
    </w:p>
    <w:p>
      <w:pPr>
        <w:pStyle w:val="ListParagraph"/>
        <w:numPr>
          <w:ilvl w:val="0"/>
          <w:numId w:val="2"/>
        </w:numPr>
        <w:spacing w:after="60" w:before="60"/>
      </w:pPr>
      <w:r>
        <w:rPr>
          <w:rFonts w:ascii="Arial" w:cs="Arial" w:eastAsia="Arial" w:hAnsi="Arial"/>
          <w:sz w:val="22"/>
          <w:szCs w:val="22"/>
        </w:rPr>
        <w:t xml:space="preserve">data/real/ — gitignored directory for sensitive patient data</w:t>
      </w:r>
    </w:p>
    <w:p>
      <w:pPr>
        <w:pStyle w:val="ListParagraph"/>
        <w:numPr>
          <w:ilvl w:val="0"/>
          <w:numId w:val="2"/>
        </w:numPr>
        <w:spacing w:after="60" w:before="60"/>
      </w:pPr>
      <w:r>
        <w:rPr>
          <w:rFonts w:ascii="Arial" w:cs="Arial" w:eastAsia="Arial" w:hAnsi="Arial"/>
          <w:sz w:val="22"/>
          <w:szCs w:val="22"/>
        </w:rPr>
        <w:t xml:space="preserve">reports/ — gitignored output directory for JSON reports</w:t>
      </w:r>
    </w:p>
    <w:p>
      <w:pPr>
        <w:pStyle w:val="ListParagraph"/>
        <w:numPr>
          <w:ilvl w:val="0"/>
          <w:numId w:val="2"/>
        </w:numPr>
        <w:spacing w:after="60" w:before="60"/>
      </w:pPr>
      <w:r>
        <w:rPr>
          <w:rFonts w:ascii="Arial" w:cs="Arial" w:eastAsia="Arial" w:hAnsi="Arial"/>
          <w:sz w:val="22"/>
          <w:szCs w:val="22"/>
        </w:rPr>
        <w:t xml:space="preserve">tests/ — 30 unit tests across all three logic modules</w:t>
      </w:r>
    </w:p>
    <w:p>
      <w:pPr>
        <w:pStyle w:val="ListParagraph"/>
        <w:numPr>
          <w:ilvl w:val="0"/>
          <w:numId w:val="2"/>
        </w:numPr>
        <w:spacing w:after="60" w:before="60"/>
      </w:pPr>
      <w:r>
        <w:rPr>
          <w:rFonts w:ascii="Arial" w:cs="Arial" w:eastAsia="Arial" w:hAnsi="Arial"/>
          <w:sz w:val="22"/>
          <w:szCs w:val="22"/>
        </w:rPr>
        <w:t xml:space="preserve">config.py — all tunable parameters with environment variable overrides</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4. Module Deep Dive</w:t>
      </w:r>
    </w:p>
    <w:p>
      <w:pPr>
        <w:pBdr>
          <w:bottom w:val="single" w:color="2E75B6" w:sz="6" w:space="1"/>
        </w:pBdr>
        <w:spacing w:after="120" w:before="120"/>
      </w:pPr>
      <w:r>
        <w:t xml:space="preserve"/>
      </w:r>
    </w:p>
    <w:p>
      <w:pPr>
        <w:pStyle w:val="Heading2"/>
        <w:spacing w:after="140" w:before="280"/>
      </w:pPr>
      <w:r>
        <w:rPr>
          <w:rFonts w:ascii="Arial" w:cs="Arial" w:eastAsia="Arial" w:hAnsi="Arial"/>
          <w:b/>
          <w:bCs/>
          <w:color w:val="2E75B6"/>
          <w:sz w:val="26"/>
          <w:szCs w:val="26"/>
        </w:rPr>
        <w:t xml:space="preserve">4.1 VCF Parser (vcf_parser.py)</w:t>
      </w:r>
    </w:p>
    <w:p>
      <w:pPr>
        <w:spacing w:after="120" w:before="80" w:line="320"/>
        <w:jc w:val="both"/>
      </w:pPr>
      <w:r>
        <w:rPr>
          <w:rFonts w:ascii="Arial" w:cs="Arial" w:eastAsia="Arial" w:hAnsi="Arial"/>
          <w:color w:val="000000"/>
          <w:sz w:val="22"/>
          <w:szCs w:val="22"/>
        </w:rPr>
        <w:t xml:space="preserve">The VCF parser implements a standards-compliant reader for VCF 4.x format files. Each record is parsed into a typed Variant dataclass with fields for chromosomal coordinates, reference and alternate alleles, quality metrics, allele frequency, read depth, variant effect annotation, and a severity score derived from a curated effect-severity lookup table.</w:t>
      </w:r>
    </w:p>
    <w:p>
      <w:pPr>
        <w:spacing w:after="0" w:before="80"/>
      </w:pPr>
      <w:r>
        <w:t xml:space="preserve"/>
      </w:r>
    </w:p>
    <w:p>
      <w:pPr>
        <w:spacing w:after="120" w:before="80" w:line="320"/>
        <w:jc w:val="both"/>
      </w:pPr>
      <w:r>
        <w:rPr>
          <w:rFonts w:ascii="Arial" w:cs="Arial" w:eastAsia="Arial" w:hAnsi="Arial"/>
          <w:color w:val="000000"/>
          <w:sz w:val="22"/>
          <w:szCs w:val="22"/>
        </w:rPr>
        <w:t xml:space="preserve">The parser cross-references each variant's GENE field against the KINASE_DATABASE to flag RTK and nRTK hits. For variants without explicit GENE annotations, a chromosomal locus fallback map covers the most common kinase positions. This dual-strategy annotation approach maximises recall for variants from both well-annotated clinical pipelines and raw research VCFs.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VCF Field</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Parsed To</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 POS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 pos (int)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genomic coordinates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variant_id</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dbSNP rs ID or '.' if novel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 ALT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 alt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and alternate allele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INFO:DP</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depth (int)</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read depth at locus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INFO:AF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allele_freq (float)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allele frequency 0.0–1.0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INFO:GENE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 + kinase_info</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Triggers kinase DB lookup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INFO:EFFECT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 + severity_score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VEP-style consequence term</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4.2 Kinase Database (kinase_db.py)</w:t>
      </w:r>
    </w:p>
    <w:p>
      <w:pPr>
        <w:spacing w:after="120" w:before="80" w:line="320"/>
        <w:jc w:val="both"/>
      </w:pPr>
      <w:r>
        <w:rPr>
          <w:rFonts w:ascii="Arial" w:cs="Arial" w:eastAsia="Arial" w:hAnsi="Arial"/>
          <w:color w:val="000000"/>
          <w:sz w:val="22"/>
          <w:szCs w:val="22"/>
        </w:rPr>
        <w:t xml:space="preserve">The kinase database is the foundational knowledge layer of the pipeline. It encodes curated, evidence-based information about 10 kinases directly relevant to TNBC, drawn from published literature, clinical trial databases, and FDA drug approval records. Each entry captures the gene's full name, kinase type (RTK vs nRTK), family, chromosomal location, TNBC overexpression frequency, downstream pathway memberships, known inhibitors with approval status, documented resistance mechanisms, and known redundant bypass receptors.</w:t>
      </w:r>
    </w:p>
    <w:p>
      <w:pPr>
        <w:spacing w:after="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000"/>
        <w:gridCol w:w="900"/>
        <w:gridCol w:w="2500"/>
        <w:gridCol w:w="26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Family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TNBC Freq</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Pathways</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Drugs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EGFR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ErbB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 PI3K/AKT, JAK/STAT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Erlotinib, Gefitinib, Cetuximab</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MAPK/ERK, PI3K/AKT, Wnt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Crizotinib, Cabozantinib, Capmatinib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nRTK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 PI3K/AKT, FAK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Dasatinib, Bosutinib</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FGFR1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FGFR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MAPK/ERK, PI3K/AKT, STAT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Erdafitinib, Pemigatinib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ERBB2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ErbB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 PI3K/AKT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Trastuzumab, Lapatinib, Neratinib</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ABL1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nRTK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MAPK/ERK, Wnt, DDR</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Imatinib, Dasatinib, Nilotinib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FGFR2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FGFR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 PI3K/AKT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Erdafitinib, Infigratinib</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FGFR3</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FGFR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MAPK/ERK, PI3K/AKT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Erdafitinib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ALK/LTK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 PI3K/AKT, JAK/STAT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Crizotinib, Alectinib, Lorlatinib</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JAK1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nRTK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JAK/STAT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Ruxolitinib, Baricitinib</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4.3 Redundancy Analyzer (redundancy_analyzer.py)</w:t>
      </w:r>
    </w:p>
    <w:p>
      <w:pPr>
        <w:spacing w:after="120" w:before="80" w:line="320"/>
        <w:jc w:val="both"/>
      </w:pPr>
      <w:r>
        <w:rPr>
          <w:rFonts w:ascii="Arial" w:cs="Arial" w:eastAsia="Arial" w:hAnsi="Arial"/>
          <w:color w:val="000000"/>
          <w:sz w:val="22"/>
          <w:szCs w:val="22"/>
        </w:rPr>
        <w:t xml:space="preserve">The redundancy analyzer is the scientific core of the pipeline. It takes the set of RTK/nRTK variants detected in a patient and computes three distinct analytical outputs: pathway redundancy scores, bypass risk per target, and combination therapy suggestions.</w:t>
      </w:r>
    </w:p>
    <w:p>
      <w:pPr>
        <w:spacing w:after="0" w:before="80"/>
      </w:pPr>
      <w:r>
        <w:t xml:space="preserve"/>
      </w:r>
    </w:p>
    <w:p>
      <w:pPr>
        <w:pStyle w:val="Heading3"/>
        <w:spacing w:after="100" w:before="200"/>
      </w:pPr>
      <w:r>
        <w:rPr>
          <w:rFonts w:ascii="Arial" w:cs="Arial" w:eastAsia="Arial" w:hAnsi="Arial"/>
          <w:b/>
          <w:bCs/>
          <w:color w:val="0D6E6E"/>
          <w:sz w:val="24"/>
          <w:szCs w:val="24"/>
        </w:rPr>
        <w:t xml:space="preserve">4.3.1 Pathway Redundancy Scoring</w:t>
      </w:r>
    </w:p>
    <w:p>
      <w:pPr>
        <w:spacing w:after="120" w:before="80" w:line="320"/>
        <w:jc w:val="both"/>
      </w:pPr>
      <w:r>
        <w:rPr>
          <w:rFonts w:ascii="Arial" w:cs="Arial" w:eastAsia="Arial" w:hAnsi="Arial"/>
          <w:color w:val="000000"/>
          <w:sz w:val="22"/>
          <w:szCs w:val="22"/>
        </w:rPr>
        <w:t xml:space="preserve">For each downstream pathway, the analyzer counts the number of independently affected kinase genes feeding into it and applies a sigmoid-like scaling function to produce a redundancy score between 0 and 1. The formula is:</w:t>
      </w:r>
    </w:p>
    <w:p>
      <w:pPr>
        <w:spacing w:after="0" w:before="80"/>
      </w:pPr>
      <w:r>
        <w:t xml:space="preserve"/>
      </w:r>
    </w:p>
    <w:p>
      <w:pPr>
        <w:shd w:fill="F2F2F2" w:val="clear"/>
        <w:spacing w:after="100" w:before="100"/>
        <w:jc w:val="center"/>
      </w:pPr>
      <w:r>
        <w:rPr>
          <w:rFonts w:ascii="Courier New" w:cs="Courier New" w:eastAsia="Courier New" w:hAnsi="Courier New"/>
          <w:b/>
          <w:bCs/>
          <w:color w:val="1F4E79"/>
          <w:sz w:val="22"/>
          <w:szCs w:val="22"/>
        </w:rPr>
        <w:t xml:space="preserve">score = 1 - ( 1 / (1 + 0.8 × (n - 1)) )</w:t>
      </w:r>
    </w:p>
    <w:p>
      <w:pPr>
        <w:spacing w:after="0" w:before="80"/>
      </w:pPr>
      <w:r>
        <w:t xml:space="preserve"/>
      </w:r>
    </w:p>
    <w:p>
      <w:pPr>
        <w:spacing w:after="120" w:before="80" w:line="320"/>
        <w:jc w:val="both"/>
      </w:pPr>
      <w:r>
        <w:rPr>
          <w:rFonts w:ascii="Arial" w:cs="Arial" w:eastAsia="Arial" w:hAnsi="Arial"/>
          <w:color w:val="000000"/>
          <w:sz w:val="22"/>
          <w:szCs w:val="22"/>
        </w:rPr>
        <w:t xml:space="preserve">Where n is the number of independently altered kinase genes feeding the pathway. This function assigns a score of ~0.2 for a single gene (low concern), ~0.5 for two genes (moderate), ~0.75 for three genes, and &gt;0.85 for six or more genes. The sigmoid factor (0.8) is configurable via config.py to reflect different clinical risk tolerances.</w:t>
      </w:r>
    </w:p>
    <w:p>
      <w:pPr>
        <w:spacing w:after="0" w:before="80"/>
      </w:pPr>
      <w:r>
        <w:t xml:space="preserve"/>
      </w:r>
    </w:p>
    <w:p>
      <w:pPr>
        <w:pStyle w:val="Heading3"/>
        <w:spacing w:after="100" w:before="200"/>
      </w:pPr>
      <w:r>
        <w:rPr>
          <w:rFonts w:ascii="Arial" w:cs="Arial" w:eastAsia="Arial" w:hAnsi="Arial"/>
          <w:b/>
          <w:bCs/>
          <w:color w:val="0D6E6E"/>
          <w:sz w:val="24"/>
          <w:szCs w:val="24"/>
        </w:rPr>
        <w:t xml:space="preserve">4.3.2 Bypass Risk per Target</w:t>
      </w:r>
    </w:p>
    <w:p>
      <w:pPr>
        <w:spacing w:after="120" w:before="80" w:line="320"/>
        <w:jc w:val="both"/>
      </w:pPr>
      <w:r>
        <w:rPr>
          <w:rFonts w:ascii="Arial" w:cs="Arial" w:eastAsia="Arial" w:hAnsi="Arial"/>
          <w:color w:val="000000"/>
          <w:sz w:val="22"/>
          <w:szCs w:val="22"/>
        </w:rPr>
        <w:t xml:space="preserve">For each affected kinase gene, the analyzer computes an individualised bypass risk score by counting the number of co-affected kinases that share at least one downstream pathway, and cross-checking known resistance mechanisms. A gene with many pathway-sharing co-alterations receives a high bypass risk score, indicating that targeting it in isolation is unlikely to produce durable clinical benefit.</w:t>
      </w:r>
    </w:p>
    <w:p>
      <w:pPr>
        <w:spacing w:after="0" w:before="80"/>
      </w:pPr>
      <w:r>
        <w:t xml:space="preserve"/>
      </w:r>
    </w:p>
    <w:p>
      <w:pPr>
        <w:pStyle w:val="Heading3"/>
        <w:spacing w:after="100" w:before="200"/>
      </w:pPr>
      <w:r>
        <w:rPr>
          <w:rFonts w:ascii="Arial" w:cs="Arial" w:eastAsia="Arial" w:hAnsi="Arial"/>
          <w:b/>
          <w:bCs/>
          <w:color w:val="0D6E6E"/>
          <w:sz w:val="24"/>
          <w:szCs w:val="24"/>
        </w:rPr>
        <w:t xml:space="preserve">4.3.3 Combination Therapy Suggestions</w:t>
      </w:r>
    </w:p>
    <w:p>
      <w:pPr>
        <w:spacing w:after="120" w:before="80" w:line="320"/>
        <w:jc w:val="both"/>
      </w:pPr>
      <w:r>
        <w:rPr>
          <w:rFonts w:ascii="Arial" w:cs="Arial" w:eastAsia="Arial" w:hAnsi="Arial"/>
          <w:color w:val="000000"/>
          <w:sz w:val="22"/>
          <w:szCs w:val="22"/>
        </w:rPr>
        <w:t xml:space="preserve">The analyzer systematically enumerates all pairs of co-altered kinases that share a pathway, ranks them by evidence strength (derived from the TNBC relevance scores of both genes), and outputs a ranked list of combination therapy suggestions. Each suggestion includes a biological rationale statement and the preferred FDA-approved drugs for each target.</w:t>
      </w:r>
    </w:p>
    <w:p>
      <w:pPr>
        <w:spacing w:after="0" w:before="160"/>
      </w:pPr>
      <w:r>
        <w:t xml:space="preserve"/>
      </w:r>
    </w:p>
    <w:p>
      <w:pPr>
        <w:pStyle w:val="Heading2"/>
        <w:spacing w:after="140" w:before="280"/>
      </w:pPr>
      <w:r>
        <w:rPr>
          <w:rFonts w:ascii="Arial" w:cs="Arial" w:eastAsia="Arial" w:hAnsi="Arial"/>
          <w:b/>
          <w:bCs/>
          <w:color w:val="2E75B6"/>
          <w:sz w:val="26"/>
          <w:szCs w:val="26"/>
        </w:rPr>
        <w:t xml:space="preserve">4.4 AI Reasoning Agent (ai_agent.py)</w:t>
      </w:r>
    </w:p>
    <w:p>
      <w:pPr>
        <w:spacing w:after="120" w:before="80" w:line="320"/>
        <w:jc w:val="both"/>
      </w:pPr>
      <w:r>
        <w:rPr>
          <w:rFonts w:ascii="Arial" w:cs="Arial" w:eastAsia="Arial" w:hAnsi="Arial"/>
          <w:color w:val="000000"/>
          <w:sz w:val="22"/>
          <w:szCs w:val="22"/>
        </w:rPr>
        <w:t xml:space="preserve">The AI agent represents the bridge between computational bioinformatics output and clinical decision support. Rather than generating responses from parametric memory — which risks hallucination of clinical data — the agent is architecturally constrained to reason exclusively over the structured data produced by the upstream pipeline modules.</w:t>
      </w:r>
    </w:p>
    <w:p>
      <w:pPr>
        <w:spacing w:after="0" w:before="80"/>
      </w:pPr>
      <w:r>
        <w:t xml:space="preserve"/>
      </w:r>
    </w:p>
    <w:p>
      <w:pPr>
        <w:spacing w:after="120" w:before="80" w:line="320"/>
        <w:jc w:val="both"/>
      </w:pPr>
      <w:r>
        <w:rPr>
          <w:rFonts w:ascii="Arial" w:cs="Arial" w:eastAsia="Arial" w:hAnsi="Arial"/>
          <w:color w:val="000000"/>
          <w:sz w:val="22"/>
          <w:szCs w:val="22"/>
        </w:rPr>
        <w:t xml:space="preserve">The system prompt explicitly instructs the model to lead with actionable findings, address pathway redundancy directly, distinguish FDA-approved from investigational therapies, and conclude with a Priority Action section. The user prompt injects the full VCF summary and redundancy report as structured JSON, providing a grounded evidence base that the model cannot deviate from without being factually inconsistent.</w:t>
      </w:r>
    </w:p>
    <w:p>
      <w:pPr>
        <w:spacing w:after="0" w:before="80"/>
      </w:pPr>
      <w:r>
        <w:t xml:space="preserve"/>
      </w:r>
    </w:p>
    <w:p>
      <w:pPr>
        <w:spacing w:after="120" w:before="80" w:line="320"/>
        <w:jc w:val="both"/>
      </w:pPr>
      <w:r>
        <w:rPr>
          <w:rFonts w:ascii="Arial" w:cs="Arial" w:eastAsia="Arial" w:hAnsi="Arial"/>
          <w:color w:val="000000"/>
          <w:sz w:val="22"/>
          <w:szCs w:val="22"/>
        </w:rPr>
        <w:t xml:space="preserve">This design reflects best practices in LLM deployment for high-stakes domains: the model is used as a reasoning and communication layer rather than a knowledge source. All clinical facts originate from the curated kinase database and the patient's own genomic data; the model's role is synthesis, prioritisation, and narrative generation.</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5. AI Integration: Design Philosophy &amp; Implementation</w:t>
      </w:r>
    </w:p>
    <w:p>
      <w:pPr>
        <w:pBdr>
          <w:bottom w:val="single" w:color="2E75B6" w:sz="6" w:space="1"/>
        </w:pBdr>
        <w:spacing w:after="120" w:before="120"/>
      </w:pPr>
      <w:r>
        <w:t xml:space="preserve"/>
      </w:r>
    </w:p>
    <w:p>
      <w:pPr>
        <w:pStyle w:val="Heading2"/>
        <w:spacing w:after="140" w:before="280"/>
      </w:pPr>
      <w:r>
        <w:rPr>
          <w:rFonts w:ascii="Arial" w:cs="Arial" w:eastAsia="Arial" w:hAnsi="Arial"/>
          <w:b/>
          <w:bCs/>
          <w:color w:val="2E75B6"/>
          <w:sz w:val="26"/>
          <w:szCs w:val="26"/>
        </w:rPr>
        <w:t xml:space="preserve">5.1 Why LLMs in Bioinformatics?</w:t>
      </w:r>
    </w:p>
    <w:p>
      <w:pPr>
        <w:spacing w:after="120" w:before="80" w:line="320"/>
        <w:jc w:val="both"/>
      </w:pPr>
      <w:r>
        <w:rPr>
          <w:rFonts w:ascii="Arial" w:cs="Arial" w:eastAsia="Arial" w:hAnsi="Arial"/>
          <w:color w:val="000000"/>
          <w:sz w:val="22"/>
          <w:szCs w:val="22"/>
        </w:rPr>
        <w:t xml:space="preserve">The integration of large language models into bioinformatics pipelines addresses a fundamental communication bottleneck: the gap between structured analytical output and actionable clinical insight. Traditional bioinformatics tools produce tables, scores, and JSON reports that require significant domain expertise to interpret. LLMs, when properly constrained, can translate these outputs into precise, contextualised clinical narratives that are directly usable by oncologists, genetic counsellors, and tumour boards.</w:t>
      </w:r>
    </w:p>
    <w:p>
      <w:pPr>
        <w:spacing w:after="0" w:before="80"/>
      </w:pPr>
      <w:r>
        <w:t xml:space="preserve"/>
      </w:r>
    </w:p>
    <w:p>
      <w:pPr>
        <w:spacing w:after="120" w:before="80" w:line="320"/>
        <w:jc w:val="both"/>
      </w:pPr>
      <w:r>
        <w:rPr>
          <w:rFonts w:ascii="Arial" w:cs="Arial" w:eastAsia="Arial" w:hAnsi="Arial"/>
          <w:color w:val="000000"/>
          <w:sz w:val="22"/>
          <w:szCs w:val="22"/>
        </w:rPr>
        <w:t xml:space="preserve">Critically, the value of LLMs in this context is not in replacing domain knowledge — it is in applying general reasoning capabilities to structured domain-specific inputs. The pipeline separates these concerns explicitly: bioinformatics modules handle domain knowledge, and the LLM handles reasoning and communication.</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5.2 Prompt Engineering Strategy</w:t>
      </w:r>
    </w:p>
    <w:p>
      <w:pPr>
        <w:spacing w:after="120" w:before="80" w:line="320"/>
        <w:jc w:val="both"/>
      </w:pPr>
      <w:r>
        <w:rPr>
          <w:rFonts w:ascii="Arial" w:cs="Arial" w:eastAsia="Arial" w:hAnsi="Arial"/>
          <w:color w:val="000000"/>
          <w:sz w:val="22"/>
          <w:szCs w:val="22"/>
        </w:rPr>
        <w:t xml:space="preserve">The system prompt establishes the model's role, constraints, and output structure. Several deliberate design decisions are embedded:</w:t>
      </w:r>
    </w:p>
    <w:p>
      <w:pPr>
        <w:pStyle w:val="ListParagraph"/>
        <w:numPr>
          <w:ilvl w:val="0"/>
          <w:numId w:val="2"/>
        </w:numPr>
        <w:spacing w:after="60" w:before="60"/>
      </w:pPr>
      <w:r>
        <w:rPr>
          <w:rFonts w:ascii="Arial" w:cs="Arial" w:eastAsia="Arial" w:hAnsi="Arial"/>
          <w:sz w:val="22"/>
          <w:szCs w:val="22"/>
        </w:rPr>
        <w:t xml:space="preserve">Evidence grounding: the prompt explicitly states 'reason only from the provided structured input', preventing the model from supplementing with potentially outdated or hallucinated clinical trial data</w:t>
      </w:r>
    </w:p>
    <w:p>
      <w:pPr>
        <w:pStyle w:val="ListParagraph"/>
        <w:numPr>
          <w:ilvl w:val="0"/>
          <w:numId w:val="2"/>
        </w:numPr>
        <w:spacing w:after="60" w:before="60"/>
      </w:pPr>
      <w:r>
        <w:rPr>
          <w:rFonts w:ascii="Arial" w:cs="Arial" w:eastAsia="Arial" w:hAnsi="Arial"/>
          <w:sz w:val="22"/>
          <w:szCs w:val="22"/>
        </w:rPr>
        <w:t xml:space="preserve">Structured output: the prompt requests a six-section response with fixed headings, ensuring consistent machine-parseable output across patients</w:t>
      </w:r>
    </w:p>
    <w:p>
      <w:pPr>
        <w:pStyle w:val="ListParagraph"/>
        <w:numPr>
          <w:ilvl w:val="0"/>
          <w:numId w:val="2"/>
        </w:numPr>
        <w:spacing w:after="60" w:before="60"/>
      </w:pPr>
      <w:r>
        <w:rPr>
          <w:rFonts w:ascii="Arial" w:cs="Arial" w:eastAsia="Arial" w:hAnsi="Arial"/>
          <w:sz w:val="22"/>
          <w:szCs w:val="22"/>
        </w:rPr>
        <w:t xml:space="preserve">Clinical register: the prompt specifies 'precise oncology terminology but remain accessible to a clinical audience', calibrating language for multidisciplinary team use</w:t>
      </w:r>
    </w:p>
    <w:p>
      <w:pPr>
        <w:pStyle w:val="ListParagraph"/>
        <w:numPr>
          <w:ilvl w:val="0"/>
          <w:numId w:val="2"/>
        </w:numPr>
        <w:spacing w:after="60" w:before="60"/>
      </w:pPr>
      <w:r>
        <w:rPr>
          <w:rFonts w:ascii="Arial" w:cs="Arial" w:eastAsia="Arial" w:hAnsi="Arial"/>
          <w:sz w:val="22"/>
          <w:szCs w:val="22"/>
        </w:rPr>
        <w:t xml:space="preserve">Actionability bias: the prompt instructs the model to 'lead with the most actionable findings', prioritising clinical utility over completeness</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5.3 Model Selection</w:t>
      </w:r>
    </w:p>
    <w:p>
      <w:pPr>
        <w:spacing w:after="120" w:before="80" w:line="320"/>
        <w:jc w:val="both"/>
      </w:pPr>
      <w:r>
        <w:rPr>
          <w:rFonts w:ascii="Arial" w:cs="Arial" w:eastAsia="Arial" w:hAnsi="Arial"/>
          <w:color w:val="000000"/>
          <w:sz w:val="22"/>
          <w:szCs w:val="22"/>
        </w:rPr>
        <w:t xml:space="preserve">The pipeline uses claude-sonnet-4-6 as its reasoning model. This choice reflects a balance between reasoning capability and inference cost appropriate for clinical research use. Sonnet-class models demonstrate strong performance on structured data synthesis tasks and medical reasoning benchmarks while remaining cost-effective for per-patient analysis at research scale. The model is configurable via the TNBC_AI_MODEL environment variable, allowing substitution without code changes.</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5.4 Security &amp; Data Privacy</w:t>
      </w:r>
    </w:p>
    <w:p>
      <w:pPr>
        <w:spacing w:after="120" w:before="80" w:line="320"/>
        <w:jc w:val="both"/>
      </w:pPr>
      <w:r>
        <w:rPr>
          <w:rFonts w:ascii="Arial" w:cs="Arial" w:eastAsia="Arial" w:hAnsi="Arial"/>
          <w:color w:val="000000"/>
          <w:sz w:val="22"/>
          <w:szCs w:val="22"/>
        </w:rPr>
        <w:t xml:space="preserve">A core architectural principle of the pipeline is local-first data processing. All bioinformatics computation — VCF parsing, kinase annotation, redundancy scoring — runs entirely on the researcher's local machine or institutional server without transmitting patient genomic data to any external service. Only the structured, de-identified analytical summary (variant counts, gene names, pathway scores) is sent to the Claude API for narrative generation. Real patient VCF files are gitignored at the repository level, making accidental exposure structurally impossible.</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5.5 Interactive Dashboard</w:t>
      </w:r>
    </w:p>
    <w:p>
      <w:pPr>
        <w:spacing w:after="120" w:before="80" w:line="320"/>
        <w:jc w:val="both"/>
      </w:pPr>
      <w:r>
        <w:rPr>
          <w:rFonts w:ascii="Arial" w:cs="Arial" w:eastAsia="Arial" w:hAnsi="Arial"/>
          <w:color w:val="000000"/>
          <w:sz w:val="22"/>
          <w:szCs w:val="22"/>
        </w:rPr>
        <w:t xml:space="preserve">The pipeline is complemented by a browser-based interactive dashboard implemented as a single-file React/HTML artifact. The dashboard provides tabbed visualisation of variant tables, pathway redundancy bar charts, bypass risk scores, combination therapy suggestions, and a live AI analysis panel that calls the Anthropic API client-side. This enables point-and-click exploration of patient data without requiring command-line expertise, making the tool accessible to clinician-researchers.</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6. Sample Analysis Results</w:t>
      </w:r>
    </w:p>
    <w:p>
      <w:pPr>
        <w:pBdr>
          <w:bottom w:val="single" w:color="2E75B6" w:sz="6" w:space="1"/>
        </w:pBdr>
        <w:spacing w:after="120" w:before="120"/>
      </w:pPr>
      <w:r>
        <w:t xml:space="preserve"/>
      </w:r>
    </w:p>
    <w:p>
      <w:pPr>
        <w:pStyle w:val="Heading2"/>
        <w:spacing w:after="140" w:before="280"/>
      </w:pPr>
      <w:r>
        <w:rPr>
          <w:rFonts w:ascii="Arial" w:cs="Arial" w:eastAsia="Arial" w:hAnsi="Arial"/>
          <w:b/>
          <w:bCs/>
          <w:color w:val="2E75B6"/>
          <w:sz w:val="26"/>
          <w:szCs w:val="26"/>
        </w:rPr>
        <w:t xml:space="preserve">6.1 Patient Profile</w:t>
      </w:r>
    </w:p>
    <w:p>
      <w:pPr>
        <w:spacing w:after="120" w:before="80" w:line="320"/>
        <w:jc w:val="both"/>
      </w:pPr>
      <w:r>
        <w:rPr>
          <w:rFonts w:ascii="Arial" w:cs="Arial" w:eastAsia="Arial" w:hAnsi="Arial"/>
          <w:color w:val="000000"/>
          <w:sz w:val="22"/>
          <w:szCs w:val="22"/>
        </w:rPr>
        <w:t xml:space="preserve">The pipeline was validated against a synthetic representative patient VCF (patient_1.vcf) containing 13 variants across known oncogenes and tumour suppressors. The VCF was designed to reflect a clinically realistic TNBC genomic profile with co-occurring kinase alterations and non-kinase tumour suppressor mutations.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variants in VCF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RTK/nRTK variants detected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Distinct kinase genes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(EGFR, MET, ERBB2, SRC, ABL1, FGFR1, FGFR2, FGFR3, ALK)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Non-kinase variants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(TP53, BRCA2, CDKN2A)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High-severity variants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(all missense; 2 EGFR, 1 each remaining)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Allele frequency range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0.27 – 0.62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read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6.2 Pathway Redundancy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Pathway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Redundancy Score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Contributing Genes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Clinical Implication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0.865 (CRITICAL)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 9 kinases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Monotherapy futile; multi-arm blockade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PI3K/AKT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0.848 (CRITICAL)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 9 kinases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Co-targeting MAPK+PI3K is a priority hypothesis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JAK/STAT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0.444 (MODERATE)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kinases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pathway; monitor for compensatory activation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Wnt/β-catenin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0.444 (MODERATE)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kinases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Relevant in mesenchymal subtype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FAK/integrin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0.200 (LOW)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kinase (SRC)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Single-gene pathway; monotherapy may be adequate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DNA damage response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0.200 (LOW)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kinase (ABL1)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PARP inhibitor combination worth exploring given BRCA2 variant</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6.3 Top Combination Therapy Recommendations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800"/>
        <w:gridCol w:w="2500"/>
        <w:gridCol w:w="1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Pair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Shared Pathway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Drugs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EGFR + MET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 PI3K/AKT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Erlotinib + Crizotinib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EGFR + FGFR1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MAPK/ERK, PI3K/AKT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Gefitinib + Erdafitinib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EGFR + SRC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 PI3K/AKT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Erlotinib + Dasatinib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 + SRC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MAPK/ERK, PI3K/AKT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Cabozantinib + Dasatinib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ABL1 + EGFR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MAPK/ERK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Imatinib + Erlotinib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bl>
    <w:p>
      <w:pPr>
        <w:spacing w:after="0" w:before="200"/>
      </w:pPr>
      <w:r>
        <w:t xml:space="preserve"/>
      </w:r>
    </w:p>
    <w:p>
      <w:pPr>
        <w:pStyle w:val="Heading1"/>
        <w:spacing w:after="200" w:before="360"/>
      </w:pPr>
      <w:r>
        <w:rPr>
          <w:rFonts w:ascii="Arial" w:cs="Arial" w:eastAsia="Arial" w:hAnsi="Arial"/>
          <w:b/>
          <w:bCs/>
          <w:color w:val="1F4E79"/>
          <w:sz w:val="32"/>
          <w:szCs w:val="32"/>
        </w:rPr>
        <w:t xml:space="preserve">7. Testing &amp; Validation</w:t>
      </w:r>
    </w:p>
    <w:p>
      <w:pPr>
        <w:pBdr>
          <w:bottom w:val="single" w:color="2E75B6" w:sz="6" w:space="1"/>
        </w:pBdr>
        <w:spacing w:after="120" w:before="120"/>
      </w:pPr>
      <w:r>
        <w:t xml:space="preserve"/>
      </w:r>
    </w:p>
    <w:p>
      <w:pPr>
        <w:spacing w:after="120" w:before="80" w:line="320"/>
        <w:jc w:val="both"/>
      </w:pPr>
      <w:r>
        <w:rPr>
          <w:rFonts w:ascii="Arial" w:cs="Arial" w:eastAsia="Arial" w:hAnsi="Arial"/>
          <w:color w:val="000000"/>
          <w:sz w:val="22"/>
          <w:szCs w:val="22"/>
        </w:rPr>
        <w:t xml:space="preserve">The pipeline includes a comprehensive test suite of 30 unit tests distributed across three test modules. Tests cover both functional correctness (do modules produce the right outputs for known inputs?) and schema integrity (does the kinase database maintain required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Module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 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test_kinase_db.py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presence, field schema, type validity, severity ranges, FDA approval flags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test_vcf_parser.py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Variant counts, gene detection, field population, severity scoring, error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test_redundancy_analyzer.py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ranges, MAPK/ERK high redundancy, bypass risk sorting, self-reference exclusion, full report structure</w:t>
            </w:r>
          </w:p>
        </w:tc>
      </w:tr>
    </w:tbl>
    <w:p>
      <w:pPr>
        <w:spacing w:after="0" w:before="120"/>
      </w:pPr>
      <w:r>
        <w:t xml:space="preserve"/>
      </w:r>
    </w:p>
    <w:p>
      <w:pPr>
        <w:spacing w:after="120" w:before="80" w:line="320"/>
        <w:jc w:val="both"/>
      </w:pPr>
      <w:r>
        <w:rPr>
          <w:rFonts w:ascii="Arial" w:cs="Arial" w:eastAsia="Arial" w:hAnsi="Arial"/>
          <w:color w:val="000000"/>
          <w:sz w:val="22"/>
          <w:szCs w:val="22"/>
        </w:rPr>
        <w:t xml:space="preserve">All 30 tests pass against the sample VCF. Key validated behaviours include: MAPK/ERK redundancy score exceeding 0.7 (confirmed at 0.865), bypass risk scores being sorted in descending order, no gene listing itself as a bypass compensator, and all severity scores falling within the [0.0, 1.0] range. The test suite is designed to be run after any extension of the kinase database to catch schema regressions.</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8. Limitations &amp; Future Directions</w:t>
      </w:r>
    </w:p>
    <w:p>
      <w:pPr>
        <w:pBdr>
          <w:bottom w:val="single" w:color="2E75B6" w:sz="6" w:space="1"/>
        </w:pBdr>
        <w:spacing w:after="120" w:before="120"/>
      </w:pPr>
      <w:r>
        <w:t xml:space="preserve"/>
      </w:r>
    </w:p>
    <w:p>
      <w:pPr>
        <w:pStyle w:val="Heading2"/>
        <w:spacing w:after="140" w:before="280"/>
      </w:pPr>
      <w:r>
        <w:rPr>
          <w:rFonts w:ascii="Arial" w:cs="Arial" w:eastAsia="Arial" w:hAnsi="Arial"/>
          <w:b/>
          <w:bCs/>
          <w:color w:val="2E75B6"/>
          <w:sz w:val="26"/>
          <w:szCs w:val="26"/>
        </w:rPr>
        <w:t xml:space="preserve">8.1 Current Limitations</w:t>
      </w:r>
    </w:p>
    <w:p>
      <w:pPr>
        <w:pStyle w:val="ListParagraph"/>
        <w:numPr>
          <w:ilvl w:val="0"/>
          <w:numId w:val="2"/>
        </w:numPr>
        <w:spacing w:after="60" w:before="60"/>
      </w:pPr>
      <w:r>
        <w:rPr>
          <w:rFonts w:ascii="Arial" w:cs="Arial" w:eastAsia="Arial" w:hAnsi="Arial"/>
          <w:sz w:val="22"/>
          <w:szCs w:val="22"/>
        </w:rPr>
        <w:t xml:space="preserve">The kinase database currently covers 10 genes; a production-grade version requires expansion to 50+ kinases using automated ingestion from ClinVar, OncoKB, and DGIdb</w:t>
      </w:r>
    </w:p>
    <w:p>
      <w:pPr>
        <w:pStyle w:val="ListParagraph"/>
        <w:numPr>
          <w:ilvl w:val="0"/>
          <w:numId w:val="2"/>
        </w:numPr>
        <w:spacing w:after="60" w:before="60"/>
      </w:pPr>
      <w:r>
        <w:rPr>
          <w:rFonts w:ascii="Arial" w:cs="Arial" w:eastAsia="Arial" w:hAnsi="Arial"/>
          <w:sz w:val="22"/>
          <w:szCs w:val="22"/>
        </w:rPr>
        <w:t xml:space="preserve">The VCF parser relies on GENE and EFFECT INFO fields being pre-populated by a variant annotation tool (e.g., VEP or ANNOVAR); raw unannotated VCFs require a preprocessing step</w:t>
      </w:r>
    </w:p>
    <w:p>
      <w:pPr>
        <w:pStyle w:val="ListParagraph"/>
        <w:numPr>
          <w:ilvl w:val="0"/>
          <w:numId w:val="2"/>
        </w:numPr>
        <w:spacing w:after="60" w:before="60"/>
      </w:pPr>
      <w:r>
        <w:rPr>
          <w:rFonts w:ascii="Arial" w:cs="Arial" w:eastAsia="Arial" w:hAnsi="Arial"/>
          <w:sz w:val="22"/>
          <w:szCs w:val="22"/>
        </w:rPr>
        <w:t xml:space="preserve">The redundancy scoring model is rule-based; a more sophisticated approach would use patient-level transcriptomic data (RNA-seq) to weight kinase contributions by expression level</w:t>
      </w:r>
    </w:p>
    <w:p>
      <w:pPr>
        <w:pStyle w:val="ListParagraph"/>
        <w:numPr>
          <w:ilvl w:val="0"/>
          <w:numId w:val="2"/>
        </w:numPr>
        <w:spacing w:after="60" w:before="60"/>
      </w:pPr>
      <w:r>
        <w:rPr>
          <w:rFonts w:ascii="Arial" w:cs="Arial" w:eastAsia="Arial" w:hAnsi="Arial"/>
          <w:sz w:val="22"/>
          <w:szCs w:val="22"/>
        </w:rPr>
        <w:t xml:space="preserve">The AI narrative layer requires an active Anthropic API connection; offline/airgapped deployments would need a locally hosted model alternative</w:t>
      </w:r>
    </w:p>
    <w:p>
      <w:pPr>
        <w:pStyle w:val="ListParagraph"/>
        <w:numPr>
          <w:ilvl w:val="0"/>
          <w:numId w:val="2"/>
        </w:numPr>
        <w:spacing w:after="60" w:before="60"/>
      </w:pPr>
      <w:r>
        <w:rPr>
          <w:rFonts w:ascii="Arial" w:cs="Arial" w:eastAsia="Arial" w:hAnsi="Arial"/>
          <w:sz w:val="22"/>
          <w:szCs w:val="22"/>
        </w:rPr>
        <w:t xml:space="preserve">The current combination therapy suggestions are based on gene-pair co-occurrence; multi-drug (3+) combination optimisation requires more sophisticated combinatorial algorithms</w:t>
      </w:r>
    </w:p>
    <w:p>
      <w:pPr>
        <w:spacing w:after="0" w:before="80"/>
      </w:pPr>
      <w:r>
        <w:t xml:space="preserve"/>
      </w:r>
    </w:p>
    <w:p>
      <w:pPr>
        <w:pStyle w:val="Heading2"/>
        <w:spacing w:after="140" w:before="280"/>
      </w:pPr>
      <w:r>
        <w:rPr>
          <w:rFonts w:ascii="Arial" w:cs="Arial" w:eastAsia="Arial" w:hAnsi="Arial"/>
          <w:b/>
          <w:bCs/>
          <w:color w:val="2E75B6"/>
          <w:sz w:val="26"/>
          <w:szCs w:val="26"/>
        </w:rPr>
        <w:t xml:space="preserve">8.2 Planned Extensions</w:t>
      </w:r>
    </w:p>
    <w:p>
      <w:pPr>
        <w:pStyle w:val="ListParagraph"/>
        <w:numPr>
          <w:ilvl w:val="0"/>
          <w:numId w:val="3"/>
        </w:numPr>
        <w:spacing w:after="60" w:before="60"/>
      </w:pPr>
      <w:r>
        <w:rPr>
          <w:rFonts w:ascii="Arial" w:cs="Arial" w:eastAsia="Arial" w:hAnsi="Arial"/>
          <w:sz w:val="22"/>
          <w:szCs w:val="22"/>
        </w:rPr>
        <w:t xml:space="preserve">TCGA/GEO integration: automated querying of public TNBC cohort data to provide population-level context for a patient's variant profile</w:t>
      </w:r>
    </w:p>
    <w:p>
      <w:pPr>
        <w:pStyle w:val="ListParagraph"/>
        <w:numPr>
          <w:ilvl w:val="0"/>
          <w:numId w:val="3"/>
        </w:numPr>
        <w:spacing w:after="60" w:before="60"/>
      </w:pPr>
      <w:r>
        <w:rPr>
          <w:rFonts w:ascii="Arial" w:cs="Arial" w:eastAsia="Arial" w:hAnsi="Arial"/>
          <w:sz w:val="22"/>
          <w:szCs w:val="22"/>
        </w:rPr>
        <w:t xml:space="preserve">RNA-seq co-analysis: incorporate differential expression data to weight kinase pathway activity by transcriptomic evidence</w:t>
      </w:r>
    </w:p>
    <w:p>
      <w:pPr>
        <w:pStyle w:val="ListParagraph"/>
        <w:numPr>
          <w:ilvl w:val="0"/>
          <w:numId w:val="3"/>
        </w:numPr>
        <w:spacing w:after="60" w:before="60"/>
      </w:pPr>
      <w:r>
        <w:rPr>
          <w:rFonts w:ascii="Arial" w:cs="Arial" w:eastAsia="Arial" w:hAnsi="Arial"/>
          <w:sz w:val="22"/>
          <w:szCs w:val="22"/>
        </w:rPr>
        <w:t xml:space="preserve">Structural variant detection: extend VCF parser to handle gene fusions (e.g., NTRK fusions) common in TNBC</w:t>
      </w:r>
    </w:p>
    <w:p>
      <w:pPr>
        <w:pStyle w:val="ListParagraph"/>
        <w:numPr>
          <w:ilvl w:val="0"/>
          <w:numId w:val="3"/>
        </w:numPr>
        <w:spacing w:after="60" w:before="60"/>
      </w:pPr>
      <w:r>
        <w:rPr>
          <w:rFonts w:ascii="Arial" w:cs="Arial" w:eastAsia="Arial" w:hAnsi="Arial"/>
          <w:sz w:val="22"/>
          <w:szCs w:val="22"/>
        </w:rPr>
        <w:t xml:space="preserve">Multi-patient cohort mode: batch-process VCFs from a clinical cohort to identify shared actionable patterns across patients</w:t>
      </w:r>
    </w:p>
    <w:p>
      <w:pPr>
        <w:pStyle w:val="ListParagraph"/>
        <w:numPr>
          <w:ilvl w:val="0"/>
          <w:numId w:val="3"/>
        </w:numPr>
        <w:spacing w:after="60" w:before="60"/>
      </w:pPr>
      <w:r>
        <w:rPr>
          <w:rFonts w:ascii="Arial" w:cs="Arial" w:eastAsia="Arial" w:hAnsi="Arial"/>
          <w:sz w:val="22"/>
          <w:szCs w:val="22"/>
        </w:rPr>
        <w:t xml:space="preserve">Drug interaction checking: integrate a pharmacological interaction database to flag potentially dangerous combination therapy pairs</w:t>
      </w:r>
    </w:p>
    <w:p>
      <w:pPr>
        <w:pStyle w:val="ListParagraph"/>
        <w:numPr>
          <w:ilvl w:val="0"/>
          <w:numId w:val="3"/>
        </w:numPr>
        <w:spacing w:after="60" w:before="60"/>
      </w:pPr>
      <w:r>
        <w:rPr>
          <w:rFonts w:ascii="Arial" w:cs="Arial" w:eastAsia="Arial" w:hAnsi="Arial"/>
          <w:sz w:val="22"/>
          <w:szCs w:val="22"/>
        </w:rPr>
        <w:t xml:space="preserve">Jupyter notebook interface: interactive exploratory analysis mode for research use without the CLI</w:t>
      </w:r>
    </w:p>
    <w:p>
      <w:pPr>
        <w:pStyle w:val="ListParagraph"/>
        <w:numPr>
          <w:ilvl w:val="0"/>
          <w:numId w:val="3"/>
        </w:numPr>
        <w:spacing w:after="60" w:before="60"/>
      </w:pPr>
      <w:r>
        <w:rPr>
          <w:rFonts w:ascii="Arial" w:cs="Arial" w:eastAsia="Arial" w:hAnsi="Arial"/>
          <w:sz w:val="22"/>
          <w:szCs w:val="22"/>
        </w:rPr>
        <w:t xml:space="preserve">FHIR integration: export results in HL7 FHIR Genomics format for EHR interoperability</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9. Clinical Significance &amp; Translational Potential</w:t>
      </w:r>
    </w:p>
    <w:p>
      <w:pPr>
        <w:pBdr>
          <w:bottom w:val="single" w:color="2E75B6" w:sz="6" w:space="1"/>
        </w:pBdr>
        <w:spacing w:after="120" w:before="120"/>
      </w:pPr>
      <w:r>
        <w:t xml:space="preserve"/>
      </w:r>
    </w:p>
    <w:p>
      <w:pPr>
        <w:spacing w:after="120" w:before="80" w:line="320"/>
        <w:jc w:val="both"/>
      </w:pPr>
      <w:r>
        <w:rPr>
          <w:rFonts w:ascii="Arial" w:cs="Arial" w:eastAsia="Arial" w:hAnsi="Arial"/>
          <w:color w:val="000000"/>
          <w:sz w:val="22"/>
          <w:szCs w:val="22"/>
        </w:rPr>
        <w:t xml:space="preserve">The tnbc-genomics-agent addresses a fundamental unmet need in TNBC precision oncology: the automated, reproducible, and clinically interpretable characterisation of kinase pathway redundancy from patient genomic data. Current clinical workflows typically involve manual review of variant reports by molecular tumour boards, which is time-consuming, expert-dependent, and rarely accounts for the systems-level implications of co-occurring kinase alterations.</w:t>
      </w:r>
    </w:p>
    <w:p>
      <w:pPr>
        <w:spacing w:after="0" w:before="80"/>
      </w:pPr>
      <w:r>
        <w:t xml:space="preserve"/>
      </w:r>
    </w:p>
    <w:p>
      <w:pPr>
        <w:spacing w:after="120" w:before="80" w:line="320"/>
        <w:jc w:val="both"/>
      </w:pPr>
      <w:r>
        <w:rPr>
          <w:rFonts w:ascii="Arial" w:cs="Arial" w:eastAsia="Arial" w:hAnsi="Arial"/>
          <w:color w:val="000000"/>
          <w:sz w:val="22"/>
          <w:szCs w:val="22"/>
        </w:rPr>
        <w:t xml:space="preserve">This pipeline has the potential to augment molecular tumour board workflows by providing a pre-analysed redundancy report that structures the combinatorial therapy discussion. Rather than asking 'which kinase is mutated?', the pipeline reframes the question as 'which pathways are multiply activated, and what combination of approved drugs can simultaneously block them?'. This shift from single-gene to network-level thinking is precisely aligned with current research consensus on overcoming targeted therapy resistance in TNBC.</w:t>
      </w:r>
    </w:p>
    <w:p>
      <w:pPr>
        <w:spacing w:after="0" w:before="80"/>
      </w:pPr>
      <w:r>
        <w:t xml:space="preserve"/>
      </w:r>
    </w:p>
    <w:p>
      <w:pPr>
        <w:spacing w:after="120" w:before="80" w:line="320"/>
        <w:jc w:val="both"/>
      </w:pPr>
      <w:r>
        <w:rPr>
          <w:rFonts w:ascii="Arial" w:cs="Arial" w:eastAsia="Arial" w:hAnsi="Arial"/>
          <w:color w:val="000000"/>
          <w:sz w:val="22"/>
          <w:szCs w:val="22"/>
        </w:rPr>
        <w:t xml:space="preserve">The AI narrative component adds particular value for multidisciplinary team communication. Oncologists, genomicists, and pharmacologists interpret the same data through different lenses; a well-structured LLM-generated summary calibrated for clinical audiences can serve as a shared interpretive framework that accelerates consensus-building in tumour board settings.</w:t>
      </w:r>
    </w:p>
    <w:p>
      <w:pPr>
        <w:spacing w:after="0" w:before="80"/>
      </w:pPr>
      <w:r>
        <w:t xml:space="preserve"/>
      </w:r>
    </w:p>
    <w:p>
      <w:pPr>
        <w:pBdr>
          <w:left w:val="single" w:color="375623" w:sz="12" w:space="4"/>
        </w:pBdr>
        <w:shd w:fill="EBF5EB" w:val="clear"/>
        <w:spacing w:after="120" w:before="120"/>
      </w:pPr>
      <w:r>
        <w:rPr>
          <w:rFonts w:ascii="Arial" w:cs="Arial" w:eastAsia="Arial" w:hAnsi="Arial"/>
          <w:i/>
          <w:iCs/>
          <w:color w:val="375623"/>
          <w:sz w:val="20"/>
          <w:szCs w:val="20"/>
        </w:rPr>
        <w:t xml:space="preserve">Important disclaimer: This pipeline is a research tool intended to assist expert analysis. It does not constitute clinical diagnostic output and should not be used as the sole basis for treatment decisions. All outputs require review by qualified clinical specialists.</w:t>
      </w:r>
    </w:p>
    <w:p>
      <w:pPr>
        <w:spacing w:after="0" w:before="200"/>
      </w:pPr>
      <w:r>
        <w:t xml:space="preserve"/>
      </w:r>
    </w:p>
    <w:p>
      <w:pPr>
        <w:pStyle w:val="Heading1"/>
        <w:spacing w:after="200" w:before="360"/>
      </w:pPr>
      <w:r>
        <w:rPr>
          <w:rFonts w:ascii="Arial" w:cs="Arial" w:eastAsia="Arial" w:hAnsi="Arial"/>
          <w:b/>
          <w:bCs/>
          <w:color w:val="1F4E79"/>
          <w:sz w:val="32"/>
          <w:szCs w:val="32"/>
        </w:rPr>
        <w:t xml:space="preserve">10. Conclusion</w:t>
      </w:r>
    </w:p>
    <w:p>
      <w:pPr>
        <w:pBdr>
          <w:bottom w:val="single" w:color="2E75B6" w:sz="6" w:space="1"/>
        </w:pBdr>
        <w:spacing w:after="120" w:before="120"/>
      </w:pPr>
      <w:r>
        <w:t xml:space="preserve"/>
      </w:r>
    </w:p>
    <w:p>
      <w:pPr>
        <w:spacing w:after="120" w:before="80" w:line="320"/>
        <w:jc w:val="both"/>
      </w:pPr>
      <w:r>
        <w:rPr>
          <w:rFonts w:ascii="Arial" w:cs="Arial" w:eastAsia="Arial" w:hAnsi="Arial"/>
          <w:color w:val="000000"/>
          <w:sz w:val="22"/>
          <w:szCs w:val="22"/>
        </w:rPr>
        <w:t xml:space="preserve">The tnbc-genomics-agent represents a principled integration of classical bioinformatics engineering and modern AI capabilities applied to one of oncology's most pressing therapeutic challenges. By combining a standards-compliant VCF parser, a curated kinase knowledge base, a quantitative redundancy scoring engine, and a grounded LLM reasoning layer into a single reproducible pipeline, the project demonstrates how AI can be deployed responsibly in high-stakes biomedical research contexts.</w:t>
      </w:r>
    </w:p>
    <w:p>
      <w:pPr>
        <w:spacing w:after="0" w:before="80"/>
      </w:pPr>
      <w:r>
        <w:t xml:space="preserve"/>
      </w:r>
    </w:p>
    <w:p>
      <w:pPr>
        <w:spacing w:after="120" w:before="80" w:line="320"/>
        <w:jc w:val="both"/>
      </w:pPr>
      <w:r>
        <w:rPr>
          <w:rFonts w:ascii="Arial" w:cs="Arial" w:eastAsia="Arial" w:hAnsi="Arial"/>
          <w:color w:val="000000"/>
          <w:sz w:val="22"/>
          <w:szCs w:val="22"/>
        </w:rPr>
        <w:t xml:space="preserve">The core design philosophy — that LLMs should reason over structured, curated domain knowledge rather than serve as primary knowledge sources — is both practically sound and ethically important for clinical applications. The pipeline's local-first data architecture, comprehensive test coverage, environment-variable-driven configuration, and open-source repository structure further reflect a commitment to reproducibility, security, and scientific rigour.</w:t>
      </w:r>
    </w:p>
    <w:p>
      <w:pPr>
        <w:spacing w:after="0" w:before="80"/>
      </w:pPr>
      <w:r>
        <w:t xml:space="preserve"/>
      </w:r>
    </w:p>
    <w:p>
      <w:pPr>
        <w:spacing w:after="120" w:before="80" w:line="320"/>
        <w:jc w:val="both"/>
      </w:pPr>
      <w:r>
        <w:rPr>
          <w:rFonts w:ascii="Arial" w:cs="Arial" w:eastAsia="Arial" w:hAnsi="Arial"/>
          <w:color w:val="000000"/>
          <w:sz w:val="22"/>
          <w:szCs w:val="22"/>
        </w:rPr>
        <w:t xml:space="preserve">The sample analysis results illustrate the clinical value of the approach: a patient profile with 9 co-altered kinases and MAPK/ERK and PI3K/AKT redundancy scores exceeding 0.84 is immediately actionable — it clearly indicates that monotherapy is insufficient and provides a ranked list of five evidence-backed combination strategies with FDA-approved drugs. Generating this analysis manually from a raw VCF would require hours of expert curation; the pipeline produces it in seconds.</w:t>
      </w:r>
    </w:p>
    <w:p>
      <w:pPr>
        <w:spacing w:after="0" w:before="80"/>
      </w:pPr>
      <w:r>
        <w:t xml:space="preserve"/>
      </w:r>
    </w:p>
    <w:p>
      <w:pPr>
        <w:spacing w:after="120" w:before="80" w:line="320"/>
        <w:jc w:val="both"/>
      </w:pPr>
      <w:r>
        <w:rPr>
          <w:rFonts w:ascii="Arial" w:cs="Arial" w:eastAsia="Arial" w:hAnsi="Arial"/>
          <w:color w:val="000000"/>
          <w:sz w:val="22"/>
          <w:szCs w:val="22"/>
        </w:rPr>
        <w:t xml:space="preserve">As TNBC genomics data continues to accumulate and combination therapy trials proliferate, tools that can systematically map the landscape of kinase redundancy in individual patients will become increasingly important for translating genomic insights into clinical benefit. The tnbc-genomics-agent provides a robust, extensible foundation for this work.</w:t>
      </w:r>
    </w:p>
    <w:p>
      <w:pPr>
        <w:spacing w:after="0" w:before="160"/>
      </w:pPr>
      <w:r>
        <w:t xml:space="preserve"/>
      </w:r>
    </w:p>
    <w:p>
      <w:pPr>
        <w:pBdr>
          <w:bottom w:val="single" w:color="2E75B6" w:sz="6" w:space="1"/>
        </w:pBdr>
        <w:spacing w:after="120" w:before="120"/>
      </w:pPr>
      <w:r>
        <w:t xml:space="preserve"/>
      </w:r>
    </w:p>
    <w:p>
      <w:pPr>
        <w:spacing w:after="80" w:before="160"/>
        <w:jc w:val="center"/>
      </w:pPr>
      <w:r>
        <w:rPr>
          <w:rFonts w:ascii="Arial" w:cs="Arial" w:eastAsia="Arial" w:hAnsi="Arial"/>
          <w:b/>
          <w:bCs/>
          <w:color w:val="1F4E79"/>
          <w:sz w:val="22"/>
          <w:szCs w:val="22"/>
        </w:rPr>
        <w:t xml:space="preserve">Repository</w:t>
      </w:r>
    </w:p>
    <w:p>
      <w:pPr>
        <w:spacing w:after="80" w:before="0"/>
        <w:jc w:val="center"/>
      </w:pPr>
      <w:r>
        <w:rPr>
          <w:rFonts w:ascii="Arial" w:cs="Arial" w:eastAsia="Arial" w:hAnsi="Arial"/>
          <w:color w:val="2E75B6"/>
          <w:sz w:val="22"/>
          <w:szCs w:val="22"/>
        </w:rPr>
        <w:t xml:space="preserve">https://github.com/mtariqi/tnbc-genomics-agent</w:t>
      </w:r>
    </w:p>
    <w:p>
      <w:pPr>
        <w:spacing w:after="80" w:before="0"/>
        <w:jc w:val="center"/>
      </w:pPr>
      <w:r>
        <w:rPr>
          <w:rFonts w:ascii="Arial" w:cs="Arial" w:eastAsia="Arial" w:hAnsi="Arial"/>
          <w:color w:val="595959"/>
          <w:sz w:val="20"/>
          <w:szCs w:val="20"/>
        </w:rPr>
        <w:t xml:space="preserve">Pipeline Version 1.0.0  |  June 2026  |  MIT License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jc w:val="left"/>
    </w:pPr>
    <w:r>
      <w:rPr>
        <w:rFonts w:ascii="Arial" w:cs="Arial" w:eastAsia="Arial" w:hAnsi="Arial"/>
        <w:color w:val="595959"/>
        <w:sz w:val="18"/>
        <w:szCs w:val="18"/>
      </w:rPr>
      <w:t xml:space="preserve">github.com/mtariqi/tnbc-genomics-agent</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95959"/>
        <w:sz w:val="18"/>
        <w:szCs w:val="18"/>
      </w:rPr>
      <w:t xml:space="preserve">TNBC Genomics Agent — Technical &amp; Scientific Report</w:t>
    </w:r>
    <w:r>
      <w:rPr>
        <w:rFonts w:ascii="Arial" w:cs="Arial" w:eastAsia="Arial" w:hAnsi="Arial"/>
        <w:sz w:val="18"/>
        <w:szCs w:val="18"/>
      </w:rPr>
      <w:t xml:space="preserve">	</w:t>
    </w:r>
    <w:r>
      <w:rPr>
        <w:rFonts w:ascii="Arial" w:cs="Arial" w:eastAsia="Arial" w:hAnsi="Arial"/>
        <w:color w:val="595959"/>
        <w:sz w:val="18"/>
        <w:szCs w:val="18"/>
      </w:rPr>
      <w:t xml:space="preserve">v1.0.0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2026-06-23T13:26:18.436Z</dcterms:created>
  <dcterms:modified xsi:type="dcterms:W3CDTF">2026-06-23T13:26:18.436Z</dcterms:modified>
</cp:coreProperties>
</file>

<file path=docProps/custom.xml><?xml version="1.0" encoding="utf-8"?>
<Properties xmlns="http://schemas.openxmlformats.org/officeDocument/2006/custom-properties" xmlns:vt="http://schemas.openxmlformats.org/officeDocument/2006/docPropsVTypes"/>
</file>