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rPr>
          <w:color w:val="000000"/>
        </w:rPr>
      </w:pPr>
      <w:r>
        <w:rPr>
          <w:color w:val="000000"/>
        </w:rPr>
      </w:r>
    </w:p>
    <w:p>
      <w:pPr>
        <w:pStyle w:val="Normal"/>
        <w:spacing w:before="0" w:after="80"/>
        <w:jc w:val="center"/>
        <w:rPr>
          <w:color w:val="000000"/>
        </w:rPr>
      </w:pPr>
      <w:r>
        <w:rPr>
          <w:rFonts w:eastAsia="Arial" w:cs="Arial"/>
          <w:b/>
          <w:bCs/>
          <w:color w:val="000000"/>
          <w:sz w:val="52"/>
          <w:szCs w:val="52"/>
        </w:rPr>
        <w:t>TNBC GENOMICS AGENT</w:t>
      </w:r>
    </w:p>
    <w:p>
      <w:pPr>
        <w:pStyle w:val="Normal"/>
        <w:spacing w:before="0" w:after="200"/>
        <w:jc w:val="center"/>
        <w:rPr>
          <w:color w:val="000000"/>
        </w:rPr>
      </w:pPr>
      <w:r>
        <w:rPr>
          <w:rFonts w:eastAsia="Arial" w:cs="Arial"/>
          <w:color w:val="000000"/>
          <w:sz w:val="32"/>
          <w:szCs w:val="32"/>
        </w:rPr>
        <w:t>RTK/nRTK Redundancy Analysis Pipeline</w:t>
      </w:r>
    </w:p>
    <w:p>
      <w:pPr>
        <w:pStyle w:val="Normal"/>
        <w:pBdr>
          <w:bottom w:val="single" w:sz="6" w:space="1" w:color="2E75B6"/>
        </w:pBdr>
        <w:spacing w:before="120" w:after="120"/>
        <w:rPr>
          <w:color w:val="000000"/>
        </w:rPr>
      </w:pPr>
      <w:r>
        <w:rPr>
          <w:color w:val="000000"/>
        </w:rPr>
      </w:r>
    </w:p>
    <w:p>
      <w:pPr>
        <w:pStyle w:val="Normal"/>
        <w:spacing w:before="200" w:after="0"/>
        <w:rPr>
          <w:color w:val="000000"/>
        </w:rPr>
      </w:pPr>
      <w:r>
        <w:rPr>
          <w:color w:val="000000"/>
        </w:rPr>
      </w:r>
    </w:p>
    <w:p>
      <w:pPr>
        <w:pStyle w:val="Normal"/>
        <w:spacing w:before="0" w:after="120"/>
        <w:jc w:val="center"/>
        <w:rPr>
          <w:color w:val="000000"/>
        </w:rPr>
      </w:pPr>
      <w:r>
        <w:rPr>
          <w:rFonts w:eastAsia="Arial" w:cs="Arial"/>
          <w:b/>
          <w:bCs/>
          <w:i/>
          <w:iCs/>
          <w:color w:val="000000"/>
          <w:sz w:val="28"/>
          <w:szCs w:val="28"/>
        </w:rPr>
        <w:t>A Research-Based Technical &amp; Scientific Report</w:t>
      </w:r>
    </w:p>
    <w:p>
      <w:pPr>
        <w:pStyle w:val="Normal"/>
        <w:spacing w:before="0" w:after="80"/>
        <w:jc w:val="center"/>
        <w:rPr>
          <w:color w:val="000000"/>
        </w:rPr>
      </w:pPr>
      <w:r>
        <w:rPr>
          <w:rFonts w:eastAsia="Arial" w:cs="Arial"/>
          <w:color w:val="000000"/>
          <w:sz w:val="24"/>
          <w:szCs w:val="24"/>
        </w:rPr>
        <w:t>Bioinformatics · Artificial Intelligence · Precision Oncology</w:t>
      </w:r>
    </w:p>
    <w:p>
      <w:pPr>
        <w:pStyle w:val="Normal"/>
        <w:spacing w:before="600" w:after="0"/>
        <w:rPr>
          <w:color w:val="000000"/>
        </w:rPr>
      </w:pPr>
      <w:r>
        <w:rPr>
          <w:color w:val="000000"/>
        </w:rPr>
      </w:r>
    </w:p>
    <w:p>
      <w:pPr>
        <w:pStyle w:val="Normal"/>
        <w:jc w:val="center"/>
        <w:rPr>
          <w:color w:val="000000"/>
        </w:rPr>
      </w:pPr>
      <w:r>
        <w:rPr>
          <w:rFonts w:eastAsia="Arial" w:cs="Arial"/>
          <w:b/>
          <w:bCs/>
          <w:color w:val="000000"/>
          <w:sz w:val="22"/>
          <w:szCs w:val="22"/>
        </w:rPr>
        <w:t xml:space="preserve">Repository: </w:t>
      </w:r>
      <w:r>
        <w:rPr>
          <w:rFonts w:eastAsia="Arial" w:cs="Arial"/>
          <w:color w:val="000000"/>
          <w:sz w:val="22"/>
          <w:szCs w:val="22"/>
        </w:rPr>
        <w:t>github.com/mtariqi/tnbc-genomics-agent</w:t>
      </w:r>
    </w:p>
    <w:p>
      <w:pPr>
        <w:pStyle w:val="Normal"/>
        <w:spacing w:before="80" w:after="0"/>
        <w:jc w:val="center"/>
        <w:rPr>
          <w:color w:val="000000"/>
        </w:rPr>
      </w:pPr>
      <w:r>
        <w:rPr>
          <w:rFonts w:eastAsia="Arial" w:cs="Arial"/>
          <w:color w:val="000000"/>
          <w:sz w:val="22"/>
          <w:szCs w:val="22"/>
        </w:rPr>
        <w:t>Version 1.0.0  |  June 2026</w:t>
      </w:r>
    </w:p>
    <w:p>
      <w:pPr>
        <w:pStyle w:val="Normal"/>
        <w:rPr>
          <w:color w:val="000000"/>
        </w:rPr>
      </w:pPr>
      <w:r>
        <w:rPr>
          <w:color w:val="000000"/>
        </w:rPr>
      </w:r>
      <w:r>
        <w:br w:type="page"/>
      </w:r>
    </w:p>
    <w:p>
      <w:pPr>
        <w:pStyle w:val="Heading1"/>
        <w:spacing w:before="0" w:after="200"/>
        <w:rPr>
          <w:color w:val="000000"/>
        </w:rPr>
      </w:pPr>
      <w:r>
        <w:rPr>
          <w:rFonts w:eastAsia="Arial" w:cs="Arial" w:ascii="Arial" w:hAnsi="Arial"/>
          <w:b/>
          <w:bCs/>
          <w:color w:val="000000"/>
          <w:sz w:val="32"/>
          <w:szCs w:val="32"/>
        </w:rPr>
        <w:t>1. Executive Summary</w:t>
      </w:r>
    </w:p>
    <w:p>
      <w:pPr>
        <w:pStyle w:val="Normal"/>
        <w:pBdr>
          <w:bottom w:val="single" w:sz="6" w:space="1" w:color="2E75B6"/>
        </w:pBdr>
        <w:spacing w:before="120" w:after="120"/>
        <w:rPr>
          <w:color w:val="000000"/>
        </w:rPr>
      </w:pPr>
      <w:r>
        <w:rPr>
          <w:color w:val="000000"/>
        </w:rPr>
      </w:r>
    </w:p>
    <w:p>
      <w:pPr>
        <w:pStyle w:val="Normal"/>
        <w:spacing w:lineRule="exact" w:line="320" w:before="80" w:after="120"/>
        <w:jc w:val="both"/>
        <w:rPr>
          <w:color w:val="000000"/>
        </w:rPr>
      </w:pPr>
      <w:r>
        <w:rPr>
          <w:rFonts w:eastAsia="Arial" w:cs="Arial"/>
          <w:b w:val="false"/>
          <w:bCs w:val="false"/>
          <w:i w:val="false"/>
          <w:iCs w:val="false"/>
          <w:color w:val="000000"/>
          <w:sz w:val="22"/>
          <w:szCs w:val="22"/>
        </w:rPr>
        <w:t>Triple-Negative Breast Cancer (TNBC) accounts for approximately 15–20% of all breast cancer diagnoses yet disproportionately contributes to breast cancer mortality due to its aggressive clinical course and limited targeted therapy options.</w:t>
      </w:r>
      <w:r>
        <w:rPr>
          <w:rFonts w:eastAsia="Arial" w:cs="Arial"/>
          <w:b w:val="false"/>
          <w:bCs w:val="false"/>
          <w:i w:val="false"/>
          <w:iCs w:val="false"/>
          <w:color w:val="000000"/>
          <w:sz w:val="16"/>
          <w:szCs w:val="16"/>
          <w:vertAlign w:val="superscript"/>
        </w:rPr>
        <w:t>[1]</w:t>
      </w:r>
      <w:r>
        <w:rPr>
          <w:rFonts w:eastAsia="Arial" w:cs="Arial"/>
          <w:b w:val="false"/>
          <w:bCs w:val="false"/>
          <w:i w:val="false"/>
          <w:iCs w:val="false"/>
          <w:color w:val="000000"/>
          <w:sz w:val="22"/>
          <w:szCs w:val="22"/>
        </w:rPr>
        <w:t xml:space="preserve"> Defined by the absence of estrogen receptor (ER), progesterone receptor (PR), and HER2 amplification, TNBC presents a fundamental therapeutic challenge: the absence of these three receptors eliminates the most effective classes of targeted agents, leaving clinicians reliant on chemotherapy, immunotherapy, and increasingly, kinase-directed strategies.</w:t>
      </w:r>
    </w:p>
    <w:p>
      <w:pPr>
        <w:pStyle w:val="Normal"/>
        <w:spacing w:before="80" w:after="0"/>
        <w:rPr>
          <w:color w:val="000000"/>
        </w:rPr>
      </w:pPr>
      <w:r>
        <w:rPr>
          <w:color w:val="000000"/>
        </w:rPr>
      </w:r>
    </w:p>
    <w:p>
      <w:pPr>
        <w:pStyle w:val="Normal"/>
        <w:spacing w:lineRule="exact" w:line="320" w:before="80" w:after="120"/>
        <w:jc w:val="both"/>
        <w:rPr>
          <w:color w:val="000000"/>
        </w:rPr>
      </w:pPr>
      <w:r>
        <w:rPr>
          <w:rFonts w:eastAsia="Arial" w:cs="Arial"/>
          <w:b w:val="false"/>
          <w:bCs w:val="false"/>
          <w:i w:val="false"/>
          <w:iCs w:val="false"/>
          <w:color w:val="000000"/>
          <w:sz w:val="22"/>
          <w:szCs w:val="22"/>
        </w:rPr>
        <w:t>A central obstacle to durable kinase-directed therapy in TNBC is pathway redundancy — the ability of cancer cells to sustain downstream oncogenic signalling through alternative kinase inputs when a primary target is inhibited.</w:t>
      </w:r>
      <w:r>
        <w:rPr>
          <w:rFonts w:eastAsia="Arial" w:cs="Arial"/>
          <w:b w:val="false"/>
          <w:bCs w:val="false"/>
          <w:i w:val="false"/>
          <w:iCs w:val="false"/>
          <w:color w:val="000000"/>
          <w:sz w:val="16"/>
          <w:szCs w:val="16"/>
          <w:vertAlign w:val="superscript"/>
        </w:rPr>
        <w:t>[2,3]</w:t>
      </w:r>
      <w:r>
        <w:rPr>
          <w:rFonts w:eastAsia="Arial" w:cs="Arial"/>
          <w:b w:val="false"/>
          <w:bCs w:val="false"/>
          <w:i w:val="false"/>
          <w:iCs w:val="false"/>
          <w:color w:val="000000"/>
          <w:sz w:val="22"/>
          <w:szCs w:val="22"/>
        </w:rPr>
        <w:t xml:space="preserve"> The tnbc-genomics-agent pipeline is designed to systematically identify and quantify this redundancy from patient genomic data, and to translate findings into clinician-readable treatment insights via an AI reasoning layer.</w:t>
      </w:r>
    </w:p>
    <w:p>
      <w:pPr>
        <w:pStyle w:val="Normal"/>
        <w:spacing w:before="80" w:after="0"/>
        <w:rPr>
          <w:color w:val="000000"/>
        </w:rPr>
      </w:pPr>
      <w:r>
        <w:rPr>
          <w:color w:val="000000"/>
        </w:rPr>
      </w:r>
    </w:p>
    <w:p>
      <w:pPr>
        <w:pStyle w:val="Normal"/>
        <w:pBdr>
          <w:left w:val="single" w:sz="12" w:space="4" w:color="2E75B6"/>
        </w:pBdr>
        <w:shd w:val="clear" w:fill="EBF3FB"/>
        <w:spacing w:before="120" w:after="120"/>
        <w:rPr>
          <w:color w:val="000000"/>
        </w:rPr>
      </w:pPr>
      <w:r>
        <w:rPr>
          <w:rFonts w:eastAsia="Arial" w:cs="Arial"/>
          <w:b/>
          <w:bCs/>
          <w:color w:val="000000"/>
          <w:sz w:val="22"/>
          <w:szCs w:val="22"/>
        </w:rPr>
        <w:t xml:space="preserve">Key finding: </w:t>
      </w:r>
      <w:r>
        <w:rPr>
          <w:rFonts w:eastAsia="Arial" w:cs="Arial"/>
          <w:color w:val="000000"/>
          <w:sz w:val="22"/>
          <w:szCs w:val="22"/>
        </w:rPr>
        <w:t>All 9 kinase genes detected in the sample patient (EGFR, MET, ERBB2, SRC, ABL1, FGFR1–3, ALK) converge on MAPK/ERK (redundancy score 0.865) and PI3K/AKT (0.848), yielding a bypass risk score of 1.0 for every individual target — a profile that categorically contraindicates monotherapy.</w:t>
      </w:r>
    </w:p>
    <w:p>
      <w:pPr>
        <w:pStyle w:val="Normal"/>
        <w:spacing w:before="200" w:after="0"/>
        <w:rPr>
          <w:color w:val="000000"/>
        </w:rPr>
      </w:pPr>
      <w:r>
        <w:rPr>
          <w:color w:val="000000"/>
        </w:rPr>
      </w:r>
    </w:p>
    <w:p>
      <w:pPr>
        <w:pStyle w:val="Heading1"/>
        <w:spacing w:before="360" w:after="200"/>
        <w:rPr>
          <w:color w:val="000000"/>
        </w:rPr>
      </w:pPr>
      <w:r>
        <w:rPr>
          <w:rFonts w:eastAsia="Arial" w:cs="Arial" w:ascii="Arial" w:hAnsi="Arial"/>
          <w:b/>
          <w:bCs/>
          <w:color w:val="000000"/>
          <w:sz w:val="32"/>
          <w:szCs w:val="32"/>
        </w:rPr>
        <w:t>2. Scientific Background</w:t>
      </w:r>
    </w:p>
    <w:p>
      <w:pPr>
        <w:pStyle w:val="Normal"/>
        <w:pBdr>
          <w:bottom w:val="single" w:sz="6" w:space="1" w:color="2E75B6"/>
        </w:pBdr>
        <w:spacing w:before="120" w:after="120"/>
        <w:rPr>
          <w:color w:val="000000"/>
        </w:rPr>
      </w:pPr>
      <w:r>
        <w:rPr>
          <w:color w:val="000000"/>
        </w:rPr>
      </w:r>
    </w:p>
    <w:p>
      <w:pPr>
        <w:pStyle w:val="Heading2"/>
        <w:spacing w:before="280" w:after="140"/>
        <w:rPr>
          <w:color w:val="000000"/>
        </w:rPr>
      </w:pPr>
      <w:r>
        <w:rPr>
          <w:rFonts w:eastAsia="Arial" w:cs="Arial" w:ascii="Arial" w:hAnsi="Arial"/>
          <w:b/>
          <w:bCs/>
          <w:color w:val="000000"/>
          <w:sz w:val="26"/>
          <w:szCs w:val="26"/>
        </w:rPr>
        <w:t>2.1 Triple-Negative Breast Cancer Biology</w:t>
      </w:r>
    </w:p>
    <w:p>
      <w:pPr>
        <w:pStyle w:val="Normal"/>
        <w:spacing w:lineRule="exact" w:line="320" w:before="80" w:after="120"/>
        <w:jc w:val="both"/>
        <w:rPr>
          <w:color w:val="000000"/>
        </w:rPr>
      </w:pPr>
      <w:r>
        <w:rPr>
          <w:rFonts w:eastAsia="Arial" w:cs="Arial"/>
          <w:b w:val="false"/>
          <w:bCs w:val="false"/>
          <w:i w:val="false"/>
          <w:iCs w:val="false"/>
          <w:color w:val="000000"/>
          <w:sz w:val="22"/>
          <w:szCs w:val="22"/>
        </w:rPr>
        <w:t>TNBC is a heterogeneous disease encompassing multiple molecular subtypes. In their landmark 2011 study, Lehmann et al. performed gene expression profiling of 587 TNBC tumour samples and identified six transcriptionally distinct subtypes: basal-like 1 (BL1), basal-like 2 (BL2), mesenchymal (M), mesenchymal stem-like (MSL), immunomodulatory (IM), and luminal androgen receptor (LAR).</w:t>
      </w:r>
      <w:r>
        <w:rPr>
          <w:rFonts w:eastAsia="Arial" w:cs="Arial"/>
          <w:b w:val="false"/>
          <w:bCs w:val="false"/>
          <w:i w:val="false"/>
          <w:iCs w:val="false"/>
          <w:color w:val="000000"/>
          <w:sz w:val="16"/>
          <w:szCs w:val="16"/>
          <w:vertAlign w:val="superscript"/>
        </w:rPr>
        <w:t>[4]</w:t>
      </w:r>
      <w:r>
        <w:rPr>
          <w:rFonts w:eastAsia="Arial" w:cs="Arial"/>
          <w:b w:val="false"/>
          <w:bCs w:val="false"/>
          <w:i w:val="false"/>
          <w:iCs w:val="false"/>
          <w:color w:val="000000"/>
          <w:sz w:val="22"/>
          <w:szCs w:val="22"/>
        </w:rPr>
        <w:t xml:space="preserve"> Each subtype exhibits a distinct kinase activation signature, but all share a common therapeutic vulnerability: absent hormone receptors force reliance on kinase inhibition, chemotherapy, or combinations thereof.</w:t>
      </w:r>
    </w:p>
    <w:p>
      <w:pPr>
        <w:pStyle w:val="Normal"/>
        <w:spacing w:before="80" w:after="0"/>
        <w:rPr>
          <w:color w:val="000000"/>
        </w:rPr>
      </w:pPr>
      <w:r>
        <w:rPr>
          <w:color w:val="000000"/>
        </w:rPr>
      </w:r>
    </w:p>
    <w:p>
      <w:pPr>
        <w:pStyle w:val="Heading2"/>
        <w:spacing w:before="280" w:after="140"/>
        <w:rPr>
          <w:color w:val="000000"/>
        </w:rPr>
      </w:pPr>
      <w:r>
        <w:rPr>
          <w:rFonts w:eastAsia="Arial" w:cs="Arial" w:ascii="Arial" w:hAnsi="Arial"/>
          <w:b/>
          <w:bCs/>
          <w:color w:val="000000"/>
          <w:sz w:val="26"/>
          <w:szCs w:val="26"/>
        </w:rPr>
        <w:t>2.2 RTK and nRTK Overexpression in TNBC</w:t>
      </w:r>
    </w:p>
    <w:p>
      <w:pPr>
        <w:pStyle w:val="Normal"/>
        <w:spacing w:lineRule="exact" w:line="320" w:before="80" w:after="120"/>
        <w:jc w:val="both"/>
        <w:rPr>
          <w:color w:val="000000"/>
        </w:rPr>
      </w:pPr>
      <w:r>
        <w:rPr>
          <w:rFonts w:eastAsia="Arial" w:cs="Arial"/>
          <w:b w:val="false"/>
          <w:bCs w:val="false"/>
          <w:i w:val="false"/>
          <w:iCs w:val="false"/>
          <w:color w:val="000000"/>
          <w:sz w:val="22"/>
          <w:szCs w:val="22"/>
        </w:rPr>
        <w:t>Receptor tyrosine kinases are among the most clinically relevant targets in TNBC. EGFR is overexpressed in approximately 50–54% of TNBCs and is particularly active in the BL1, BL2, and MSL subtypes.</w:t>
      </w:r>
      <w:r>
        <w:rPr>
          <w:rFonts w:eastAsia="Arial" w:cs="Arial"/>
          <w:b w:val="false"/>
          <w:bCs w:val="false"/>
          <w:i w:val="false"/>
          <w:iCs w:val="false"/>
          <w:color w:val="000000"/>
          <w:sz w:val="16"/>
          <w:szCs w:val="16"/>
          <w:vertAlign w:val="superscript"/>
        </w:rPr>
        <w:t>[5,6]</w:t>
      </w:r>
      <w:r>
        <w:rPr>
          <w:rFonts w:eastAsia="Arial" w:cs="Arial"/>
          <w:b w:val="false"/>
          <w:bCs w:val="false"/>
          <w:i w:val="false"/>
          <w:iCs w:val="false"/>
          <w:color w:val="000000"/>
          <w:sz w:val="22"/>
          <w:szCs w:val="22"/>
        </w:rPr>
        <w:t xml:space="preserve"> MET receptor overexpression occurs in approximately 42% of cases, and co-expression with EGFR has been specifically implicated in intrinsic resistance to EGFR monotherapy.</w:t>
      </w:r>
      <w:r>
        <w:rPr>
          <w:rFonts w:eastAsia="Arial" w:cs="Arial"/>
          <w:b w:val="false"/>
          <w:bCs w:val="false"/>
          <w:i w:val="false"/>
          <w:iCs w:val="false"/>
          <w:color w:val="000000"/>
          <w:sz w:val="16"/>
          <w:szCs w:val="16"/>
          <w:vertAlign w:val="superscript"/>
        </w:rPr>
        <w:t>[3]</w:t>
      </w:r>
      <w:r>
        <w:rPr>
          <w:rFonts w:eastAsia="Arial" w:cs="Arial"/>
          <w:b w:val="false"/>
          <w:bCs w:val="false"/>
          <w:i w:val="false"/>
          <w:iCs w:val="false"/>
          <w:color w:val="000000"/>
          <w:sz w:val="22"/>
          <w:szCs w:val="22"/>
        </w:rPr>
        <w:t xml:space="preserve"> FGFR1 amplification is detected in approximately 31% of TNBCs, predominantly in the mesenchymal subtype, and has been identified as a primary bypass mechanism following EGFR inhibitor treatment.</w:t>
      </w:r>
      <w:r>
        <w:rPr>
          <w:rFonts w:eastAsia="Arial" w:cs="Arial"/>
          <w:b w:val="false"/>
          <w:bCs w:val="false"/>
          <w:i w:val="false"/>
          <w:iCs w:val="false"/>
          <w:color w:val="000000"/>
          <w:sz w:val="16"/>
          <w:szCs w:val="16"/>
          <w:vertAlign w:val="superscript"/>
        </w:rPr>
        <w:t>[7]</w:t>
      </w:r>
    </w:p>
    <w:p>
      <w:pPr>
        <w:pStyle w:val="Normal"/>
        <w:spacing w:before="80" w:after="0"/>
        <w:rPr>
          <w:color w:val="000000"/>
        </w:rPr>
      </w:pPr>
      <w:r>
        <w:rPr>
          <w:color w:val="000000"/>
        </w:rPr>
      </w:r>
    </w:p>
    <w:p>
      <w:pPr>
        <w:pStyle w:val="Normal"/>
        <w:spacing w:lineRule="exact" w:line="320" w:before="80" w:after="120"/>
        <w:jc w:val="both"/>
        <w:rPr>
          <w:color w:val="000000"/>
        </w:rPr>
      </w:pPr>
      <w:r>
        <w:rPr>
          <w:rFonts w:eastAsia="Arial" w:cs="Arial"/>
          <w:b w:val="false"/>
          <w:bCs w:val="false"/>
          <w:i w:val="false"/>
          <w:iCs w:val="false"/>
          <w:color w:val="000000"/>
          <w:sz w:val="22"/>
          <w:szCs w:val="22"/>
        </w:rPr>
        <w:t>Among non-receptor tyrosine kinases, SRC is overexpressed or activated in approximately 47–65% of breast carcinomas</w:t>
      </w:r>
      <w:r>
        <w:rPr>
          <w:rFonts w:eastAsia="Arial" w:cs="Arial"/>
          <w:b w:val="false"/>
          <w:bCs w:val="false"/>
          <w:i w:val="false"/>
          <w:iCs w:val="false"/>
          <w:color w:val="000000"/>
          <w:sz w:val="16"/>
          <w:szCs w:val="16"/>
          <w:vertAlign w:val="superscript"/>
        </w:rPr>
        <w:t>[8]</w:t>
      </w:r>
      <w:r>
        <w:rPr>
          <w:rFonts w:eastAsia="Arial" w:cs="Arial"/>
          <w:b w:val="false"/>
          <w:bCs w:val="false"/>
          <w:i w:val="false"/>
          <w:iCs w:val="false"/>
          <w:color w:val="000000"/>
          <w:sz w:val="22"/>
          <w:szCs w:val="22"/>
        </w:rPr>
        <w:t xml:space="preserve"> and has been mechanistically linked to TNBC invasion, metastasis, and therapy resistance. ABL1 contributes to TNBC stemness and invasion via cross-talk with SRC.</w:t>
      </w:r>
      <w:r>
        <w:rPr>
          <w:rFonts w:eastAsia="Arial" w:cs="Arial"/>
          <w:b w:val="false"/>
          <w:bCs w:val="false"/>
          <w:i w:val="false"/>
          <w:iCs w:val="false"/>
          <w:color w:val="000000"/>
          <w:sz w:val="16"/>
          <w:szCs w:val="16"/>
          <w:vertAlign w:val="superscript"/>
        </w:rPr>
        <w:t>[9]</w:t>
      </w:r>
    </w:p>
    <w:p>
      <w:pPr>
        <w:pStyle w:val="Normal"/>
        <w:spacing w:before="80" w:after="0"/>
        <w:rPr>
          <w:color w:val="000000"/>
        </w:rPr>
      </w:pPr>
      <w:r>
        <w:rPr>
          <w:color w:val="000000"/>
        </w:rPr>
      </w:r>
    </w:p>
    <w:p>
      <w:pPr>
        <w:pStyle w:val="Heading2"/>
        <w:spacing w:before="280" w:after="140"/>
        <w:rPr>
          <w:color w:val="000000"/>
        </w:rPr>
      </w:pPr>
      <w:r>
        <w:rPr>
          <w:rFonts w:eastAsia="Arial" w:cs="Arial" w:ascii="Arial" w:hAnsi="Arial"/>
          <w:b/>
          <w:bCs/>
          <w:color w:val="000000"/>
          <w:sz w:val="26"/>
          <w:szCs w:val="26"/>
        </w:rPr>
        <w:t>2.3 The Pathway Redundancy Problem</w:t>
      </w:r>
    </w:p>
    <w:p>
      <w:pPr>
        <w:pStyle w:val="Normal"/>
        <w:spacing w:lineRule="exact" w:line="320" w:before="80" w:after="120"/>
        <w:jc w:val="both"/>
        <w:rPr>
          <w:color w:val="000000"/>
        </w:rPr>
      </w:pPr>
      <w:r>
        <w:rPr>
          <w:rFonts w:eastAsia="Arial" w:cs="Arial"/>
          <w:b w:val="false"/>
          <w:bCs w:val="false"/>
          <w:i w:val="false"/>
          <w:iCs w:val="false"/>
          <w:color w:val="000000"/>
          <w:sz w:val="22"/>
          <w:szCs w:val="22"/>
        </w:rPr>
        <w:t>The central biological insight motivating this pipeline is that RTKs and nRTKs do not operate in isolation — they form an interconnected network where inhibiting one node frequently results in compensatory activation of another. This phenomenon, termed adaptive resistance or bypass signalling, is well characterised in TNBC.</w:t>
      </w:r>
      <w:r>
        <w:rPr>
          <w:rFonts w:eastAsia="Arial" w:cs="Arial"/>
          <w:b w:val="false"/>
          <w:bCs w:val="false"/>
          <w:i w:val="false"/>
          <w:iCs w:val="false"/>
          <w:color w:val="000000"/>
          <w:sz w:val="16"/>
          <w:szCs w:val="16"/>
          <w:vertAlign w:val="superscript"/>
        </w:rPr>
        <w:t>[2]</w:t>
      </w:r>
      <w:r>
        <w:rPr>
          <w:rFonts w:eastAsia="Arial" w:cs="Arial"/>
          <w:b w:val="false"/>
          <w:bCs w:val="false"/>
          <w:i w:val="false"/>
          <w:iCs w:val="false"/>
          <w:color w:val="000000"/>
          <w:sz w:val="22"/>
          <w:szCs w:val="22"/>
        </w:rPr>
        <w:t xml:space="preserve"> Fibroblast-derived HGF activates MET and induces EGFR/MET cross-talk, conferring resistance to EGFR TKIs in TNBC cell lines even without MET amplification.</w:t>
      </w:r>
      <w:r>
        <w:rPr>
          <w:rFonts w:eastAsia="Arial" w:cs="Arial"/>
          <w:b w:val="false"/>
          <w:bCs w:val="false"/>
          <w:i w:val="false"/>
          <w:iCs w:val="false"/>
          <w:color w:val="000000"/>
          <w:sz w:val="16"/>
          <w:szCs w:val="16"/>
          <w:vertAlign w:val="superscript"/>
        </w:rPr>
        <w:t>[10]</w:t>
      </w:r>
      <w:r>
        <w:rPr>
          <w:rFonts w:eastAsia="Arial" w:cs="Arial"/>
          <w:b w:val="false"/>
          <w:bCs w:val="false"/>
          <w:i w:val="false"/>
          <w:iCs w:val="false"/>
          <w:color w:val="000000"/>
          <w:sz w:val="22"/>
          <w:szCs w:val="22"/>
        </w:rPr>
        <w:t xml:space="preserve"> Similarly, a whole-genome CRISPR screen in mesenchymal EGFR-resistant lung cancer cells identified FGFR1 as the top survival-promoting gene, supporting dual EGFR+FGFR blockade strategies.</w:t>
      </w:r>
      <w:r>
        <w:rPr>
          <w:rFonts w:eastAsia="Arial" w:cs="Arial"/>
          <w:b w:val="false"/>
          <w:bCs w:val="false"/>
          <w:i w:val="false"/>
          <w:iCs w:val="false"/>
          <w:color w:val="000000"/>
          <w:sz w:val="16"/>
          <w:szCs w:val="16"/>
          <w:vertAlign w:val="superscript"/>
        </w:rPr>
        <w:t>[7]</w:t>
      </w:r>
    </w:p>
    <w:p>
      <w:pPr>
        <w:pStyle w:val="Normal"/>
        <w:spacing w:before="80" w:after="0"/>
        <w:rPr>
          <w:color w:val="000000"/>
        </w:rPr>
      </w:pPr>
      <w:r>
        <w:rPr>
          <w:color w:val="000000"/>
        </w:rPr>
      </w:r>
    </w:p>
    <w:p>
      <w:pPr>
        <w:pStyle w:val="Normal"/>
        <w:spacing w:lineRule="exact" w:line="320" w:before="80" w:after="120"/>
        <w:jc w:val="both"/>
        <w:rPr>
          <w:color w:val="000000"/>
        </w:rPr>
      </w:pPr>
      <w:r>
        <w:rPr>
          <w:rFonts w:eastAsia="Arial" w:cs="Arial"/>
          <w:b w:val="false"/>
          <w:bCs w:val="false"/>
          <w:i w:val="false"/>
          <w:iCs w:val="false"/>
          <w:color w:val="000000"/>
          <w:sz w:val="22"/>
          <w:szCs w:val="22"/>
        </w:rPr>
        <w:t>Jaradat et al. (2024) provide a comprehensive synthesis of RTK-targeting clinical evidence in TNBC, noting that co-expression of multiple RTKs promotes signalling cross-talk and cell survival in the presence of single-agent kinase inhibitors, making multi-target inhibition a prerequisite for durable therapeutic response.</w:t>
      </w:r>
      <w:r>
        <w:rPr>
          <w:rFonts w:eastAsia="Arial" w:cs="Arial"/>
          <w:b w:val="false"/>
          <w:bCs w:val="false"/>
          <w:i w:val="false"/>
          <w:iCs w:val="false"/>
          <w:color w:val="000000"/>
          <w:sz w:val="16"/>
          <w:szCs w:val="16"/>
          <w:vertAlign w:val="superscript"/>
        </w:rPr>
        <w:t>[5]</w:t>
      </w:r>
      <w:r>
        <w:rPr>
          <w:rFonts w:eastAsia="Arial" w:cs="Arial"/>
          <w:b w:val="false"/>
          <w:bCs w:val="false"/>
          <w:i w:val="false"/>
          <w:iCs w:val="false"/>
          <w:color w:val="000000"/>
          <w:sz w:val="22"/>
          <w:szCs w:val="22"/>
        </w:rPr>
        <w:t xml:space="preserve"> This is precisely the problem the tnbc-genomics-agent pipeline is designed to detect and quantify at the individual patient level.</w:t>
      </w:r>
    </w:p>
    <w:p>
      <w:pPr>
        <w:pStyle w:val="Normal"/>
        <w:spacing w:before="200" w:after="0"/>
        <w:rPr>
          <w:color w:val="000000"/>
        </w:rPr>
      </w:pPr>
      <w:r>
        <w:rPr>
          <w:color w:val="000000"/>
        </w:rPr>
      </w:r>
    </w:p>
    <w:p>
      <w:pPr>
        <w:pStyle w:val="Heading1"/>
        <w:spacing w:before="360" w:after="200"/>
        <w:rPr>
          <w:color w:val="000000"/>
        </w:rPr>
      </w:pPr>
      <w:r>
        <w:rPr>
          <w:rFonts w:eastAsia="Arial" w:cs="Arial" w:ascii="Arial" w:hAnsi="Arial"/>
          <w:b/>
          <w:bCs/>
          <w:color w:val="000000"/>
          <w:sz w:val="32"/>
          <w:szCs w:val="32"/>
        </w:rPr>
        <w:t>3. Pipeline Architecture</w:t>
      </w:r>
    </w:p>
    <w:p>
      <w:pPr>
        <w:pStyle w:val="Normal"/>
        <w:pBdr>
          <w:bottom w:val="single" w:sz="6" w:space="1" w:color="2E75B6"/>
        </w:pBdr>
        <w:spacing w:before="120" w:after="120"/>
        <w:rPr>
          <w:color w:val="000000"/>
        </w:rPr>
      </w:pPr>
      <w:r>
        <w:rPr>
          <w:color w:val="000000"/>
        </w:rPr>
      </w:r>
    </w:p>
    <w:p>
      <w:pPr>
        <w:pStyle w:val="Heading2"/>
        <w:spacing w:before="280" w:after="140"/>
        <w:rPr>
          <w:color w:val="000000"/>
        </w:rPr>
      </w:pPr>
      <w:r>
        <w:rPr>
          <w:rFonts w:eastAsia="Arial" w:cs="Arial" w:ascii="Arial" w:hAnsi="Arial"/>
          <w:b/>
          <w:bCs/>
          <w:color w:val="000000"/>
          <w:sz w:val="26"/>
          <w:szCs w:val="26"/>
        </w:rPr>
        <w:t>3.1 System Overview</w:t>
      </w:r>
    </w:p>
    <w:p>
      <w:pPr>
        <w:pStyle w:val="Normal"/>
        <w:spacing w:lineRule="exact" w:line="320" w:before="80" w:after="120"/>
        <w:jc w:val="both"/>
        <w:rPr>
          <w:color w:val="000000"/>
        </w:rPr>
      </w:pPr>
      <w:r>
        <w:rPr>
          <w:rFonts w:eastAsia="Arial" w:cs="Arial"/>
          <w:color w:val="000000"/>
          <w:sz w:val="22"/>
          <w:szCs w:val="22"/>
        </w:rPr>
        <w:t>The tnbc-genomics-agent is structured as a modular Python pipeline with four loosely coupled analytical layers. This architecture enables independent testing, extension, and substitution of components without affecting the overall pipeline.</w:t>
      </w:r>
    </w:p>
    <w:p>
      <w:pPr>
        <w:pStyle w:val="Normal"/>
        <w:spacing w:before="120" w:after="0"/>
        <w:rPr>
          <w:color w:val="000000"/>
        </w:rPr>
      </w:pPr>
      <w:r>
        <w:rPr>
          <w:color w:val="000000"/>
        </w:rPr>
      </w:r>
    </w:p>
    <w:tbl>
      <w:tblPr>
        <w:tblW w:w="8860" w:type="dxa"/>
        <w:jc w:val="left"/>
        <w:tblInd w:w="0" w:type="dxa"/>
        <w:tblLayout w:type="fixed"/>
        <w:tblCellMar>
          <w:top w:w="80" w:type="dxa"/>
          <w:left w:w="120" w:type="dxa"/>
          <w:bottom w:w="80" w:type="dxa"/>
          <w:right w:w="120" w:type="dxa"/>
        </w:tblCellMar>
      </w:tblPr>
      <w:tblGrid>
        <w:gridCol w:w="1499"/>
        <w:gridCol w:w="2000"/>
        <w:gridCol w:w="3502"/>
        <w:gridCol w:w="1858"/>
      </w:tblGrid>
      <w:tr>
        <w:trPr>
          <w:tblHeader w:val="true"/>
        </w:trPr>
        <w:tc>
          <w:tcPr>
            <w:tcW w:w="1499" w:type="dxa"/>
            <w:tcBorders>
              <w:top w:val="single" w:sz="2" w:space="0" w:color="CCCCCC"/>
              <w:left w:val="single" w:sz="2" w:space="0" w:color="CCCCCC"/>
              <w:bottom w:val="single" w:sz="2" w:space="0" w:color="CCCCCC"/>
              <w:right w:val="single" w:sz="2" w:space="0" w:color="CCCCCC"/>
            </w:tcBorders>
            <w:shd w:fill="1F4E79" w:val="clear"/>
            <w:vAlign w:val="center"/>
          </w:tcPr>
          <w:p>
            <w:pPr>
              <w:pStyle w:val="Normal"/>
              <w:jc w:val="center"/>
              <w:rPr>
                <w:color w:val="000000"/>
              </w:rPr>
            </w:pPr>
            <w:r>
              <w:rPr>
                <w:rFonts w:eastAsia="Arial" w:cs="Arial"/>
                <w:b/>
                <w:bCs/>
                <w:color w:val="000000"/>
                <w:sz w:val="20"/>
                <w:szCs w:val="20"/>
              </w:rPr>
              <w:t>Layer</w:t>
            </w:r>
          </w:p>
        </w:tc>
        <w:tc>
          <w:tcPr>
            <w:tcW w:w="2000" w:type="dxa"/>
            <w:tcBorders>
              <w:top w:val="single" w:sz="2" w:space="0" w:color="CCCCCC"/>
              <w:left w:val="single" w:sz="2" w:space="0" w:color="CCCCCC"/>
              <w:bottom w:val="single" w:sz="2" w:space="0" w:color="CCCCCC"/>
              <w:right w:val="single" w:sz="2" w:space="0" w:color="CCCCCC"/>
            </w:tcBorders>
            <w:shd w:fill="1F4E79" w:val="clear"/>
            <w:vAlign w:val="center"/>
          </w:tcPr>
          <w:p>
            <w:pPr>
              <w:pStyle w:val="Normal"/>
              <w:jc w:val="center"/>
              <w:rPr>
                <w:color w:val="000000"/>
              </w:rPr>
            </w:pPr>
            <w:r>
              <w:rPr>
                <w:rFonts w:eastAsia="Arial" w:cs="Arial"/>
                <w:b/>
                <w:bCs/>
                <w:color w:val="000000"/>
                <w:sz w:val="20"/>
                <w:szCs w:val="20"/>
              </w:rPr>
              <w:t>Module</w:t>
            </w:r>
          </w:p>
        </w:tc>
        <w:tc>
          <w:tcPr>
            <w:tcW w:w="3502" w:type="dxa"/>
            <w:tcBorders>
              <w:top w:val="single" w:sz="2" w:space="0" w:color="CCCCCC"/>
              <w:left w:val="single" w:sz="2" w:space="0" w:color="CCCCCC"/>
              <w:bottom w:val="single" w:sz="2" w:space="0" w:color="CCCCCC"/>
              <w:right w:val="single" w:sz="2" w:space="0" w:color="CCCCCC"/>
            </w:tcBorders>
            <w:shd w:fill="1F4E79" w:val="clear"/>
            <w:vAlign w:val="center"/>
          </w:tcPr>
          <w:p>
            <w:pPr>
              <w:pStyle w:val="Normal"/>
              <w:jc w:val="center"/>
              <w:rPr>
                <w:color w:val="000000"/>
              </w:rPr>
            </w:pPr>
            <w:r>
              <w:rPr>
                <w:rFonts w:eastAsia="Arial" w:cs="Arial"/>
                <w:b/>
                <w:bCs/>
                <w:color w:val="000000"/>
                <w:sz w:val="20"/>
                <w:szCs w:val="20"/>
              </w:rPr>
              <w:t>Function</w:t>
            </w:r>
          </w:p>
        </w:tc>
        <w:tc>
          <w:tcPr>
            <w:tcW w:w="1858" w:type="dxa"/>
            <w:tcBorders>
              <w:top w:val="single" w:sz="2" w:space="0" w:color="CCCCCC"/>
              <w:left w:val="single" w:sz="2" w:space="0" w:color="CCCCCC"/>
              <w:bottom w:val="single" w:sz="2" w:space="0" w:color="CCCCCC"/>
              <w:right w:val="single" w:sz="2" w:space="0" w:color="CCCCCC"/>
            </w:tcBorders>
            <w:shd w:fill="1F4E79" w:val="clear"/>
            <w:vAlign w:val="center"/>
          </w:tcPr>
          <w:p>
            <w:pPr>
              <w:pStyle w:val="Normal"/>
              <w:jc w:val="center"/>
              <w:rPr>
                <w:color w:val="000000"/>
              </w:rPr>
            </w:pPr>
            <w:r>
              <w:rPr>
                <w:rFonts w:eastAsia="Arial" w:cs="Arial"/>
                <w:b/>
                <w:bCs/>
                <w:color w:val="000000"/>
                <w:sz w:val="20"/>
                <w:szCs w:val="20"/>
              </w:rPr>
              <w:t>Output</w:t>
            </w:r>
          </w:p>
        </w:tc>
      </w:tr>
      <w:tr>
        <w:trPr/>
        <w:tc>
          <w:tcPr>
            <w:tcW w:w="1499"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1 — Parsing</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vcf_parser.py</w:t>
            </w:r>
          </w:p>
        </w:tc>
        <w:tc>
          <w:tcPr>
            <w:tcW w:w="3502"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Ingests VCF 4.x, extracts RTK/nRTK variants, scores severity</w:t>
            </w:r>
          </w:p>
        </w:tc>
        <w:tc>
          <w:tcPr>
            <w:tcW w:w="1858"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List[Variant] objects</w:t>
            </w:r>
          </w:p>
        </w:tc>
      </w:tr>
      <w:tr>
        <w:trPr/>
        <w:tc>
          <w:tcPr>
            <w:tcW w:w="1499" w:type="dxa"/>
            <w:tcBorders>
              <w:top w:val="single" w:sz="2" w:space="0" w:color="CCCCCC"/>
              <w:left w:val="single" w:sz="2" w:space="0" w:color="CCCCCC"/>
              <w:bottom w:val="single" w:sz="2" w:space="0" w:color="CCCCCC"/>
              <w:right w:val="single" w:sz="2" w:space="0" w:color="CCCCCC"/>
            </w:tcBorders>
            <w:shd w:fill="F2F2F2" w:val="clear"/>
          </w:tcPr>
          <w:p>
            <w:pPr>
              <w:pStyle w:val="Normal"/>
              <w:rPr>
                <w:color w:val="000000"/>
              </w:rPr>
            </w:pPr>
            <w:r>
              <w:rPr>
                <w:rFonts w:eastAsia="Arial" w:cs="Arial"/>
                <w:color w:val="000000"/>
                <w:sz w:val="20"/>
                <w:szCs w:val="20"/>
              </w:rPr>
              <w:t>2 — Knowledge</w:t>
            </w:r>
          </w:p>
        </w:tc>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color w:val="000000"/>
              </w:rPr>
            </w:pPr>
            <w:r>
              <w:rPr>
                <w:rFonts w:eastAsia="Arial" w:cs="Arial"/>
                <w:color w:val="000000"/>
                <w:sz w:val="20"/>
                <w:szCs w:val="20"/>
              </w:rPr>
              <w:t>kinase_db.py</w:t>
            </w:r>
          </w:p>
        </w:tc>
        <w:tc>
          <w:tcPr>
            <w:tcW w:w="3502" w:type="dxa"/>
            <w:tcBorders>
              <w:top w:val="single" w:sz="2" w:space="0" w:color="CCCCCC"/>
              <w:left w:val="single" w:sz="2" w:space="0" w:color="CCCCCC"/>
              <w:bottom w:val="single" w:sz="2" w:space="0" w:color="CCCCCC"/>
              <w:right w:val="single" w:sz="2" w:space="0" w:color="CCCCCC"/>
            </w:tcBorders>
            <w:shd w:fill="F2F2F2" w:val="clear"/>
          </w:tcPr>
          <w:p>
            <w:pPr>
              <w:pStyle w:val="Normal"/>
              <w:rPr>
                <w:color w:val="000000"/>
              </w:rPr>
            </w:pPr>
            <w:r>
              <w:rPr>
                <w:rFonts w:eastAsia="Arial" w:cs="Arial"/>
                <w:color w:val="000000"/>
                <w:sz w:val="20"/>
                <w:szCs w:val="20"/>
              </w:rPr>
              <w:t>Curated database of 10 kinases with pathways, drugs, resistance</w:t>
            </w:r>
          </w:p>
        </w:tc>
        <w:tc>
          <w:tcPr>
            <w:tcW w:w="1858" w:type="dxa"/>
            <w:tcBorders>
              <w:top w:val="single" w:sz="2" w:space="0" w:color="CCCCCC"/>
              <w:left w:val="single" w:sz="2" w:space="0" w:color="CCCCCC"/>
              <w:bottom w:val="single" w:sz="2" w:space="0" w:color="CCCCCC"/>
              <w:right w:val="single" w:sz="2" w:space="0" w:color="CCCCCC"/>
            </w:tcBorders>
            <w:shd w:fill="F2F2F2" w:val="clear"/>
          </w:tcPr>
          <w:p>
            <w:pPr>
              <w:pStyle w:val="Normal"/>
              <w:rPr>
                <w:color w:val="000000"/>
              </w:rPr>
            </w:pPr>
            <w:r>
              <w:rPr>
                <w:rFonts w:eastAsia="Arial" w:cs="Arial"/>
                <w:color w:val="000000"/>
                <w:sz w:val="20"/>
                <w:szCs w:val="20"/>
              </w:rPr>
              <w:t>Dict lookup</w:t>
            </w:r>
          </w:p>
        </w:tc>
      </w:tr>
      <w:tr>
        <w:trPr/>
        <w:tc>
          <w:tcPr>
            <w:tcW w:w="1499"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3 — Analysis</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redundancy_analyzer.py</w:t>
            </w:r>
          </w:p>
        </w:tc>
        <w:tc>
          <w:tcPr>
            <w:tcW w:w="3502"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Pathway redundancy scoring, bypass risk, combination suggestions</w:t>
            </w:r>
          </w:p>
        </w:tc>
        <w:tc>
          <w:tcPr>
            <w:tcW w:w="1858"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Structured report Dict</w:t>
            </w:r>
          </w:p>
        </w:tc>
      </w:tr>
      <w:tr>
        <w:trPr/>
        <w:tc>
          <w:tcPr>
            <w:tcW w:w="1499" w:type="dxa"/>
            <w:tcBorders>
              <w:top w:val="single" w:sz="2" w:space="0" w:color="CCCCCC"/>
              <w:left w:val="single" w:sz="2" w:space="0" w:color="CCCCCC"/>
              <w:bottom w:val="single" w:sz="2" w:space="0" w:color="CCCCCC"/>
              <w:right w:val="single" w:sz="2" w:space="0" w:color="CCCCCC"/>
            </w:tcBorders>
            <w:shd w:fill="F2F2F2" w:val="clear"/>
          </w:tcPr>
          <w:p>
            <w:pPr>
              <w:pStyle w:val="Normal"/>
              <w:rPr>
                <w:color w:val="000000"/>
              </w:rPr>
            </w:pPr>
            <w:r>
              <w:rPr>
                <w:rFonts w:eastAsia="Arial" w:cs="Arial"/>
                <w:color w:val="000000"/>
                <w:sz w:val="20"/>
                <w:szCs w:val="20"/>
              </w:rPr>
              <w:t>4 — AI Synthesis</w:t>
            </w:r>
          </w:p>
        </w:tc>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color w:val="000000"/>
              </w:rPr>
            </w:pPr>
            <w:r>
              <w:rPr>
                <w:rFonts w:eastAsia="Arial" w:cs="Arial"/>
                <w:color w:val="000000"/>
                <w:sz w:val="20"/>
                <w:szCs w:val="20"/>
              </w:rPr>
              <w:t>ai_agent.py</w:t>
            </w:r>
          </w:p>
        </w:tc>
        <w:tc>
          <w:tcPr>
            <w:tcW w:w="3502" w:type="dxa"/>
            <w:tcBorders>
              <w:top w:val="single" w:sz="2" w:space="0" w:color="CCCCCC"/>
              <w:left w:val="single" w:sz="2" w:space="0" w:color="CCCCCC"/>
              <w:bottom w:val="single" w:sz="2" w:space="0" w:color="CCCCCC"/>
              <w:right w:val="single" w:sz="2" w:space="0" w:color="CCCCCC"/>
            </w:tcBorders>
            <w:shd w:fill="F2F2F2" w:val="clear"/>
          </w:tcPr>
          <w:p>
            <w:pPr>
              <w:pStyle w:val="Normal"/>
              <w:rPr>
                <w:color w:val="000000"/>
              </w:rPr>
            </w:pPr>
            <w:r>
              <w:rPr>
                <w:rFonts w:eastAsia="Arial" w:cs="Arial"/>
                <w:color w:val="000000"/>
                <w:sz w:val="20"/>
                <w:szCs w:val="20"/>
              </w:rPr>
              <w:t>LLM reasoning over structured data → clinical narrative</w:t>
            </w:r>
          </w:p>
        </w:tc>
        <w:tc>
          <w:tcPr>
            <w:tcW w:w="1858" w:type="dxa"/>
            <w:tcBorders>
              <w:top w:val="single" w:sz="2" w:space="0" w:color="CCCCCC"/>
              <w:left w:val="single" w:sz="2" w:space="0" w:color="CCCCCC"/>
              <w:bottom w:val="single" w:sz="2" w:space="0" w:color="CCCCCC"/>
              <w:right w:val="single" w:sz="2" w:space="0" w:color="CCCCCC"/>
            </w:tcBorders>
            <w:shd w:fill="F2F2F2" w:val="clear"/>
          </w:tcPr>
          <w:p>
            <w:pPr>
              <w:pStyle w:val="Normal"/>
              <w:rPr>
                <w:color w:val="000000"/>
              </w:rPr>
            </w:pPr>
            <w:r>
              <w:rPr>
                <w:rFonts w:eastAsia="Arial" w:cs="Arial"/>
                <w:color w:val="000000"/>
                <w:sz w:val="20"/>
                <w:szCs w:val="20"/>
              </w:rPr>
              <w:t>Natural language report</w:t>
            </w:r>
          </w:p>
        </w:tc>
      </w:tr>
      <w:tr>
        <w:trPr/>
        <w:tc>
          <w:tcPr>
            <w:tcW w:w="1499"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Orchestrator</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pipeline.py</w:t>
            </w:r>
          </w:p>
        </w:tc>
        <w:tc>
          <w:tcPr>
            <w:tcW w:w="3502"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CLI entrypoint, coordinates all modules, produces JSON report</w:t>
            </w:r>
          </w:p>
        </w:tc>
        <w:tc>
          <w:tcPr>
            <w:tcW w:w="1858"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JSON + console output</w:t>
            </w:r>
          </w:p>
        </w:tc>
      </w:tr>
    </w:tbl>
    <w:p>
      <w:pPr>
        <w:pStyle w:val="Normal"/>
        <w:spacing w:before="160" w:after="0"/>
        <w:rPr>
          <w:color w:val="000000"/>
        </w:rPr>
      </w:pPr>
      <w:r>
        <w:rPr>
          <w:color w:val="000000"/>
        </w:rPr>
      </w:r>
    </w:p>
    <w:p>
      <w:pPr>
        <w:pStyle w:val="Heading2"/>
        <w:spacing w:before="280" w:after="140"/>
        <w:rPr>
          <w:color w:val="000000"/>
        </w:rPr>
      </w:pPr>
      <w:r>
        <w:rPr>
          <w:rFonts w:eastAsia="Arial" w:cs="Arial" w:ascii="Arial" w:hAnsi="Arial"/>
          <w:b/>
          <w:bCs/>
          <w:color w:val="000000"/>
          <w:sz w:val="26"/>
          <w:szCs w:val="26"/>
        </w:rPr>
        <w:t>3.2 Data Flow</w:t>
      </w:r>
    </w:p>
    <w:p>
      <w:pPr>
        <w:pStyle w:val="Normal"/>
        <w:spacing w:lineRule="exact" w:line="320" w:before="80" w:after="120"/>
        <w:jc w:val="both"/>
        <w:rPr>
          <w:color w:val="000000"/>
        </w:rPr>
      </w:pPr>
      <w:r>
        <w:rPr>
          <w:rFonts w:eastAsia="Arial" w:cs="Arial"/>
          <w:color w:val="000000"/>
          <w:sz w:val="22"/>
          <w:szCs w:val="22"/>
        </w:rPr>
        <w:t>The pipeline follows a strict linear data flow with no circular dependencies. A patient VCF file enters at the parsing layer, is annotated against the kinase database, passed to the redundancy analyzer for scoring, and finally synthesized by the AI agent into a clinical narrative.</w:t>
      </w:r>
    </w:p>
    <w:p>
      <w:pPr>
        <w:pStyle w:val="Normal"/>
        <w:spacing w:before="80" w:after="0"/>
        <w:rPr>
          <w:color w:val="000000"/>
        </w:rPr>
      </w:pPr>
      <w:r>
        <w:rPr>
          <w:color w:val="000000"/>
        </w:rPr>
      </w:r>
    </w:p>
    <w:p>
      <w:pPr>
        <w:pStyle w:val="Heading2"/>
        <w:spacing w:before="280" w:after="140"/>
        <w:rPr>
          <w:color w:val="000000"/>
        </w:rPr>
      </w:pPr>
      <w:r>
        <w:rPr>
          <w:rFonts w:eastAsia="Arial" w:cs="Arial" w:ascii="Arial" w:hAnsi="Arial"/>
          <w:b/>
          <w:bCs/>
          <w:color w:val="000000"/>
          <w:sz w:val="26"/>
          <w:szCs w:val="26"/>
        </w:rPr>
        <w:t>3.3 Local-First Privacy Architecture</w:t>
      </w:r>
    </w:p>
    <w:p>
      <w:pPr>
        <w:pStyle w:val="Normal"/>
        <w:spacing w:lineRule="exact" w:line="320" w:before="80" w:after="120"/>
        <w:jc w:val="both"/>
        <w:rPr>
          <w:color w:val="000000"/>
        </w:rPr>
      </w:pPr>
      <w:r>
        <w:rPr>
          <w:rFonts w:eastAsia="Arial" w:cs="Arial"/>
          <w:color w:val="000000"/>
          <w:sz w:val="22"/>
          <w:szCs w:val="22"/>
        </w:rPr>
        <w:t>All bioinformatics computation runs entirely on the researcher's local machine. Only the structured, de-identified analytical summary is transmitted to the Claude API. Real patient VCF files are gitignored at the repository level, making accidental exposure structurally impossible. This local-first approach reflects best-practice data governance for clinical genomic research.</w:t>
      </w:r>
    </w:p>
    <w:p>
      <w:pPr>
        <w:pStyle w:val="Normal"/>
        <w:spacing w:before="200" w:after="0"/>
        <w:rPr>
          <w:color w:val="000000"/>
        </w:rPr>
      </w:pPr>
      <w:r>
        <w:rPr>
          <w:color w:val="000000"/>
        </w:rPr>
      </w:r>
    </w:p>
    <w:p>
      <w:pPr>
        <w:pStyle w:val="Heading1"/>
        <w:spacing w:before="360" w:after="200"/>
        <w:rPr>
          <w:color w:val="000000"/>
        </w:rPr>
      </w:pPr>
      <w:r>
        <w:rPr>
          <w:rFonts w:eastAsia="Arial" w:cs="Arial" w:ascii="Arial" w:hAnsi="Arial"/>
          <w:b/>
          <w:bCs/>
          <w:color w:val="000000"/>
          <w:sz w:val="32"/>
          <w:szCs w:val="32"/>
        </w:rPr>
        <w:t>4. Module Deep Dive</w:t>
      </w:r>
    </w:p>
    <w:p>
      <w:pPr>
        <w:pStyle w:val="Normal"/>
        <w:pBdr>
          <w:bottom w:val="single" w:sz="6" w:space="1" w:color="2E75B6"/>
        </w:pBdr>
        <w:spacing w:before="120" w:after="120"/>
        <w:rPr>
          <w:color w:val="000000"/>
        </w:rPr>
      </w:pPr>
      <w:r>
        <w:rPr>
          <w:color w:val="000000"/>
        </w:rPr>
      </w:r>
    </w:p>
    <w:p>
      <w:pPr>
        <w:pStyle w:val="Heading2"/>
        <w:spacing w:before="280" w:after="140"/>
        <w:rPr>
          <w:color w:val="000000"/>
        </w:rPr>
      </w:pPr>
      <w:r>
        <w:rPr>
          <w:rFonts w:eastAsia="Arial" w:cs="Arial" w:ascii="Arial" w:hAnsi="Arial"/>
          <w:b/>
          <w:bCs/>
          <w:color w:val="000000"/>
          <w:sz w:val="26"/>
          <w:szCs w:val="26"/>
        </w:rPr>
        <w:t>4.1 VCF Parser</w:t>
      </w:r>
    </w:p>
    <w:p>
      <w:pPr>
        <w:pStyle w:val="Normal"/>
        <w:spacing w:lineRule="exact" w:line="320" w:before="80" w:after="120"/>
        <w:jc w:val="both"/>
        <w:rPr>
          <w:color w:val="000000"/>
        </w:rPr>
      </w:pPr>
      <w:r>
        <w:rPr>
          <w:rFonts w:eastAsia="Arial" w:cs="Arial"/>
          <w:color w:val="000000"/>
          <w:sz w:val="22"/>
          <w:szCs w:val="22"/>
        </w:rPr>
        <w:t>The VCF parser implements a standards-compliant reader for VCF 4.x files. Each record is parsed into a typed Variant dataclass. The parser cross-references the GENE INFO field against the curated KINASE_DATABASE to identify RTK and nRTK hits, and applies a severity scoring table based on VEP-style consequence terms (stop_gained → 1.0; frameshift → 0.95; missense → 0.70).</w:t>
      </w:r>
    </w:p>
    <w:p>
      <w:pPr>
        <w:pStyle w:val="Normal"/>
        <w:spacing w:before="80" w:after="0"/>
        <w:rPr>
          <w:color w:val="000000"/>
        </w:rPr>
      </w:pPr>
      <w:r>
        <w:rPr>
          <w:color w:val="000000"/>
        </w:rPr>
      </w:r>
    </w:p>
    <w:p>
      <w:pPr>
        <w:pStyle w:val="Heading2"/>
        <w:spacing w:before="280" w:after="140"/>
        <w:rPr>
          <w:color w:val="000000"/>
        </w:rPr>
      </w:pPr>
      <w:r>
        <w:rPr>
          <w:rFonts w:eastAsia="Arial" w:cs="Arial" w:ascii="Arial" w:hAnsi="Arial"/>
          <w:b/>
          <w:bCs/>
          <w:color w:val="000000"/>
          <w:sz w:val="26"/>
          <w:szCs w:val="26"/>
        </w:rPr>
        <w:t>4.2 Kinase Database</w:t>
      </w:r>
    </w:p>
    <w:p>
      <w:pPr>
        <w:pStyle w:val="Normal"/>
        <w:spacing w:lineRule="exact" w:line="320" w:before="80" w:after="120"/>
        <w:jc w:val="both"/>
        <w:rPr>
          <w:color w:val="000000"/>
        </w:rPr>
      </w:pPr>
      <w:r>
        <w:rPr>
          <w:rFonts w:eastAsia="Arial" w:cs="Arial"/>
          <w:b w:val="false"/>
          <w:bCs w:val="false"/>
          <w:i w:val="false"/>
          <w:iCs w:val="false"/>
          <w:color w:val="000000"/>
          <w:sz w:val="22"/>
          <w:szCs w:val="22"/>
        </w:rPr>
        <w:t>The kinase database encodes curated, evidence-based information for 10 kinases drawn from published literature, the FDA drug approval record, and clinical trial databases. Drug entries are cross-referenced against current FDA approvals. The FGFR family entries (FGFR1–3) reflect the growing clinical evidence base for pan-FGFR inhibitors (erdafitinib, pemigatinib, infigratinib) in kinase-altered cancers.</w:t>
      </w:r>
      <w:r>
        <w:rPr>
          <w:rFonts w:eastAsia="Arial" w:cs="Arial"/>
          <w:b w:val="false"/>
          <w:bCs w:val="false"/>
          <w:i w:val="false"/>
          <w:iCs w:val="false"/>
          <w:color w:val="000000"/>
          <w:sz w:val="16"/>
          <w:szCs w:val="16"/>
          <w:vertAlign w:val="superscript"/>
        </w:rPr>
        <w:t>[11]</w:t>
      </w:r>
      <w:r>
        <w:rPr>
          <w:rFonts w:eastAsia="Arial" w:cs="Arial"/>
          <w:b w:val="false"/>
          <w:bCs w:val="false"/>
          <w:i w:val="false"/>
          <w:iCs w:val="false"/>
          <w:color w:val="000000"/>
          <w:sz w:val="22"/>
          <w:szCs w:val="22"/>
        </w:rPr>
        <w:t xml:space="preserve"> MET inhibitor entries (crizotinib, capmatinib, tepotinib, cabozantinib) reflect extensive clinical development in MET-dysregulated malignancies.</w:t>
      </w:r>
      <w:r>
        <w:rPr>
          <w:rFonts w:eastAsia="Arial" w:cs="Arial"/>
          <w:b w:val="false"/>
          <w:bCs w:val="false"/>
          <w:i w:val="false"/>
          <w:iCs w:val="false"/>
          <w:color w:val="000000"/>
          <w:sz w:val="16"/>
          <w:szCs w:val="16"/>
          <w:vertAlign w:val="superscript"/>
        </w:rPr>
        <w:t>[12]</w:t>
      </w:r>
    </w:p>
    <w:p>
      <w:pPr>
        <w:pStyle w:val="Normal"/>
        <w:spacing w:before="80" w:after="0"/>
        <w:rPr>
          <w:color w:val="000000"/>
        </w:rPr>
      </w:pPr>
      <w:r>
        <w:rPr>
          <w:color w:val="000000"/>
        </w:rPr>
      </w:r>
    </w:p>
    <w:tbl>
      <w:tblPr>
        <w:tblW w:w="7360" w:type="dxa"/>
        <w:jc w:val="left"/>
        <w:tblInd w:w="0" w:type="dxa"/>
        <w:tblLayout w:type="fixed"/>
        <w:tblCellMar>
          <w:top w:w="80" w:type="dxa"/>
          <w:left w:w="120" w:type="dxa"/>
          <w:bottom w:w="80" w:type="dxa"/>
          <w:right w:w="120" w:type="dxa"/>
        </w:tblCellMar>
      </w:tblPr>
      <w:tblGrid>
        <w:gridCol w:w="900"/>
        <w:gridCol w:w="700"/>
        <w:gridCol w:w="800"/>
        <w:gridCol w:w="1899"/>
        <w:gridCol w:w="2400"/>
        <w:gridCol w:w="660"/>
      </w:tblGrid>
      <w:tr>
        <w:trPr>
          <w:tblHeader w:val="true"/>
        </w:trPr>
        <w:tc>
          <w:tcPr>
            <w:tcW w:w="900" w:type="dxa"/>
            <w:tcBorders>
              <w:top w:val="single" w:sz="2" w:space="0" w:color="CCCCCC"/>
              <w:left w:val="single" w:sz="2" w:space="0" w:color="CCCCCC"/>
              <w:bottom w:val="single" w:sz="2" w:space="0" w:color="CCCCCC"/>
              <w:right w:val="single" w:sz="2" w:space="0" w:color="CCCCCC"/>
            </w:tcBorders>
            <w:shd w:fill="1F4E79" w:val="clear"/>
            <w:vAlign w:val="center"/>
          </w:tcPr>
          <w:p>
            <w:pPr>
              <w:pStyle w:val="Normal"/>
              <w:jc w:val="center"/>
              <w:rPr>
                <w:color w:val="000000"/>
              </w:rPr>
            </w:pPr>
            <w:r>
              <w:rPr>
                <w:rFonts w:eastAsia="Arial" w:cs="Arial"/>
                <w:b/>
                <w:bCs/>
                <w:color w:val="000000"/>
                <w:sz w:val="20"/>
                <w:szCs w:val="20"/>
              </w:rPr>
              <w:t>Gene</w:t>
            </w:r>
          </w:p>
        </w:tc>
        <w:tc>
          <w:tcPr>
            <w:tcW w:w="700" w:type="dxa"/>
            <w:tcBorders>
              <w:top w:val="single" w:sz="2" w:space="0" w:color="CCCCCC"/>
              <w:left w:val="single" w:sz="2" w:space="0" w:color="CCCCCC"/>
              <w:bottom w:val="single" w:sz="2" w:space="0" w:color="CCCCCC"/>
              <w:right w:val="single" w:sz="2" w:space="0" w:color="CCCCCC"/>
            </w:tcBorders>
            <w:shd w:fill="1F4E79" w:val="clear"/>
            <w:vAlign w:val="center"/>
          </w:tcPr>
          <w:p>
            <w:pPr>
              <w:pStyle w:val="Normal"/>
              <w:jc w:val="center"/>
              <w:rPr>
                <w:color w:val="000000"/>
              </w:rPr>
            </w:pPr>
            <w:r>
              <w:rPr>
                <w:rFonts w:eastAsia="Arial" w:cs="Arial"/>
                <w:b/>
                <w:bCs/>
                <w:color w:val="000000"/>
                <w:sz w:val="20"/>
                <w:szCs w:val="20"/>
              </w:rPr>
              <w:t>Type</w:t>
            </w:r>
          </w:p>
        </w:tc>
        <w:tc>
          <w:tcPr>
            <w:tcW w:w="800" w:type="dxa"/>
            <w:tcBorders>
              <w:top w:val="single" w:sz="2" w:space="0" w:color="CCCCCC"/>
              <w:left w:val="single" w:sz="2" w:space="0" w:color="CCCCCC"/>
              <w:bottom w:val="single" w:sz="2" w:space="0" w:color="CCCCCC"/>
              <w:right w:val="single" w:sz="2" w:space="0" w:color="CCCCCC"/>
            </w:tcBorders>
            <w:shd w:fill="1F4E79" w:val="clear"/>
            <w:vAlign w:val="center"/>
          </w:tcPr>
          <w:p>
            <w:pPr>
              <w:pStyle w:val="Normal"/>
              <w:jc w:val="center"/>
              <w:rPr>
                <w:color w:val="000000"/>
              </w:rPr>
            </w:pPr>
            <w:r>
              <w:rPr>
                <w:rFonts w:eastAsia="Arial" w:cs="Arial"/>
                <w:b/>
                <w:bCs/>
                <w:color w:val="000000"/>
                <w:sz w:val="20"/>
                <w:szCs w:val="20"/>
              </w:rPr>
              <w:t>TNBC Freq</w:t>
            </w:r>
          </w:p>
        </w:tc>
        <w:tc>
          <w:tcPr>
            <w:tcW w:w="1899" w:type="dxa"/>
            <w:tcBorders>
              <w:top w:val="single" w:sz="2" w:space="0" w:color="CCCCCC"/>
              <w:left w:val="single" w:sz="2" w:space="0" w:color="CCCCCC"/>
              <w:bottom w:val="single" w:sz="2" w:space="0" w:color="CCCCCC"/>
              <w:right w:val="single" w:sz="2" w:space="0" w:color="CCCCCC"/>
            </w:tcBorders>
            <w:shd w:fill="1F4E79" w:val="clear"/>
            <w:vAlign w:val="center"/>
          </w:tcPr>
          <w:p>
            <w:pPr>
              <w:pStyle w:val="Normal"/>
              <w:jc w:val="center"/>
              <w:rPr>
                <w:color w:val="000000"/>
              </w:rPr>
            </w:pPr>
            <w:r>
              <w:rPr>
                <w:rFonts w:eastAsia="Arial" w:cs="Arial"/>
                <w:b/>
                <w:bCs/>
                <w:color w:val="000000"/>
                <w:sz w:val="20"/>
                <w:szCs w:val="20"/>
              </w:rPr>
              <w:t>Pathways</w:t>
            </w:r>
          </w:p>
        </w:tc>
        <w:tc>
          <w:tcPr>
            <w:tcW w:w="2400" w:type="dxa"/>
            <w:tcBorders>
              <w:top w:val="single" w:sz="2" w:space="0" w:color="CCCCCC"/>
              <w:left w:val="single" w:sz="2" w:space="0" w:color="CCCCCC"/>
              <w:bottom w:val="single" w:sz="2" w:space="0" w:color="CCCCCC"/>
              <w:right w:val="single" w:sz="2" w:space="0" w:color="CCCCCC"/>
            </w:tcBorders>
            <w:shd w:fill="1F4E79" w:val="clear"/>
            <w:vAlign w:val="center"/>
          </w:tcPr>
          <w:p>
            <w:pPr>
              <w:pStyle w:val="Normal"/>
              <w:jc w:val="center"/>
              <w:rPr>
                <w:color w:val="000000"/>
              </w:rPr>
            </w:pPr>
            <w:r>
              <w:rPr>
                <w:rFonts w:eastAsia="Arial" w:cs="Arial"/>
                <w:b/>
                <w:bCs/>
                <w:color w:val="000000"/>
                <w:sz w:val="20"/>
                <w:szCs w:val="20"/>
              </w:rPr>
              <w:t>Key Approved Inhibitors</w:t>
            </w:r>
          </w:p>
        </w:tc>
        <w:tc>
          <w:tcPr>
            <w:tcW w:w="660" w:type="dxa"/>
            <w:tcBorders>
              <w:top w:val="single" w:sz="2" w:space="0" w:color="CCCCCC"/>
              <w:left w:val="single" w:sz="2" w:space="0" w:color="CCCCCC"/>
              <w:bottom w:val="single" w:sz="2" w:space="0" w:color="CCCCCC"/>
              <w:right w:val="single" w:sz="2" w:space="0" w:color="CCCCCC"/>
            </w:tcBorders>
            <w:shd w:fill="1F4E79" w:val="clear"/>
            <w:vAlign w:val="center"/>
          </w:tcPr>
          <w:p>
            <w:pPr>
              <w:pStyle w:val="Normal"/>
              <w:jc w:val="center"/>
              <w:rPr>
                <w:color w:val="000000"/>
              </w:rPr>
            </w:pPr>
            <w:r>
              <w:rPr>
                <w:rFonts w:eastAsia="Arial" w:cs="Arial"/>
                <w:b/>
                <w:bCs/>
                <w:color w:val="000000"/>
                <w:sz w:val="20"/>
                <w:szCs w:val="20"/>
              </w:rPr>
              <w:t>Ref</w:t>
            </w:r>
          </w:p>
        </w:tc>
      </w:tr>
      <w:tr>
        <w:trPr/>
        <w:tc>
          <w:tcPr>
            <w:tcW w:w="90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EGFR</w:t>
            </w:r>
          </w:p>
        </w:tc>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RTK</w:t>
            </w:r>
          </w:p>
        </w:tc>
        <w:tc>
          <w:tcPr>
            <w:tcW w:w="80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~54%</w:t>
            </w:r>
          </w:p>
        </w:tc>
        <w:tc>
          <w:tcPr>
            <w:tcW w:w="1899"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MAPK/ERK, PI3K/AKT, JAK/STAT</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Erlotinib, Gefitinib, Cetuximab</w:t>
            </w:r>
          </w:p>
        </w:tc>
        <w:tc>
          <w:tcPr>
            <w:tcW w:w="66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[5,6]</w:t>
            </w:r>
          </w:p>
        </w:tc>
      </w:tr>
      <w:tr>
        <w:trPr/>
        <w:tc>
          <w:tcPr>
            <w:tcW w:w="900" w:type="dxa"/>
            <w:tcBorders>
              <w:top w:val="single" w:sz="2" w:space="0" w:color="CCCCCC"/>
              <w:left w:val="single" w:sz="2" w:space="0" w:color="CCCCCC"/>
              <w:bottom w:val="single" w:sz="2" w:space="0" w:color="CCCCCC"/>
              <w:right w:val="single" w:sz="2" w:space="0" w:color="CCCCCC"/>
            </w:tcBorders>
            <w:shd w:fill="F2F2F2" w:val="clear"/>
          </w:tcPr>
          <w:p>
            <w:pPr>
              <w:pStyle w:val="Normal"/>
              <w:rPr>
                <w:color w:val="000000"/>
              </w:rPr>
            </w:pPr>
            <w:r>
              <w:rPr>
                <w:rFonts w:eastAsia="Arial" w:cs="Arial"/>
                <w:color w:val="000000"/>
                <w:sz w:val="20"/>
                <w:szCs w:val="20"/>
              </w:rPr>
              <w:t>MET</w:t>
            </w:r>
          </w:p>
        </w:tc>
        <w:tc>
          <w:tcPr>
            <w:tcW w:w="700" w:type="dxa"/>
            <w:tcBorders>
              <w:top w:val="single" w:sz="2" w:space="0" w:color="CCCCCC"/>
              <w:left w:val="single" w:sz="2" w:space="0" w:color="CCCCCC"/>
              <w:bottom w:val="single" w:sz="2" w:space="0" w:color="CCCCCC"/>
              <w:right w:val="single" w:sz="2" w:space="0" w:color="CCCCCC"/>
            </w:tcBorders>
            <w:shd w:fill="F2F2F2" w:val="clear"/>
          </w:tcPr>
          <w:p>
            <w:pPr>
              <w:pStyle w:val="Normal"/>
              <w:rPr>
                <w:color w:val="000000"/>
              </w:rPr>
            </w:pPr>
            <w:r>
              <w:rPr>
                <w:rFonts w:eastAsia="Arial" w:cs="Arial"/>
                <w:color w:val="000000"/>
                <w:sz w:val="20"/>
                <w:szCs w:val="20"/>
              </w:rPr>
              <w:t>RTK</w:t>
            </w:r>
          </w:p>
        </w:tc>
        <w:tc>
          <w:tcPr>
            <w:tcW w:w="800" w:type="dxa"/>
            <w:tcBorders>
              <w:top w:val="single" w:sz="2" w:space="0" w:color="CCCCCC"/>
              <w:left w:val="single" w:sz="2" w:space="0" w:color="CCCCCC"/>
              <w:bottom w:val="single" w:sz="2" w:space="0" w:color="CCCCCC"/>
              <w:right w:val="single" w:sz="2" w:space="0" w:color="CCCCCC"/>
            </w:tcBorders>
            <w:shd w:fill="F2F2F2" w:val="clear"/>
          </w:tcPr>
          <w:p>
            <w:pPr>
              <w:pStyle w:val="Normal"/>
              <w:rPr>
                <w:color w:val="000000"/>
              </w:rPr>
            </w:pPr>
            <w:r>
              <w:rPr>
                <w:rFonts w:eastAsia="Arial" w:cs="Arial"/>
                <w:color w:val="000000"/>
                <w:sz w:val="20"/>
                <w:szCs w:val="20"/>
              </w:rPr>
              <w:t>~42%</w:t>
            </w:r>
          </w:p>
        </w:tc>
        <w:tc>
          <w:tcPr>
            <w:tcW w:w="1899" w:type="dxa"/>
            <w:tcBorders>
              <w:top w:val="single" w:sz="2" w:space="0" w:color="CCCCCC"/>
              <w:left w:val="single" w:sz="2" w:space="0" w:color="CCCCCC"/>
              <w:bottom w:val="single" w:sz="2" w:space="0" w:color="CCCCCC"/>
              <w:right w:val="single" w:sz="2" w:space="0" w:color="CCCCCC"/>
            </w:tcBorders>
            <w:shd w:fill="F2F2F2" w:val="clear"/>
          </w:tcPr>
          <w:p>
            <w:pPr>
              <w:pStyle w:val="Normal"/>
              <w:rPr>
                <w:color w:val="000000"/>
              </w:rPr>
            </w:pPr>
            <w:r>
              <w:rPr>
                <w:rFonts w:eastAsia="Arial" w:cs="Arial"/>
                <w:color w:val="000000"/>
                <w:sz w:val="20"/>
                <w:szCs w:val="20"/>
              </w:rPr>
              <w:t>MAPK/ERK, PI3K/AKT, Wnt</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color w:val="000000"/>
              </w:rPr>
            </w:pPr>
            <w:r>
              <w:rPr>
                <w:rFonts w:eastAsia="Arial" w:cs="Arial"/>
                <w:color w:val="000000"/>
                <w:sz w:val="20"/>
                <w:szCs w:val="20"/>
              </w:rPr>
              <w:t>Crizotinib, Cabozantinib, Capmatinib</w:t>
            </w:r>
          </w:p>
        </w:tc>
        <w:tc>
          <w:tcPr>
            <w:tcW w:w="660" w:type="dxa"/>
            <w:tcBorders>
              <w:top w:val="single" w:sz="2" w:space="0" w:color="CCCCCC"/>
              <w:left w:val="single" w:sz="2" w:space="0" w:color="CCCCCC"/>
              <w:bottom w:val="single" w:sz="2" w:space="0" w:color="CCCCCC"/>
              <w:right w:val="single" w:sz="2" w:space="0" w:color="CCCCCC"/>
            </w:tcBorders>
            <w:shd w:fill="F2F2F2" w:val="clear"/>
          </w:tcPr>
          <w:p>
            <w:pPr>
              <w:pStyle w:val="Normal"/>
              <w:rPr>
                <w:color w:val="000000"/>
              </w:rPr>
            </w:pPr>
            <w:r>
              <w:rPr>
                <w:rFonts w:eastAsia="Arial" w:cs="Arial"/>
                <w:color w:val="000000"/>
                <w:sz w:val="20"/>
                <w:szCs w:val="20"/>
              </w:rPr>
              <w:t>[3]</w:t>
            </w:r>
          </w:p>
        </w:tc>
      </w:tr>
      <w:tr>
        <w:trPr/>
        <w:tc>
          <w:tcPr>
            <w:tcW w:w="90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SRC</w:t>
            </w:r>
          </w:p>
        </w:tc>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nRTK</w:t>
            </w:r>
          </w:p>
        </w:tc>
        <w:tc>
          <w:tcPr>
            <w:tcW w:w="80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~47%</w:t>
            </w:r>
          </w:p>
        </w:tc>
        <w:tc>
          <w:tcPr>
            <w:tcW w:w="1899"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MAPK/ERK, PI3K/AKT, FAK</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Dasatinib, Bosutinib</w:t>
            </w:r>
          </w:p>
        </w:tc>
        <w:tc>
          <w:tcPr>
            <w:tcW w:w="66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[8]</w:t>
            </w:r>
          </w:p>
        </w:tc>
      </w:tr>
      <w:tr>
        <w:trPr/>
        <w:tc>
          <w:tcPr>
            <w:tcW w:w="900" w:type="dxa"/>
            <w:tcBorders>
              <w:top w:val="single" w:sz="2" w:space="0" w:color="CCCCCC"/>
              <w:left w:val="single" w:sz="2" w:space="0" w:color="CCCCCC"/>
              <w:bottom w:val="single" w:sz="2" w:space="0" w:color="CCCCCC"/>
              <w:right w:val="single" w:sz="2" w:space="0" w:color="CCCCCC"/>
            </w:tcBorders>
            <w:shd w:fill="F2F2F2" w:val="clear"/>
          </w:tcPr>
          <w:p>
            <w:pPr>
              <w:pStyle w:val="Normal"/>
              <w:rPr>
                <w:color w:val="000000"/>
              </w:rPr>
            </w:pPr>
            <w:r>
              <w:rPr>
                <w:rFonts w:eastAsia="Arial" w:cs="Arial"/>
                <w:color w:val="000000"/>
                <w:sz w:val="20"/>
                <w:szCs w:val="20"/>
              </w:rPr>
              <w:t>FGFR1</w:t>
            </w:r>
          </w:p>
        </w:tc>
        <w:tc>
          <w:tcPr>
            <w:tcW w:w="700" w:type="dxa"/>
            <w:tcBorders>
              <w:top w:val="single" w:sz="2" w:space="0" w:color="CCCCCC"/>
              <w:left w:val="single" w:sz="2" w:space="0" w:color="CCCCCC"/>
              <w:bottom w:val="single" w:sz="2" w:space="0" w:color="CCCCCC"/>
              <w:right w:val="single" w:sz="2" w:space="0" w:color="CCCCCC"/>
            </w:tcBorders>
            <w:shd w:fill="F2F2F2" w:val="clear"/>
          </w:tcPr>
          <w:p>
            <w:pPr>
              <w:pStyle w:val="Normal"/>
              <w:rPr>
                <w:color w:val="000000"/>
              </w:rPr>
            </w:pPr>
            <w:r>
              <w:rPr>
                <w:rFonts w:eastAsia="Arial" w:cs="Arial"/>
                <w:color w:val="000000"/>
                <w:sz w:val="20"/>
                <w:szCs w:val="20"/>
              </w:rPr>
              <w:t>RTK</w:t>
            </w:r>
          </w:p>
        </w:tc>
        <w:tc>
          <w:tcPr>
            <w:tcW w:w="800" w:type="dxa"/>
            <w:tcBorders>
              <w:top w:val="single" w:sz="2" w:space="0" w:color="CCCCCC"/>
              <w:left w:val="single" w:sz="2" w:space="0" w:color="CCCCCC"/>
              <w:bottom w:val="single" w:sz="2" w:space="0" w:color="CCCCCC"/>
              <w:right w:val="single" w:sz="2" w:space="0" w:color="CCCCCC"/>
            </w:tcBorders>
            <w:shd w:fill="F2F2F2" w:val="clear"/>
          </w:tcPr>
          <w:p>
            <w:pPr>
              <w:pStyle w:val="Normal"/>
              <w:rPr>
                <w:color w:val="000000"/>
              </w:rPr>
            </w:pPr>
            <w:r>
              <w:rPr>
                <w:rFonts w:eastAsia="Arial" w:cs="Arial"/>
                <w:color w:val="000000"/>
                <w:sz w:val="20"/>
                <w:szCs w:val="20"/>
              </w:rPr>
              <w:t>~31%</w:t>
            </w:r>
          </w:p>
        </w:tc>
        <w:tc>
          <w:tcPr>
            <w:tcW w:w="1899" w:type="dxa"/>
            <w:tcBorders>
              <w:top w:val="single" w:sz="2" w:space="0" w:color="CCCCCC"/>
              <w:left w:val="single" w:sz="2" w:space="0" w:color="CCCCCC"/>
              <w:bottom w:val="single" w:sz="2" w:space="0" w:color="CCCCCC"/>
              <w:right w:val="single" w:sz="2" w:space="0" w:color="CCCCCC"/>
            </w:tcBorders>
            <w:shd w:fill="F2F2F2" w:val="clear"/>
          </w:tcPr>
          <w:p>
            <w:pPr>
              <w:pStyle w:val="Normal"/>
              <w:rPr>
                <w:color w:val="000000"/>
              </w:rPr>
            </w:pPr>
            <w:r>
              <w:rPr>
                <w:rFonts w:eastAsia="Arial" w:cs="Arial"/>
                <w:color w:val="000000"/>
                <w:sz w:val="20"/>
                <w:szCs w:val="20"/>
              </w:rPr>
              <w:t>MAPK/ERK, PI3K/AKT, STAT</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color w:val="000000"/>
              </w:rPr>
            </w:pPr>
            <w:r>
              <w:rPr>
                <w:rFonts w:eastAsia="Arial" w:cs="Arial"/>
                <w:color w:val="000000"/>
                <w:sz w:val="20"/>
                <w:szCs w:val="20"/>
              </w:rPr>
              <w:t>Erdafitinib, Pemigatinib</w:t>
            </w:r>
          </w:p>
        </w:tc>
        <w:tc>
          <w:tcPr>
            <w:tcW w:w="660" w:type="dxa"/>
            <w:tcBorders>
              <w:top w:val="single" w:sz="2" w:space="0" w:color="CCCCCC"/>
              <w:left w:val="single" w:sz="2" w:space="0" w:color="CCCCCC"/>
              <w:bottom w:val="single" w:sz="2" w:space="0" w:color="CCCCCC"/>
              <w:right w:val="single" w:sz="2" w:space="0" w:color="CCCCCC"/>
            </w:tcBorders>
            <w:shd w:fill="F2F2F2" w:val="clear"/>
          </w:tcPr>
          <w:p>
            <w:pPr>
              <w:pStyle w:val="Normal"/>
              <w:rPr>
                <w:color w:val="000000"/>
              </w:rPr>
            </w:pPr>
            <w:r>
              <w:rPr>
                <w:rFonts w:eastAsia="Arial" w:cs="Arial"/>
                <w:color w:val="000000"/>
                <w:sz w:val="20"/>
                <w:szCs w:val="20"/>
              </w:rPr>
              <w:t>[7,11]</w:t>
            </w:r>
          </w:p>
        </w:tc>
      </w:tr>
      <w:tr>
        <w:trPr/>
        <w:tc>
          <w:tcPr>
            <w:tcW w:w="90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ERBB2</w:t>
            </w:r>
          </w:p>
        </w:tc>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RTK</w:t>
            </w:r>
          </w:p>
        </w:tc>
        <w:tc>
          <w:tcPr>
            <w:tcW w:w="80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~12%</w:t>
            </w:r>
          </w:p>
        </w:tc>
        <w:tc>
          <w:tcPr>
            <w:tcW w:w="1899"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MAPK/ERK, PI3K/AKT</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Trastuzumab, Lapatinib, Neratinib</w:t>
            </w:r>
          </w:p>
        </w:tc>
        <w:tc>
          <w:tcPr>
            <w:tcW w:w="66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[5]</w:t>
            </w:r>
          </w:p>
        </w:tc>
      </w:tr>
      <w:tr>
        <w:trPr/>
        <w:tc>
          <w:tcPr>
            <w:tcW w:w="900" w:type="dxa"/>
            <w:tcBorders>
              <w:top w:val="single" w:sz="2" w:space="0" w:color="CCCCCC"/>
              <w:left w:val="single" w:sz="2" w:space="0" w:color="CCCCCC"/>
              <w:bottom w:val="single" w:sz="2" w:space="0" w:color="CCCCCC"/>
              <w:right w:val="single" w:sz="2" w:space="0" w:color="CCCCCC"/>
            </w:tcBorders>
            <w:shd w:fill="F2F2F2" w:val="clear"/>
          </w:tcPr>
          <w:p>
            <w:pPr>
              <w:pStyle w:val="Normal"/>
              <w:rPr>
                <w:color w:val="000000"/>
              </w:rPr>
            </w:pPr>
            <w:r>
              <w:rPr>
                <w:rFonts w:eastAsia="Arial" w:cs="Arial"/>
                <w:color w:val="000000"/>
                <w:sz w:val="20"/>
                <w:szCs w:val="20"/>
              </w:rPr>
              <w:t>ABL1</w:t>
            </w:r>
          </w:p>
        </w:tc>
        <w:tc>
          <w:tcPr>
            <w:tcW w:w="700" w:type="dxa"/>
            <w:tcBorders>
              <w:top w:val="single" w:sz="2" w:space="0" w:color="CCCCCC"/>
              <w:left w:val="single" w:sz="2" w:space="0" w:color="CCCCCC"/>
              <w:bottom w:val="single" w:sz="2" w:space="0" w:color="CCCCCC"/>
              <w:right w:val="single" w:sz="2" w:space="0" w:color="CCCCCC"/>
            </w:tcBorders>
            <w:shd w:fill="F2F2F2" w:val="clear"/>
          </w:tcPr>
          <w:p>
            <w:pPr>
              <w:pStyle w:val="Normal"/>
              <w:rPr>
                <w:color w:val="000000"/>
              </w:rPr>
            </w:pPr>
            <w:r>
              <w:rPr>
                <w:rFonts w:eastAsia="Arial" w:cs="Arial"/>
                <w:color w:val="000000"/>
                <w:sz w:val="20"/>
                <w:szCs w:val="20"/>
              </w:rPr>
              <w:t>nRTK</w:t>
            </w:r>
          </w:p>
        </w:tc>
        <w:tc>
          <w:tcPr>
            <w:tcW w:w="800" w:type="dxa"/>
            <w:tcBorders>
              <w:top w:val="single" w:sz="2" w:space="0" w:color="CCCCCC"/>
              <w:left w:val="single" w:sz="2" w:space="0" w:color="CCCCCC"/>
              <w:bottom w:val="single" w:sz="2" w:space="0" w:color="CCCCCC"/>
              <w:right w:val="single" w:sz="2" w:space="0" w:color="CCCCCC"/>
            </w:tcBorders>
            <w:shd w:fill="F2F2F2" w:val="clear"/>
          </w:tcPr>
          <w:p>
            <w:pPr>
              <w:pStyle w:val="Normal"/>
              <w:rPr>
                <w:color w:val="000000"/>
              </w:rPr>
            </w:pPr>
            <w:r>
              <w:rPr>
                <w:rFonts w:eastAsia="Arial" w:cs="Arial"/>
                <w:color w:val="000000"/>
                <w:sz w:val="20"/>
                <w:szCs w:val="20"/>
              </w:rPr>
              <w:t>~22%</w:t>
            </w:r>
          </w:p>
        </w:tc>
        <w:tc>
          <w:tcPr>
            <w:tcW w:w="1899" w:type="dxa"/>
            <w:tcBorders>
              <w:top w:val="single" w:sz="2" w:space="0" w:color="CCCCCC"/>
              <w:left w:val="single" w:sz="2" w:space="0" w:color="CCCCCC"/>
              <w:bottom w:val="single" w:sz="2" w:space="0" w:color="CCCCCC"/>
              <w:right w:val="single" w:sz="2" w:space="0" w:color="CCCCCC"/>
            </w:tcBorders>
            <w:shd w:fill="F2F2F2" w:val="clear"/>
          </w:tcPr>
          <w:p>
            <w:pPr>
              <w:pStyle w:val="Normal"/>
              <w:rPr>
                <w:color w:val="000000"/>
              </w:rPr>
            </w:pPr>
            <w:r>
              <w:rPr>
                <w:rFonts w:eastAsia="Arial" w:cs="Arial"/>
                <w:color w:val="000000"/>
                <w:sz w:val="20"/>
                <w:szCs w:val="20"/>
              </w:rPr>
              <w:t>MAPK/ERK, Wnt, DDR</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color w:val="000000"/>
              </w:rPr>
            </w:pPr>
            <w:r>
              <w:rPr>
                <w:rFonts w:eastAsia="Arial" w:cs="Arial"/>
                <w:color w:val="000000"/>
                <w:sz w:val="20"/>
                <w:szCs w:val="20"/>
              </w:rPr>
              <w:t>Imatinib, Dasatinib, Nilotinib</w:t>
            </w:r>
          </w:p>
        </w:tc>
        <w:tc>
          <w:tcPr>
            <w:tcW w:w="660" w:type="dxa"/>
            <w:tcBorders>
              <w:top w:val="single" w:sz="2" w:space="0" w:color="CCCCCC"/>
              <w:left w:val="single" w:sz="2" w:space="0" w:color="CCCCCC"/>
              <w:bottom w:val="single" w:sz="2" w:space="0" w:color="CCCCCC"/>
              <w:right w:val="single" w:sz="2" w:space="0" w:color="CCCCCC"/>
            </w:tcBorders>
            <w:shd w:fill="F2F2F2" w:val="clear"/>
          </w:tcPr>
          <w:p>
            <w:pPr>
              <w:pStyle w:val="Normal"/>
              <w:rPr>
                <w:color w:val="000000"/>
              </w:rPr>
            </w:pPr>
            <w:r>
              <w:rPr>
                <w:rFonts w:eastAsia="Arial" w:cs="Arial"/>
                <w:color w:val="000000"/>
                <w:sz w:val="20"/>
                <w:szCs w:val="20"/>
              </w:rPr>
              <w:t>[9]</w:t>
            </w:r>
          </w:p>
        </w:tc>
      </w:tr>
      <w:tr>
        <w:trPr/>
        <w:tc>
          <w:tcPr>
            <w:tcW w:w="90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FGFR2</w:t>
            </w:r>
          </w:p>
        </w:tc>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RTK</w:t>
            </w:r>
          </w:p>
        </w:tc>
        <w:tc>
          <w:tcPr>
            <w:tcW w:w="80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~18%</w:t>
            </w:r>
          </w:p>
        </w:tc>
        <w:tc>
          <w:tcPr>
            <w:tcW w:w="1899"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MAPK/ERK, PI3K/AKT</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Erdafitinib, Infigratinib</w:t>
            </w:r>
          </w:p>
        </w:tc>
        <w:tc>
          <w:tcPr>
            <w:tcW w:w="66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[11]</w:t>
            </w:r>
          </w:p>
        </w:tc>
      </w:tr>
      <w:tr>
        <w:trPr/>
        <w:tc>
          <w:tcPr>
            <w:tcW w:w="900" w:type="dxa"/>
            <w:tcBorders>
              <w:top w:val="single" w:sz="2" w:space="0" w:color="CCCCCC"/>
              <w:left w:val="single" w:sz="2" w:space="0" w:color="CCCCCC"/>
              <w:bottom w:val="single" w:sz="2" w:space="0" w:color="CCCCCC"/>
              <w:right w:val="single" w:sz="2" w:space="0" w:color="CCCCCC"/>
            </w:tcBorders>
            <w:shd w:fill="F2F2F2" w:val="clear"/>
          </w:tcPr>
          <w:p>
            <w:pPr>
              <w:pStyle w:val="Normal"/>
              <w:rPr>
                <w:color w:val="000000"/>
              </w:rPr>
            </w:pPr>
            <w:r>
              <w:rPr>
                <w:rFonts w:eastAsia="Arial" w:cs="Arial"/>
                <w:color w:val="000000"/>
                <w:sz w:val="20"/>
                <w:szCs w:val="20"/>
              </w:rPr>
              <w:t>FGFR3</w:t>
            </w:r>
          </w:p>
        </w:tc>
        <w:tc>
          <w:tcPr>
            <w:tcW w:w="700" w:type="dxa"/>
            <w:tcBorders>
              <w:top w:val="single" w:sz="2" w:space="0" w:color="CCCCCC"/>
              <w:left w:val="single" w:sz="2" w:space="0" w:color="CCCCCC"/>
              <w:bottom w:val="single" w:sz="2" w:space="0" w:color="CCCCCC"/>
              <w:right w:val="single" w:sz="2" w:space="0" w:color="CCCCCC"/>
            </w:tcBorders>
            <w:shd w:fill="F2F2F2" w:val="clear"/>
          </w:tcPr>
          <w:p>
            <w:pPr>
              <w:pStyle w:val="Normal"/>
              <w:rPr>
                <w:color w:val="000000"/>
              </w:rPr>
            </w:pPr>
            <w:r>
              <w:rPr>
                <w:rFonts w:eastAsia="Arial" w:cs="Arial"/>
                <w:color w:val="000000"/>
                <w:sz w:val="20"/>
                <w:szCs w:val="20"/>
              </w:rPr>
              <w:t>RTK</w:t>
            </w:r>
          </w:p>
        </w:tc>
        <w:tc>
          <w:tcPr>
            <w:tcW w:w="800" w:type="dxa"/>
            <w:tcBorders>
              <w:top w:val="single" w:sz="2" w:space="0" w:color="CCCCCC"/>
              <w:left w:val="single" w:sz="2" w:space="0" w:color="CCCCCC"/>
              <w:bottom w:val="single" w:sz="2" w:space="0" w:color="CCCCCC"/>
              <w:right w:val="single" w:sz="2" w:space="0" w:color="CCCCCC"/>
            </w:tcBorders>
            <w:shd w:fill="F2F2F2" w:val="clear"/>
          </w:tcPr>
          <w:p>
            <w:pPr>
              <w:pStyle w:val="Normal"/>
              <w:rPr>
                <w:color w:val="000000"/>
              </w:rPr>
            </w:pPr>
            <w:r>
              <w:rPr>
                <w:rFonts w:eastAsia="Arial" w:cs="Arial"/>
                <w:color w:val="000000"/>
                <w:sz w:val="20"/>
                <w:szCs w:val="20"/>
              </w:rPr>
              <w:t>~15%</w:t>
            </w:r>
          </w:p>
        </w:tc>
        <w:tc>
          <w:tcPr>
            <w:tcW w:w="1899" w:type="dxa"/>
            <w:tcBorders>
              <w:top w:val="single" w:sz="2" w:space="0" w:color="CCCCCC"/>
              <w:left w:val="single" w:sz="2" w:space="0" w:color="CCCCCC"/>
              <w:bottom w:val="single" w:sz="2" w:space="0" w:color="CCCCCC"/>
              <w:right w:val="single" w:sz="2" w:space="0" w:color="CCCCCC"/>
            </w:tcBorders>
            <w:shd w:fill="F2F2F2" w:val="clear"/>
          </w:tcPr>
          <w:p>
            <w:pPr>
              <w:pStyle w:val="Normal"/>
              <w:rPr>
                <w:color w:val="000000"/>
              </w:rPr>
            </w:pPr>
            <w:r>
              <w:rPr>
                <w:rFonts w:eastAsia="Arial" w:cs="Arial"/>
                <w:color w:val="000000"/>
                <w:sz w:val="20"/>
                <w:szCs w:val="20"/>
              </w:rPr>
              <w:t>MAPK/ERK, PI3K/AKT</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color w:val="000000"/>
              </w:rPr>
            </w:pPr>
            <w:r>
              <w:rPr>
                <w:rFonts w:eastAsia="Arial" w:cs="Arial"/>
                <w:color w:val="000000"/>
                <w:sz w:val="20"/>
                <w:szCs w:val="20"/>
              </w:rPr>
              <w:t>Erdafitinib</w:t>
            </w:r>
          </w:p>
        </w:tc>
        <w:tc>
          <w:tcPr>
            <w:tcW w:w="660" w:type="dxa"/>
            <w:tcBorders>
              <w:top w:val="single" w:sz="2" w:space="0" w:color="CCCCCC"/>
              <w:left w:val="single" w:sz="2" w:space="0" w:color="CCCCCC"/>
              <w:bottom w:val="single" w:sz="2" w:space="0" w:color="CCCCCC"/>
              <w:right w:val="single" w:sz="2" w:space="0" w:color="CCCCCC"/>
            </w:tcBorders>
            <w:shd w:fill="F2F2F2" w:val="clear"/>
          </w:tcPr>
          <w:p>
            <w:pPr>
              <w:pStyle w:val="Normal"/>
              <w:rPr>
                <w:color w:val="000000"/>
              </w:rPr>
            </w:pPr>
            <w:r>
              <w:rPr>
                <w:rFonts w:eastAsia="Arial" w:cs="Arial"/>
                <w:color w:val="000000"/>
                <w:sz w:val="20"/>
                <w:szCs w:val="20"/>
              </w:rPr>
              <w:t>[11]</w:t>
            </w:r>
          </w:p>
        </w:tc>
      </w:tr>
      <w:tr>
        <w:trPr/>
        <w:tc>
          <w:tcPr>
            <w:tcW w:w="90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ALK</w:t>
            </w:r>
          </w:p>
        </w:tc>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RTK</w:t>
            </w:r>
          </w:p>
        </w:tc>
        <w:tc>
          <w:tcPr>
            <w:tcW w:w="80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~8%</w:t>
            </w:r>
          </w:p>
        </w:tc>
        <w:tc>
          <w:tcPr>
            <w:tcW w:w="1899"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MAPK/ERK, PI3K/AKT, JAK/STAT</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Crizotinib, Alectinib, Lorlatinib</w:t>
            </w:r>
          </w:p>
        </w:tc>
        <w:tc>
          <w:tcPr>
            <w:tcW w:w="66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[5]</w:t>
            </w:r>
          </w:p>
        </w:tc>
      </w:tr>
      <w:tr>
        <w:trPr/>
        <w:tc>
          <w:tcPr>
            <w:tcW w:w="900" w:type="dxa"/>
            <w:tcBorders>
              <w:top w:val="single" w:sz="2" w:space="0" w:color="CCCCCC"/>
              <w:left w:val="single" w:sz="2" w:space="0" w:color="CCCCCC"/>
              <w:bottom w:val="single" w:sz="2" w:space="0" w:color="CCCCCC"/>
              <w:right w:val="single" w:sz="2" w:space="0" w:color="CCCCCC"/>
            </w:tcBorders>
            <w:shd w:fill="F2F2F2" w:val="clear"/>
          </w:tcPr>
          <w:p>
            <w:pPr>
              <w:pStyle w:val="Normal"/>
              <w:rPr>
                <w:color w:val="000000"/>
              </w:rPr>
            </w:pPr>
            <w:r>
              <w:rPr>
                <w:rFonts w:eastAsia="Arial" w:cs="Arial"/>
                <w:color w:val="000000"/>
                <w:sz w:val="20"/>
                <w:szCs w:val="20"/>
              </w:rPr>
              <w:t>JAK1</w:t>
            </w:r>
          </w:p>
        </w:tc>
        <w:tc>
          <w:tcPr>
            <w:tcW w:w="700" w:type="dxa"/>
            <w:tcBorders>
              <w:top w:val="single" w:sz="2" w:space="0" w:color="CCCCCC"/>
              <w:left w:val="single" w:sz="2" w:space="0" w:color="CCCCCC"/>
              <w:bottom w:val="single" w:sz="2" w:space="0" w:color="CCCCCC"/>
              <w:right w:val="single" w:sz="2" w:space="0" w:color="CCCCCC"/>
            </w:tcBorders>
            <w:shd w:fill="F2F2F2" w:val="clear"/>
          </w:tcPr>
          <w:p>
            <w:pPr>
              <w:pStyle w:val="Normal"/>
              <w:rPr>
                <w:color w:val="000000"/>
              </w:rPr>
            </w:pPr>
            <w:r>
              <w:rPr>
                <w:rFonts w:eastAsia="Arial" w:cs="Arial"/>
                <w:color w:val="000000"/>
                <w:sz w:val="20"/>
                <w:szCs w:val="20"/>
              </w:rPr>
              <w:t>nRTK</w:t>
            </w:r>
          </w:p>
        </w:tc>
        <w:tc>
          <w:tcPr>
            <w:tcW w:w="800" w:type="dxa"/>
            <w:tcBorders>
              <w:top w:val="single" w:sz="2" w:space="0" w:color="CCCCCC"/>
              <w:left w:val="single" w:sz="2" w:space="0" w:color="CCCCCC"/>
              <w:bottom w:val="single" w:sz="2" w:space="0" w:color="CCCCCC"/>
              <w:right w:val="single" w:sz="2" w:space="0" w:color="CCCCCC"/>
            </w:tcBorders>
            <w:shd w:fill="F2F2F2" w:val="clear"/>
          </w:tcPr>
          <w:p>
            <w:pPr>
              <w:pStyle w:val="Normal"/>
              <w:rPr>
                <w:color w:val="000000"/>
              </w:rPr>
            </w:pPr>
            <w:r>
              <w:rPr>
                <w:rFonts w:eastAsia="Arial" w:cs="Arial"/>
                <w:color w:val="000000"/>
                <w:sz w:val="20"/>
                <w:szCs w:val="20"/>
              </w:rPr>
              <w:t>~25%</w:t>
            </w:r>
          </w:p>
        </w:tc>
        <w:tc>
          <w:tcPr>
            <w:tcW w:w="1899" w:type="dxa"/>
            <w:tcBorders>
              <w:top w:val="single" w:sz="2" w:space="0" w:color="CCCCCC"/>
              <w:left w:val="single" w:sz="2" w:space="0" w:color="CCCCCC"/>
              <w:bottom w:val="single" w:sz="2" w:space="0" w:color="CCCCCC"/>
              <w:right w:val="single" w:sz="2" w:space="0" w:color="CCCCCC"/>
            </w:tcBorders>
            <w:shd w:fill="F2F2F2" w:val="clear"/>
          </w:tcPr>
          <w:p>
            <w:pPr>
              <w:pStyle w:val="Normal"/>
              <w:rPr>
                <w:color w:val="000000"/>
              </w:rPr>
            </w:pPr>
            <w:r>
              <w:rPr>
                <w:rFonts w:eastAsia="Arial" w:cs="Arial"/>
                <w:color w:val="000000"/>
                <w:sz w:val="20"/>
                <w:szCs w:val="20"/>
              </w:rPr>
              <w:t>JAK/STAT</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color w:val="000000"/>
              </w:rPr>
            </w:pPr>
            <w:r>
              <w:rPr>
                <w:rFonts w:eastAsia="Arial" w:cs="Arial"/>
                <w:color w:val="000000"/>
                <w:sz w:val="20"/>
                <w:szCs w:val="20"/>
              </w:rPr>
              <w:t>Ruxolitinib, Baricitinib</w:t>
            </w:r>
          </w:p>
        </w:tc>
        <w:tc>
          <w:tcPr>
            <w:tcW w:w="660" w:type="dxa"/>
            <w:tcBorders>
              <w:top w:val="single" w:sz="2" w:space="0" w:color="CCCCCC"/>
              <w:left w:val="single" w:sz="2" w:space="0" w:color="CCCCCC"/>
              <w:bottom w:val="single" w:sz="2" w:space="0" w:color="CCCCCC"/>
              <w:right w:val="single" w:sz="2" w:space="0" w:color="CCCCCC"/>
            </w:tcBorders>
            <w:shd w:fill="F2F2F2" w:val="clear"/>
          </w:tcPr>
          <w:p>
            <w:pPr>
              <w:pStyle w:val="Normal"/>
              <w:rPr>
                <w:color w:val="000000"/>
              </w:rPr>
            </w:pPr>
            <w:r>
              <w:rPr>
                <w:rFonts w:eastAsia="Arial" w:cs="Arial"/>
                <w:color w:val="000000"/>
                <w:sz w:val="20"/>
                <w:szCs w:val="20"/>
              </w:rPr>
              <w:t>[13]</w:t>
            </w:r>
          </w:p>
        </w:tc>
      </w:tr>
    </w:tbl>
    <w:p>
      <w:pPr>
        <w:pStyle w:val="Normal"/>
        <w:spacing w:before="160" w:after="0"/>
        <w:rPr>
          <w:color w:val="000000"/>
        </w:rPr>
      </w:pPr>
      <w:r>
        <w:rPr>
          <w:color w:val="000000"/>
        </w:rPr>
      </w:r>
    </w:p>
    <w:p>
      <w:pPr>
        <w:pStyle w:val="Heading2"/>
        <w:spacing w:before="280" w:after="140"/>
        <w:rPr>
          <w:color w:val="000000"/>
        </w:rPr>
      </w:pPr>
      <w:r>
        <w:rPr>
          <w:rFonts w:eastAsia="Arial" w:cs="Arial" w:ascii="Arial" w:hAnsi="Arial"/>
          <w:b/>
          <w:bCs/>
          <w:color w:val="000000"/>
          <w:sz w:val="26"/>
          <w:szCs w:val="26"/>
        </w:rPr>
        <w:t>4.3 Redundancy Analyzer</w:t>
      </w:r>
    </w:p>
    <w:p>
      <w:pPr>
        <w:pStyle w:val="Heading3"/>
        <w:spacing w:before="200" w:after="100"/>
        <w:rPr>
          <w:color w:val="000000"/>
        </w:rPr>
      </w:pPr>
      <w:r>
        <w:rPr>
          <w:rFonts w:eastAsia="Arial" w:cs="Arial" w:ascii="Arial" w:hAnsi="Arial"/>
          <w:b/>
          <w:bCs/>
          <w:color w:val="000000"/>
          <w:sz w:val="24"/>
          <w:szCs w:val="24"/>
        </w:rPr>
        <w:t>4.3.1 Pathway Redundancy Scoring</w:t>
      </w:r>
    </w:p>
    <w:p>
      <w:pPr>
        <w:pStyle w:val="Normal"/>
        <w:spacing w:lineRule="exact" w:line="320" w:before="80" w:after="120"/>
        <w:jc w:val="both"/>
        <w:rPr>
          <w:color w:val="000000"/>
        </w:rPr>
      </w:pPr>
      <w:r>
        <w:rPr>
          <w:rFonts w:eastAsia="Arial" w:cs="Arial"/>
          <w:color w:val="000000"/>
          <w:sz w:val="22"/>
          <w:szCs w:val="22"/>
        </w:rPr>
        <w:t>For each downstream pathway, the analyzer counts the number of independently affected kinase genes feeding into it and applies a sigmoid-like scaling:</w:t>
      </w:r>
    </w:p>
    <w:p>
      <w:pPr>
        <w:pStyle w:val="Normal"/>
        <w:spacing w:before="80" w:after="0"/>
        <w:rPr>
          <w:color w:val="000000"/>
        </w:rPr>
      </w:pPr>
      <w:r>
        <w:rPr>
          <w:color w:val="000000"/>
        </w:rPr>
      </w:r>
    </w:p>
    <w:p>
      <w:pPr>
        <w:pStyle w:val="Normal"/>
        <w:shd w:val="clear" w:fill="F2F2F2"/>
        <w:spacing w:before="100" w:after="100"/>
        <w:jc w:val="center"/>
        <w:rPr>
          <w:color w:val="000000"/>
        </w:rPr>
      </w:pPr>
      <w:r>
        <w:rPr>
          <w:rFonts w:eastAsia="Courier New" w:cs="Courier New" w:ascii="Courier New" w:hAnsi="Courier New"/>
          <w:b/>
          <w:bCs/>
          <w:color w:val="000000"/>
          <w:sz w:val="22"/>
          <w:szCs w:val="22"/>
        </w:rPr>
        <w:t>score = 1 − ( 1 / (1 + 0.8 × (n − 1)) )</w:t>
      </w:r>
    </w:p>
    <w:p>
      <w:pPr>
        <w:pStyle w:val="Normal"/>
        <w:spacing w:before="80" w:after="0"/>
        <w:rPr>
          <w:color w:val="000000"/>
        </w:rPr>
      </w:pPr>
      <w:r>
        <w:rPr>
          <w:color w:val="000000"/>
        </w:rPr>
      </w:r>
    </w:p>
    <w:p>
      <w:pPr>
        <w:pStyle w:val="Normal"/>
        <w:spacing w:lineRule="exact" w:line="320" w:before="80" w:after="120"/>
        <w:jc w:val="both"/>
        <w:rPr>
          <w:color w:val="000000"/>
        </w:rPr>
      </w:pPr>
      <w:r>
        <w:rPr>
          <w:rFonts w:eastAsia="Arial" w:cs="Arial"/>
          <w:color w:val="000000"/>
          <w:sz w:val="22"/>
          <w:szCs w:val="22"/>
        </w:rPr>
        <w:t>Where n is the number of independently altered kinase genes feeding the pathway. This produces scores of ~0.2 (n=1, low concern), ~0.5 (n=2, moderate), ~0.75 (n=3), and &gt;0.85 (n≥6, critical). The sigmoid factor 0.8 is configurable via config.py.</w:t>
      </w:r>
    </w:p>
    <w:p>
      <w:pPr>
        <w:pStyle w:val="Normal"/>
        <w:spacing w:before="80" w:after="0"/>
        <w:rPr>
          <w:color w:val="000000"/>
        </w:rPr>
      </w:pPr>
      <w:r>
        <w:rPr>
          <w:color w:val="000000"/>
        </w:rPr>
      </w:r>
    </w:p>
    <w:p>
      <w:pPr>
        <w:pStyle w:val="Heading3"/>
        <w:spacing w:before="200" w:after="100"/>
        <w:rPr>
          <w:color w:val="000000"/>
        </w:rPr>
      </w:pPr>
      <w:r>
        <w:rPr>
          <w:rFonts w:eastAsia="Arial" w:cs="Arial" w:ascii="Arial" w:hAnsi="Arial"/>
          <w:b/>
          <w:bCs/>
          <w:color w:val="000000"/>
          <w:sz w:val="24"/>
          <w:szCs w:val="24"/>
        </w:rPr>
        <w:t>4.3.2 Bypass Risk &amp; Combination Suggestions</w:t>
      </w:r>
    </w:p>
    <w:p>
      <w:pPr>
        <w:pStyle w:val="Normal"/>
        <w:spacing w:lineRule="exact" w:line="320" w:before="80" w:after="120"/>
        <w:jc w:val="both"/>
        <w:rPr>
          <w:color w:val="000000"/>
        </w:rPr>
      </w:pPr>
      <w:r>
        <w:rPr>
          <w:rFonts w:eastAsia="Arial" w:cs="Arial"/>
          <w:b w:val="false"/>
          <w:bCs w:val="false"/>
          <w:i w:val="false"/>
          <w:iCs w:val="false"/>
          <w:color w:val="000000"/>
          <w:sz w:val="22"/>
          <w:szCs w:val="22"/>
        </w:rPr>
        <w:t>For each affected kinase gene, the analyzer computes bypass risk by counting co-affected kinases sharing at least one downstream pathway and cross-checking known resistance mechanisms. Combination suggestions enumerate all affected kinase pairs sharing a pathway, ranked by TNBC relevance evidence strength. This approach is directly motivated by published evidence that multi-targeted kinase inhibition is required to overcome TNBC resistance.</w:t>
      </w:r>
      <w:r>
        <w:rPr>
          <w:rFonts w:eastAsia="Arial" w:cs="Arial"/>
          <w:b w:val="false"/>
          <w:bCs w:val="false"/>
          <w:i w:val="false"/>
          <w:iCs w:val="false"/>
          <w:color w:val="000000"/>
          <w:sz w:val="16"/>
          <w:szCs w:val="16"/>
          <w:vertAlign w:val="superscript"/>
        </w:rPr>
        <w:t>[14]</w:t>
      </w:r>
    </w:p>
    <w:p>
      <w:pPr>
        <w:pStyle w:val="Normal"/>
        <w:spacing w:before="160" w:after="0"/>
        <w:rPr>
          <w:color w:val="000000"/>
        </w:rPr>
      </w:pPr>
      <w:r>
        <w:rPr>
          <w:color w:val="000000"/>
        </w:rPr>
      </w:r>
    </w:p>
    <w:p>
      <w:pPr>
        <w:pStyle w:val="Heading2"/>
        <w:spacing w:before="280" w:after="140"/>
        <w:rPr>
          <w:color w:val="000000"/>
        </w:rPr>
      </w:pPr>
      <w:r>
        <w:rPr>
          <w:rFonts w:eastAsia="Arial" w:cs="Arial" w:ascii="Arial" w:hAnsi="Arial"/>
          <w:b/>
          <w:bCs/>
          <w:color w:val="000000"/>
          <w:sz w:val="26"/>
          <w:szCs w:val="26"/>
        </w:rPr>
        <w:t>4.4 AI Reasoning Agent</w:t>
      </w:r>
    </w:p>
    <w:p>
      <w:pPr>
        <w:pStyle w:val="Normal"/>
        <w:spacing w:lineRule="exact" w:line="320" w:before="80" w:after="120"/>
        <w:jc w:val="both"/>
        <w:rPr>
          <w:color w:val="000000"/>
        </w:rPr>
      </w:pPr>
      <w:r>
        <w:rPr>
          <w:rFonts w:eastAsia="Arial" w:cs="Arial"/>
          <w:b w:val="false"/>
          <w:bCs w:val="false"/>
          <w:i w:val="false"/>
          <w:iCs w:val="false"/>
          <w:color w:val="000000"/>
          <w:sz w:val="22"/>
          <w:szCs w:val="22"/>
        </w:rPr>
        <w:t>The AI agent bridges computational bioinformatics output and clinical decision support. Its design follows the principle articulated by Truhn, Reis-Filho, and Kather (2023): LLMs should be used as reasoning engines, not knowledge databases.</w:t>
      </w:r>
      <w:r>
        <w:rPr>
          <w:rFonts w:eastAsia="Arial" w:cs="Arial"/>
          <w:b w:val="false"/>
          <w:bCs w:val="false"/>
          <w:i w:val="false"/>
          <w:iCs w:val="false"/>
          <w:color w:val="000000"/>
          <w:sz w:val="16"/>
          <w:szCs w:val="16"/>
          <w:vertAlign w:val="superscript"/>
        </w:rPr>
        <w:t>[15]</w:t>
      </w:r>
      <w:r>
        <w:rPr>
          <w:rFonts w:eastAsia="Arial" w:cs="Arial"/>
          <w:b w:val="false"/>
          <w:bCs w:val="false"/>
          <w:i w:val="false"/>
          <w:iCs w:val="false"/>
          <w:color w:val="000000"/>
          <w:sz w:val="22"/>
          <w:szCs w:val="22"/>
        </w:rPr>
        <w:t xml:space="preserve"> The agent is architecturally constrained to reason exclusively over structured data produced by the upstream pipeline modules — all clinical facts originate from the curated kinase database and the patient's genomic data. The model's role is synthesis, prioritisation, and narrative generation only.</w:t>
      </w:r>
    </w:p>
    <w:p>
      <w:pPr>
        <w:pStyle w:val="Normal"/>
        <w:spacing w:before="80" w:after="0"/>
        <w:rPr>
          <w:color w:val="000000"/>
        </w:rPr>
      </w:pPr>
      <w:r>
        <w:rPr>
          <w:color w:val="000000"/>
        </w:rPr>
      </w:r>
    </w:p>
    <w:p>
      <w:pPr>
        <w:pStyle w:val="Normal"/>
        <w:spacing w:lineRule="exact" w:line="320" w:before="80" w:after="120"/>
        <w:jc w:val="both"/>
        <w:rPr>
          <w:color w:val="000000"/>
        </w:rPr>
      </w:pPr>
      <w:r>
        <w:rPr>
          <w:rFonts w:eastAsia="Arial" w:cs="Arial"/>
          <w:b w:val="false"/>
          <w:bCs w:val="false"/>
          <w:i w:val="false"/>
          <w:iCs w:val="false"/>
          <w:color w:val="000000"/>
          <w:sz w:val="22"/>
          <w:szCs w:val="22"/>
        </w:rPr>
        <w:t>This design is consistent with emerging evidence that expert-guided LLM systems significantly outperform general-purpose LLMs in clinical decision support tasks.</w:t>
      </w:r>
      <w:r>
        <w:rPr>
          <w:rFonts w:eastAsia="Arial" w:cs="Arial"/>
          <w:b w:val="false"/>
          <w:bCs w:val="false"/>
          <w:i w:val="false"/>
          <w:iCs w:val="false"/>
          <w:color w:val="000000"/>
          <w:sz w:val="16"/>
          <w:szCs w:val="16"/>
          <w:vertAlign w:val="superscript"/>
        </w:rPr>
        <w:t>[16]</w:t>
      </w:r>
      <w:r>
        <w:rPr>
          <w:rFonts w:eastAsia="Arial" w:cs="Arial"/>
          <w:b w:val="false"/>
          <w:bCs w:val="false"/>
          <w:i w:val="false"/>
          <w:iCs w:val="false"/>
          <w:color w:val="000000"/>
          <w:sz w:val="22"/>
          <w:szCs w:val="22"/>
        </w:rPr>
        <w:t xml:space="preserve"> Benary et al. (2023) demonstrated that LLM-generated treatment options for oncology patients, when grounded in curated genomic evidence, provided clinically relevant insights that could complement established multidisciplinary team procedures.</w:t>
      </w:r>
      <w:r>
        <w:rPr>
          <w:rFonts w:eastAsia="Arial" w:cs="Arial"/>
          <w:b w:val="false"/>
          <w:bCs w:val="false"/>
          <w:i w:val="false"/>
          <w:iCs w:val="false"/>
          <w:color w:val="000000"/>
          <w:sz w:val="16"/>
          <w:szCs w:val="16"/>
          <w:vertAlign w:val="superscript"/>
        </w:rPr>
        <w:t>[17]</w:t>
      </w:r>
    </w:p>
    <w:p>
      <w:pPr>
        <w:pStyle w:val="Normal"/>
        <w:spacing w:before="200" w:after="0"/>
        <w:rPr>
          <w:color w:val="000000"/>
        </w:rPr>
      </w:pPr>
      <w:r>
        <w:rPr>
          <w:color w:val="000000"/>
        </w:rPr>
      </w:r>
    </w:p>
    <w:p>
      <w:pPr>
        <w:pStyle w:val="Heading1"/>
        <w:spacing w:before="360" w:after="200"/>
        <w:rPr>
          <w:color w:val="000000"/>
        </w:rPr>
      </w:pPr>
      <w:r>
        <w:rPr>
          <w:rFonts w:eastAsia="Arial" w:cs="Arial" w:ascii="Arial" w:hAnsi="Arial"/>
          <w:b/>
          <w:bCs/>
          <w:color w:val="000000"/>
          <w:sz w:val="32"/>
          <w:szCs w:val="32"/>
        </w:rPr>
        <w:t>5. AI Integration: Design &amp; Evidence</w:t>
      </w:r>
    </w:p>
    <w:p>
      <w:pPr>
        <w:pStyle w:val="Normal"/>
        <w:pBdr>
          <w:bottom w:val="single" w:sz="6" w:space="1" w:color="2E75B6"/>
        </w:pBdr>
        <w:spacing w:before="120" w:after="120"/>
        <w:rPr>
          <w:color w:val="000000"/>
        </w:rPr>
      </w:pPr>
      <w:r>
        <w:rPr>
          <w:color w:val="000000"/>
        </w:rPr>
      </w:r>
    </w:p>
    <w:p>
      <w:pPr>
        <w:pStyle w:val="Heading2"/>
        <w:spacing w:before="280" w:after="140"/>
        <w:rPr>
          <w:color w:val="000000"/>
        </w:rPr>
      </w:pPr>
      <w:r>
        <w:rPr>
          <w:rFonts w:eastAsia="Arial" w:cs="Arial" w:ascii="Arial" w:hAnsi="Arial"/>
          <w:b/>
          <w:bCs/>
          <w:color w:val="000000"/>
          <w:sz w:val="26"/>
          <w:szCs w:val="26"/>
        </w:rPr>
        <w:t>5.1 LLMs in Biomedical Research</w:t>
      </w:r>
    </w:p>
    <w:p>
      <w:pPr>
        <w:pStyle w:val="Normal"/>
        <w:spacing w:lineRule="exact" w:line="320" w:before="80" w:after="120"/>
        <w:jc w:val="both"/>
        <w:rPr>
          <w:color w:val="000000"/>
        </w:rPr>
      </w:pPr>
      <w:r>
        <w:rPr>
          <w:rFonts w:eastAsia="Arial" w:cs="Arial"/>
          <w:b w:val="false"/>
          <w:bCs w:val="false"/>
          <w:i w:val="false"/>
          <w:iCs w:val="false"/>
          <w:color w:val="000000"/>
          <w:sz w:val="22"/>
          <w:szCs w:val="22"/>
        </w:rPr>
        <w:t>LLM-based agents are emerging as transformative tools in biomedical research. A 2025 comprehensive review characterises biomedical LLM agents as systems that integrate reasoning, planning, memory, and tool-use capabilities to operate autonomously within complex healthcare settings — going well beyond static language models.</w:t>
      </w:r>
      <w:r>
        <w:rPr>
          <w:rFonts w:eastAsia="Arial" w:cs="Arial"/>
          <w:b w:val="false"/>
          <w:bCs w:val="false"/>
          <w:i w:val="false"/>
          <w:iCs w:val="false"/>
          <w:color w:val="000000"/>
          <w:sz w:val="16"/>
          <w:szCs w:val="16"/>
          <w:vertAlign w:val="superscript"/>
        </w:rPr>
        <w:t>[18]</w:t>
      </w:r>
      <w:r>
        <w:rPr>
          <w:rFonts w:eastAsia="Arial" w:cs="Arial"/>
          <w:b w:val="false"/>
          <w:bCs w:val="false"/>
          <w:i w:val="false"/>
          <w:iCs w:val="false"/>
          <w:color w:val="000000"/>
          <w:sz w:val="22"/>
          <w:szCs w:val="22"/>
        </w:rPr>
        <w:t xml:space="preserve"> Specific applications in oncology include treatment plan personalisation, clinical text extraction, and agentic genomic analysis pipelines.</w:t>
      </w:r>
      <w:r>
        <w:rPr>
          <w:rFonts w:eastAsia="Arial" w:cs="Arial"/>
          <w:b w:val="false"/>
          <w:bCs w:val="false"/>
          <w:i w:val="false"/>
          <w:iCs w:val="false"/>
          <w:color w:val="000000"/>
          <w:sz w:val="16"/>
          <w:szCs w:val="16"/>
          <w:vertAlign w:val="superscript"/>
        </w:rPr>
        <w:t>[19,20]</w:t>
      </w:r>
    </w:p>
    <w:p>
      <w:pPr>
        <w:pStyle w:val="Normal"/>
        <w:spacing w:before="80" w:after="0"/>
        <w:rPr>
          <w:color w:val="000000"/>
        </w:rPr>
      </w:pPr>
      <w:r>
        <w:rPr>
          <w:color w:val="000000"/>
        </w:rPr>
      </w:r>
    </w:p>
    <w:p>
      <w:pPr>
        <w:pStyle w:val="Normal"/>
        <w:spacing w:lineRule="exact" w:line="320" w:before="80" w:after="120"/>
        <w:jc w:val="both"/>
        <w:rPr>
          <w:color w:val="000000"/>
        </w:rPr>
      </w:pPr>
      <w:r>
        <w:rPr>
          <w:rFonts w:eastAsia="Arial" w:cs="Arial"/>
          <w:b w:val="false"/>
          <w:bCs w:val="false"/>
          <w:i w:val="false"/>
          <w:iCs w:val="false"/>
          <w:color w:val="000000"/>
          <w:sz w:val="22"/>
          <w:szCs w:val="22"/>
        </w:rPr>
        <w:t>LLM agents have shown particular promise in bioinformatics contexts where multi-step analysis, heterogeneous evidence linkage, and interpretable narrative generation are required.</w:t>
      </w:r>
      <w:r>
        <w:rPr>
          <w:rFonts w:eastAsia="Arial" w:cs="Arial"/>
          <w:b w:val="false"/>
          <w:bCs w:val="false"/>
          <w:i w:val="false"/>
          <w:iCs w:val="false"/>
          <w:color w:val="000000"/>
          <w:sz w:val="16"/>
          <w:szCs w:val="16"/>
          <w:vertAlign w:val="superscript"/>
        </w:rPr>
        <w:t>[21]</w:t>
      </w:r>
      <w:r>
        <w:rPr>
          <w:rFonts w:eastAsia="Arial" w:cs="Arial"/>
          <w:b w:val="false"/>
          <w:bCs w:val="false"/>
          <w:i w:val="false"/>
          <w:iCs w:val="false"/>
          <w:color w:val="000000"/>
          <w:sz w:val="22"/>
          <w:szCs w:val="22"/>
        </w:rPr>
        <w:t xml:space="preserve"> Zhang et al. (2025) identify agentic LLMs applied to genomics and transcriptomic analysis as one of the highest-value emerging application domains, noting that the PLAN–ACT–OBSERVE–REFLECT agent loop enables reproducible multi-tool bioinformatics workflows.</w:t>
      </w:r>
      <w:r>
        <w:rPr>
          <w:rFonts w:eastAsia="Arial" w:cs="Arial"/>
          <w:b w:val="false"/>
          <w:bCs w:val="false"/>
          <w:i w:val="false"/>
          <w:iCs w:val="false"/>
          <w:color w:val="000000"/>
          <w:sz w:val="16"/>
          <w:szCs w:val="16"/>
          <w:vertAlign w:val="superscript"/>
        </w:rPr>
        <w:t>[22]</w:t>
      </w:r>
    </w:p>
    <w:p>
      <w:pPr>
        <w:pStyle w:val="Normal"/>
        <w:spacing w:before="80" w:after="0"/>
        <w:rPr>
          <w:color w:val="000000"/>
        </w:rPr>
      </w:pPr>
      <w:r>
        <w:rPr>
          <w:color w:val="000000"/>
        </w:rPr>
      </w:r>
    </w:p>
    <w:p>
      <w:pPr>
        <w:pStyle w:val="Heading2"/>
        <w:spacing w:before="280" w:after="140"/>
        <w:rPr>
          <w:color w:val="000000"/>
        </w:rPr>
      </w:pPr>
      <w:r>
        <w:rPr>
          <w:rFonts w:eastAsia="Arial" w:cs="Arial" w:ascii="Arial" w:hAnsi="Arial"/>
          <w:b/>
          <w:bCs/>
          <w:color w:val="000000"/>
          <w:sz w:val="26"/>
          <w:szCs w:val="26"/>
        </w:rPr>
        <w:t>5.2 Reasoning Engine vs Knowledge Database</w:t>
      </w:r>
    </w:p>
    <w:p>
      <w:pPr>
        <w:pStyle w:val="Normal"/>
        <w:spacing w:lineRule="exact" w:line="320" w:before="80" w:after="120"/>
        <w:jc w:val="both"/>
        <w:rPr>
          <w:color w:val="000000"/>
        </w:rPr>
      </w:pPr>
      <w:r>
        <w:rPr>
          <w:rFonts w:eastAsia="Arial" w:cs="Arial"/>
          <w:b w:val="false"/>
          <w:bCs w:val="false"/>
          <w:i w:val="false"/>
          <w:iCs w:val="false"/>
          <w:color w:val="000000"/>
          <w:sz w:val="22"/>
          <w:szCs w:val="22"/>
        </w:rPr>
        <w:t>The foundational design principle of the tnbc-genomics-agent AI layer is directly grounded in the influential Nature Medicine perspective by Truhn, Reis-Filho, and Kather (2023), which argues that LLMs should function as reasoning engines rather than knowledge sources.</w:t>
      </w:r>
      <w:r>
        <w:rPr>
          <w:rFonts w:eastAsia="Arial" w:cs="Arial"/>
          <w:b w:val="false"/>
          <w:bCs w:val="false"/>
          <w:i w:val="false"/>
          <w:iCs w:val="false"/>
          <w:color w:val="000000"/>
          <w:sz w:val="16"/>
          <w:szCs w:val="16"/>
          <w:vertAlign w:val="superscript"/>
        </w:rPr>
        <w:t>[15]</w:t>
      </w:r>
      <w:r>
        <w:rPr>
          <w:rFonts w:eastAsia="Arial" w:cs="Arial"/>
          <w:b w:val="false"/>
          <w:bCs w:val="false"/>
          <w:i w:val="false"/>
          <w:iCs w:val="false"/>
          <w:color w:val="000000"/>
          <w:sz w:val="22"/>
          <w:szCs w:val="22"/>
        </w:rPr>
        <w:t xml:space="preserve"> When used as knowledge databases, LLMs produce hallucinated clinical facts; when used as reasoning engines over structured, curated inputs, they generate reliable, contextually appropriate clinical narratives. This pipeline operationalises that principle explicitly: the kinase database and VCF parser provide the facts; Claude provides the reasoning.</w:t>
      </w:r>
    </w:p>
    <w:p>
      <w:pPr>
        <w:pStyle w:val="Normal"/>
        <w:spacing w:before="80" w:after="0"/>
        <w:rPr>
          <w:color w:val="000000"/>
        </w:rPr>
      </w:pPr>
      <w:r>
        <w:rPr>
          <w:color w:val="000000"/>
        </w:rPr>
      </w:r>
    </w:p>
    <w:p>
      <w:pPr>
        <w:pStyle w:val="Heading2"/>
        <w:spacing w:before="280" w:after="140"/>
        <w:rPr>
          <w:color w:val="000000"/>
        </w:rPr>
      </w:pPr>
      <w:r>
        <w:rPr>
          <w:rFonts w:eastAsia="Arial" w:cs="Arial" w:ascii="Arial" w:hAnsi="Arial"/>
          <w:b/>
          <w:bCs/>
          <w:color w:val="000000"/>
          <w:sz w:val="26"/>
          <w:szCs w:val="26"/>
        </w:rPr>
        <w:t>5.3 Prompt Engineering for Clinical Safety</w:t>
      </w:r>
    </w:p>
    <w:p>
      <w:pPr>
        <w:pStyle w:val="Normal"/>
        <w:spacing w:lineRule="exact" w:line="320" w:before="80" w:after="120"/>
        <w:jc w:val="both"/>
        <w:rPr>
          <w:color w:val="000000"/>
        </w:rPr>
      </w:pPr>
      <w:r>
        <w:rPr>
          <w:rFonts w:eastAsia="Arial" w:cs="Arial"/>
          <w:color w:val="000000"/>
          <w:sz w:val="22"/>
          <w:szCs w:val="22"/>
        </w:rPr>
        <w:t>The system prompt embeds four deliberate safety constraints: (1) evidence grounding — the model is instructed to reason only from the provided structured input; (2) structured output — a fixed six-section response format ensures consistent, machine-parseable output across patients; (3) clinical register calibration — language is calibrated for multidisciplinary team use; (4) actionability bias — the model is instructed to lead with the most actionable findings, prioritising clinical utility.</w:t>
      </w:r>
    </w:p>
    <w:p>
      <w:pPr>
        <w:pStyle w:val="Normal"/>
        <w:spacing w:before="80" w:after="0"/>
        <w:rPr>
          <w:color w:val="000000"/>
        </w:rPr>
      </w:pPr>
      <w:r>
        <w:rPr>
          <w:color w:val="000000"/>
        </w:rPr>
      </w:r>
    </w:p>
    <w:p>
      <w:pPr>
        <w:pStyle w:val="Heading2"/>
        <w:spacing w:before="280" w:after="140"/>
        <w:rPr>
          <w:color w:val="000000"/>
        </w:rPr>
      </w:pPr>
      <w:r>
        <w:rPr>
          <w:rFonts w:eastAsia="Arial" w:cs="Arial" w:ascii="Arial" w:hAnsi="Arial"/>
          <w:b/>
          <w:bCs/>
          <w:color w:val="000000"/>
          <w:sz w:val="26"/>
          <w:szCs w:val="26"/>
        </w:rPr>
        <w:t>5.4 Security and Data Privacy</w:t>
      </w:r>
    </w:p>
    <w:p>
      <w:pPr>
        <w:pStyle w:val="Normal"/>
        <w:spacing w:lineRule="exact" w:line="320" w:before="80" w:after="120"/>
        <w:jc w:val="both"/>
        <w:rPr>
          <w:color w:val="000000"/>
        </w:rPr>
      </w:pPr>
      <w:r>
        <w:rPr>
          <w:rFonts w:eastAsia="Arial" w:cs="Arial"/>
          <w:color w:val="000000"/>
          <w:sz w:val="22"/>
          <w:szCs w:val="22"/>
        </w:rPr>
        <w:t>All bioinformatics computation runs locally without transmitting patient genomic data externally. This local-first design reflects best-practice data governance for clinical genomic research and ensures compliance with institutional data handling requirements. The pipeline's gitignored data directories make accidental VCF exposure structurally impossible.</w:t>
      </w:r>
    </w:p>
    <w:p>
      <w:pPr>
        <w:pStyle w:val="Normal"/>
        <w:spacing w:before="200" w:after="0"/>
        <w:rPr>
          <w:color w:val="000000"/>
        </w:rPr>
      </w:pPr>
      <w:r>
        <w:rPr>
          <w:color w:val="000000"/>
        </w:rPr>
      </w:r>
    </w:p>
    <w:p>
      <w:pPr>
        <w:pStyle w:val="Heading1"/>
        <w:spacing w:before="360" w:after="200"/>
        <w:rPr>
          <w:color w:val="000000"/>
        </w:rPr>
      </w:pPr>
      <w:r>
        <w:rPr>
          <w:rFonts w:eastAsia="Arial" w:cs="Arial" w:ascii="Arial" w:hAnsi="Arial"/>
          <w:b/>
          <w:bCs/>
          <w:color w:val="000000"/>
          <w:sz w:val="32"/>
          <w:szCs w:val="32"/>
        </w:rPr>
        <w:t>6. Sample Analysis Results</w:t>
      </w:r>
    </w:p>
    <w:p>
      <w:pPr>
        <w:pStyle w:val="Normal"/>
        <w:pBdr>
          <w:bottom w:val="single" w:sz="6" w:space="1" w:color="2E75B6"/>
        </w:pBdr>
        <w:spacing w:before="120" w:after="120"/>
        <w:rPr>
          <w:color w:val="000000"/>
        </w:rPr>
      </w:pPr>
      <w:r>
        <w:rPr>
          <w:color w:val="000000"/>
        </w:rPr>
      </w:r>
    </w:p>
    <w:p>
      <w:pPr>
        <w:pStyle w:val="Heading2"/>
        <w:spacing w:before="280" w:after="140"/>
        <w:rPr>
          <w:color w:val="000000"/>
        </w:rPr>
      </w:pPr>
      <w:r>
        <w:rPr>
          <w:rFonts w:eastAsia="Arial" w:cs="Arial" w:ascii="Arial" w:hAnsi="Arial"/>
          <w:b/>
          <w:bCs/>
          <w:color w:val="000000"/>
          <w:sz w:val="26"/>
          <w:szCs w:val="26"/>
        </w:rPr>
        <w:t>6.1 Patient Variant Profile</w:t>
      </w:r>
    </w:p>
    <w:tbl>
      <w:tblPr>
        <w:tblW w:w="9360" w:type="dxa"/>
        <w:jc w:val="left"/>
        <w:tblInd w:w="0" w:type="dxa"/>
        <w:tblLayout w:type="fixed"/>
        <w:tblCellMar>
          <w:top w:w="80" w:type="dxa"/>
          <w:left w:w="120" w:type="dxa"/>
          <w:bottom w:w="80" w:type="dxa"/>
          <w:right w:w="120" w:type="dxa"/>
        </w:tblCellMar>
      </w:tblPr>
      <w:tblGrid>
        <w:gridCol w:w="2998"/>
        <w:gridCol w:w="6361"/>
      </w:tblGrid>
      <w:tr>
        <w:trPr>
          <w:tblHeader w:val="true"/>
        </w:trPr>
        <w:tc>
          <w:tcPr>
            <w:tcW w:w="2998" w:type="dxa"/>
            <w:tcBorders>
              <w:top w:val="single" w:sz="2" w:space="0" w:color="CCCCCC"/>
              <w:left w:val="single" w:sz="2" w:space="0" w:color="CCCCCC"/>
              <w:bottom w:val="single" w:sz="2" w:space="0" w:color="CCCCCC"/>
              <w:right w:val="single" w:sz="2" w:space="0" w:color="CCCCCC"/>
            </w:tcBorders>
            <w:shd w:fill="1F4E79" w:val="clear"/>
            <w:vAlign w:val="center"/>
          </w:tcPr>
          <w:p>
            <w:pPr>
              <w:pStyle w:val="Normal"/>
              <w:jc w:val="center"/>
              <w:rPr>
                <w:color w:val="000000"/>
              </w:rPr>
            </w:pPr>
            <w:r>
              <w:rPr>
                <w:rFonts w:eastAsia="Arial" w:cs="Arial"/>
                <w:b/>
                <w:bCs/>
                <w:color w:val="000000"/>
                <w:sz w:val="20"/>
                <w:szCs w:val="20"/>
              </w:rPr>
              <w:t>Metric</w:t>
            </w:r>
          </w:p>
        </w:tc>
        <w:tc>
          <w:tcPr>
            <w:tcW w:w="6361" w:type="dxa"/>
            <w:tcBorders>
              <w:top w:val="single" w:sz="2" w:space="0" w:color="CCCCCC"/>
              <w:left w:val="single" w:sz="2" w:space="0" w:color="CCCCCC"/>
              <w:bottom w:val="single" w:sz="2" w:space="0" w:color="CCCCCC"/>
              <w:right w:val="single" w:sz="2" w:space="0" w:color="CCCCCC"/>
            </w:tcBorders>
            <w:shd w:fill="1F4E79" w:val="clear"/>
            <w:vAlign w:val="center"/>
          </w:tcPr>
          <w:p>
            <w:pPr>
              <w:pStyle w:val="Normal"/>
              <w:jc w:val="center"/>
              <w:rPr>
                <w:color w:val="000000"/>
              </w:rPr>
            </w:pPr>
            <w:r>
              <w:rPr>
                <w:rFonts w:eastAsia="Arial" w:cs="Arial"/>
                <w:b/>
                <w:bCs/>
                <w:color w:val="000000"/>
                <w:sz w:val="20"/>
                <w:szCs w:val="20"/>
              </w:rPr>
              <w:t>Value</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Total variants in VCF</w:t>
            </w:r>
          </w:p>
        </w:tc>
        <w:tc>
          <w:tcPr>
            <w:tcW w:w="6361"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13</w:t>
            </w:r>
          </w:p>
        </w:tc>
      </w:tr>
      <w:tr>
        <w:trPr/>
        <w:tc>
          <w:tcPr>
            <w:tcW w:w="2998" w:type="dxa"/>
            <w:tcBorders>
              <w:top w:val="single" w:sz="2" w:space="0" w:color="CCCCCC"/>
              <w:left w:val="single" w:sz="2" w:space="0" w:color="CCCCCC"/>
              <w:bottom w:val="single" w:sz="2" w:space="0" w:color="CCCCCC"/>
              <w:right w:val="single" w:sz="2" w:space="0" w:color="CCCCCC"/>
            </w:tcBorders>
            <w:shd w:fill="F2F2F2" w:val="clear"/>
          </w:tcPr>
          <w:p>
            <w:pPr>
              <w:pStyle w:val="Normal"/>
              <w:rPr>
                <w:color w:val="000000"/>
              </w:rPr>
            </w:pPr>
            <w:r>
              <w:rPr>
                <w:rFonts w:eastAsia="Arial" w:cs="Arial"/>
                <w:color w:val="000000"/>
                <w:sz w:val="20"/>
                <w:szCs w:val="20"/>
              </w:rPr>
              <w:t>RTK/nRTK variants</w:t>
            </w:r>
          </w:p>
        </w:tc>
        <w:tc>
          <w:tcPr>
            <w:tcW w:w="6361" w:type="dxa"/>
            <w:tcBorders>
              <w:top w:val="single" w:sz="2" w:space="0" w:color="CCCCCC"/>
              <w:left w:val="single" w:sz="2" w:space="0" w:color="CCCCCC"/>
              <w:bottom w:val="single" w:sz="2" w:space="0" w:color="CCCCCC"/>
              <w:right w:val="single" w:sz="2" w:space="0" w:color="CCCCCC"/>
            </w:tcBorders>
            <w:shd w:fill="F2F2F2" w:val="clear"/>
          </w:tcPr>
          <w:p>
            <w:pPr>
              <w:pStyle w:val="Normal"/>
              <w:rPr>
                <w:color w:val="000000"/>
              </w:rPr>
            </w:pPr>
            <w:r>
              <w:rPr>
                <w:rFonts w:eastAsia="Arial" w:cs="Arial"/>
                <w:color w:val="000000"/>
                <w:sz w:val="20"/>
                <w:szCs w:val="20"/>
              </w:rPr>
              <w:t>10 across 9 genes</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Non-kinase variants</w:t>
            </w:r>
          </w:p>
        </w:tc>
        <w:tc>
          <w:tcPr>
            <w:tcW w:w="6361"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3 (TP53, BRCA2, CDKN2A)</w:t>
            </w:r>
          </w:p>
        </w:tc>
      </w:tr>
      <w:tr>
        <w:trPr/>
        <w:tc>
          <w:tcPr>
            <w:tcW w:w="2998" w:type="dxa"/>
            <w:tcBorders>
              <w:top w:val="single" w:sz="2" w:space="0" w:color="CCCCCC"/>
              <w:left w:val="single" w:sz="2" w:space="0" w:color="CCCCCC"/>
              <w:bottom w:val="single" w:sz="2" w:space="0" w:color="CCCCCC"/>
              <w:right w:val="single" w:sz="2" w:space="0" w:color="CCCCCC"/>
            </w:tcBorders>
            <w:shd w:fill="F2F2F2" w:val="clear"/>
          </w:tcPr>
          <w:p>
            <w:pPr>
              <w:pStyle w:val="Normal"/>
              <w:rPr>
                <w:color w:val="000000"/>
              </w:rPr>
            </w:pPr>
            <w:r>
              <w:rPr>
                <w:rFonts w:eastAsia="Arial" w:cs="Arial"/>
                <w:color w:val="000000"/>
                <w:sz w:val="20"/>
                <w:szCs w:val="20"/>
              </w:rPr>
              <w:t>High-severity variants</w:t>
            </w:r>
          </w:p>
        </w:tc>
        <w:tc>
          <w:tcPr>
            <w:tcW w:w="6361" w:type="dxa"/>
            <w:tcBorders>
              <w:top w:val="single" w:sz="2" w:space="0" w:color="CCCCCC"/>
              <w:left w:val="single" w:sz="2" w:space="0" w:color="CCCCCC"/>
              <w:bottom w:val="single" w:sz="2" w:space="0" w:color="CCCCCC"/>
              <w:right w:val="single" w:sz="2" w:space="0" w:color="CCCCCC"/>
            </w:tcBorders>
            <w:shd w:fill="F2F2F2" w:val="clear"/>
          </w:tcPr>
          <w:p>
            <w:pPr>
              <w:pStyle w:val="Normal"/>
              <w:rPr>
                <w:color w:val="000000"/>
              </w:rPr>
            </w:pPr>
            <w:r>
              <w:rPr>
                <w:rFonts w:eastAsia="Arial" w:cs="Arial"/>
                <w:color w:val="000000"/>
                <w:sz w:val="20"/>
                <w:szCs w:val="20"/>
              </w:rPr>
              <w:t>10 (all missense, severity score 0.70)</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Allele frequency range</w:t>
            </w:r>
          </w:p>
        </w:tc>
        <w:tc>
          <w:tcPr>
            <w:tcW w:w="6361"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0.27 – 0.55</w:t>
            </w:r>
          </w:p>
        </w:tc>
      </w:tr>
      <w:tr>
        <w:trPr/>
        <w:tc>
          <w:tcPr>
            <w:tcW w:w="2998" w:type="dxa"/>
            <w:tcBorders>
              <w:top w:val="single" w:sz="2" w:space="0" w:color="CCCCCC"/>
              <w:left w:val="single" w:sz="2" w:space="0" w:color="CCCCCC"/>
              <w:bottom w:val="single" w:sz="2" w:space="0" w:color="CCCCCC"/>
              <w:right w:val="single" w:sz="2" w:space="0" w:color="CCCCCC"/>
            </w:tcBorders>
            <w:shd w:fill="F2F2F2" w:val="clear"/>
          </w:tcPr>
          <w:p>
            <w:pPr>
              <w:pStyle w:val="Normal"/>
              <w:rPr>
                <w:color w:val="000000"/>
              </w:rPr>
            </w:pPr>
            <w:r>
              <w:rPr>
                <w:rFonts w:eastAsia="Arial" w:cs="Arial"/>
                <w:color w:val="000000"/>
                <w:sz w:val="20"/>
                <w:szCs w:val="20"/>
              </w:rPr>
              <w:t>Median read depth</w:t>
            </w:r>
          </w:p>
        </w:tc>
        <w:tc>
          <w:tcPr>
            <w:tcW w:w="6361" w:type="dxa"/>
            <w:tcBorders>
              <w:top w:val="single" w:sz="2" w:space="0" w:color="CCCCCC"/>
              <w:left w:val="single" w:sz="2" w:space="0" w:color="CCCCCC"/>
              <w:bottom w:val="single" w:sz="2" w:space="0" w:color="CCCCCC"/>
              <w:right w:val="single" w:sz="2" w:space="0" w:color="CCCCCC"/>
            </w:tcBorders>
            <w:shd w:fill="F2F2F2" w:val="clear"/>
          </w:tcPr>
          <w:p>
            <w:pPr>
              <w:pStyle w:val="Normal"/>
              <w:rPr>
                <w:color w:val="000000"/>
              </w:rPr>
            </w:pPr>
            <w:r>
              <w:rPr>
                <w:rFonts w:eastAsia="Arial" w:cs="Arial"/>
                <w:color w:val="000000"/>
                <w:sz w:val="20"/>
                <w:szCs w:val="20"/>
              </w:rPr>
              <w:t>175×</w:t>
            </w:r>
          </w:p>
        </w:tc>
      </w:tr>
    </w:tbl>
    <w:p>
      <w:pPr>
        <w:pStyle w:val="Normal"/>
        <w:spacing w:before="160" w:after="0"/>
        <w:rPr>
          <w:color w:val="000000"/>
        </w:rPr>
      </w:pPr>
      <w:r>
        <w:rPr>
          <w:color w:val="000000"/>
        </w:rPr>
      </w:r>
    </w:p>
    <w:p>
      <w:pPr>
        <w:pStyle w:val="Heading2"/>
        <w:spacing w:before="280" w:after="140"/>
        <w:rPr>
          <w:color w:val="000000"/>
        </w:rPr>
      </w:pPr>
      <w:r>
        <w:rPr>
          <w:rFonts w:eastAsia="Arial" w:cs="Arial" w:ascii="Arial" w:hAnsi="Arial"/>
          <w:b/>
          <w:bCs/>
          <w:color w:val="000000"/>
          <w:sz w:val="26"/>
          <w:szCs w:val="26"/>
        </w:rPr>
        <w:t>6.2 Pathway Redundancy Scores</w:t>
      </w:r>
    </w:p>
    <w:tbl>
      <w:tblPr>
        <w:tblW w:w="9360" w:type="dxa"/>
        <w:jc w:val="left"/>
        <w:tblInd w:w="0" w:type="dxa"/>
        <w:tblLayout w:type="fixed"/>
        <w:tblCellMar>
          <w:top w:w="80" w:type="dxa"/>
          <w:left w:w="120" w:type="dxa"/>
          <w:bottom w:w="80" w:type="dxa"/>
          <w:right w:w="120" w:type="dxa"/>
        </w:tblCellMar>
      </w:tblPr>
      <w:tblGrid>
        <w:gridCol w:w="1798"/>
        <w:gridCol w:w="1502"/>
        <w:gridCol w:w="1599"/>
        <w:gridCol w:w="4460"/>
      </w:tblGrid>
      <w:tr>
        <w:trPr>
          <w:tblHeader w:val="true"/>
        </w:trPr>
        <w:tc>
          <w:tcPr>
            <w:tcW w:w="1798" w:type="dxa"/>
            <w:tcBorders>
              <w:top w:val="single" w:sz="2" w:space="0" w:color="CCCCCC"/>
              <w:left w:val="single" w:sz="2" w:space="0" w:color="CCCCCC"/>
              <w:bottom w:val="single" w:sz="2" w:space="0" w:color="CCCCCC"/>
              <w:right w:val="single" w:sz="2" w:space="0" w:color="CCCCCC"/>
            </w:tcBorders>
            <w:shd w:fill="1F4E79" w:val="clear"/>
            <w:vAlign w:val="center"/>
          </w:tcPr>
          <w:p>
            <w:pPr>
              <w:pStyle w:val="Normal"/>
              <w:jc w:val="center"/>
              <w:rPr>
                <w:color w:val="000000"/>
              </w:rPr>
            </w:pPr>
            <w:r>
              <w:rPr>
                <w:rFonts w:eastAsia="Arial" w:cs="Arial"/>
                <w:b/>
                <w:bCs/>
                <w:color w:val="000000"/>
                <w:sz w:val="20"/>
                <w:szCs w:val="20"/>
              </w:rPr>
              <w:t>Pathway</w:t>
            </w:r>
          </w:p>
        </w:tc>
        <w:tc>
          <w:tcPr>
            <w:tcW w:w="1502" w:type="dxa"/>
            <w:tcBorders>
              <w:top w:val="single" w:sz="2" w:space="0" w:color="CCCCCC"/>
              <w:left w:val="single" w:sz="2" w:space="0" w:color="CCCCCC"/>
              <w:bottom w:val="single" w:sz="2" w:space="0" w:color="CCCCCC"/>
              <w:right w:val="single" w:sz="2" w:space="0" w:color="CCCCCC"/>
            </w:tcBorders>
            <w:shd w:fill="1F4E79" w:val="clear"/>
            <w:vAlign w:val="center"/>
          </w:tcPr>
          <w:p>
            <w:pPr>
              <w:pStyle w:val="Normal"/>
              <w:jc w:val="center"/>
              <w:rPr>
                <w:color w:val="000000"/>
              </w:rPr>
            </w:pPr>
            <w:r>
              <w:rPr>
                <w:rFonts w:eastAsia="Arial" w:cs="Arial"/>
                <w:b/>
                <w:bCs/>
                <w:color w:val="000000"/>
                <w:sz w:val="20"/>
                <w:szCs w:val="20"/>
              </w:rPr>
              <w:t>Score</w:t>
            </w:r>
          </w:p>
        </w:tc>
        <w:tc>
          <w:tcPr>
            <w:tcW w:w="1599" w:type="dxa"/>
            <w:tcBorders>
              <w:top w:val="single" w:sz="2" w:space="0" w:color="CCCCCC"/>
              <w:left w:val="single" w:sz="2" w:space="0" w:color="CCCCCC"/>
              <w:bottom w:val="single" w:sz="2" w:space="0" w:color="CCCCCC"/>
              <w:right w:val="single" w:sz="2" w:space="0" w:color="CCCCCC"/>
            </w:tcBorders>
            <w:shd w:fill="1F4E79" w:val="clear"/>
            <w:vAlign w:val="center"/>
          </w:tcPr>
          <w:p>
            <w:pPr>
              <w:pStyle w:val="Normal"/>
              <w:jc w:val="center"/>
              <w:rPr>
                <w:color w:val="000000"/>
              </w:rPr>
            </w:pPr>
            <w:r>
              <w:rPr>
                <w:rFonts w:eastAsia="Arial" w:cs="Arial"/>
                <w:b/>
                <w:bCs/>
                <w:color w:val="000000"/>
                <w:sz w:val="20"/>
                <w:szCs w:val="20"/>
              </w:rPr>
              <w:t>Genes</w:t>
            </w:r>
          </w:p>
        </w:tc>
        <w:tc>
          <w:tcPr>
            <w:tcW w:w="4460" w:type="dxa"/>
            <w:tcBorders>
              <w:top w:val="single" w:sz="2" w:space="0" w:color="CCCCCC"/>
              <w:left w:val="single" w:sz="2" w:space="0" w:color="CCCCCC"/>
              <w:bottom w:val="single" w:sz="2" w:space="0" w:color="CCCCCC"/>
              <w:right w:val="single" w:sz="2" w:space="0" w:color="CCCCCC"/>
            </w:tcBorders>
            <w:shd w:fill="1F4E79" w:val="clear"/>
            <w:vAlign w:val="center"/>
          </w:tcPr>
          <w:p>
            <w:pPr>
              <w:pStyle w:val="Normal"/>
              <w:jc w:val="center"/>
              <w:rPr>
                <w:color w:val="000000"/>
              </w:rPr>
            </w:pPr>
            <w:r>
              <w:rPr>
                <w:rFonts w:eastAsia="Arial" w:cs="Arial"/>
                <w:b/>
                <w:bCs/>
                <w:color w:val="000000"/>
                <w:sz w:val="20"/>
                <w:szCs w:val="20"/>
              </w:rPr>
              <w:t>Clinical Implication</w:t>
            </w:r>
          </w:p>
        </w:tc>
      </w:tr>
      <w:tr>
        <w:trPr/>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MAPK/ERK</w:t>
            </w:r>
          </w:p>
        </w:tc>
        <w:tc>
          <w:tcPr>
            <w:tcW w:w="1502"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0.865 (CRITICAL)</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9/9 kinases</w:t>
            </w:r>
          </w:p>
        </w:tc>
        <w:tc>
          <w:tcPr>
            <w:tcW w:w="446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Monotherapy futile; multi-arm blockade required</w:t>
            </w:r>
          </w:p>
        </w:tc>
      </w:tr>
      <w:tr>
        <w:trPr/>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color w:val="000000"/>
              </w:rPr>
            </w:pPr>
            <w:r>
              <w:rPr>
                <w:rFonts w:eastAsia="Arial" w:cs="Arial"/>
                <w:color w:val="000000"/>
                <w:sz w:val="20"/>
                <w:szCs w:val="20"/>
              </w:rPr>
              <w:t>PI3K/AKT</w:t>
            </w:r>
          </w:p>
        </w:tc>
        <w:tc>
          <w:tcPr>
            <w:tcW w:w="1502" w:type="dxa"/>
            <w:tcBorders>
              <w:top w:val="single" w:sz="2" w:space="0" w:color="CCCCCC"/>
              <w:left w:val="single" w:sz="2" w:space="0" w:color="CCCCCC"/>
              <w:bottom w:val="single" w:sz="2" w:space="0" w:color="CCCCCC"/>
              <w:right w:val="single" w:sz="2" w:space="0" w:color="CCCCCC"/>
            </w:tcBorders>
            <w:shd w:fill="F2F2F2" w:val="clear"/>
          </w:tcPr>
          <w:p>
            <w:pPr>
              <w:pStyle w:val="Normal"/>
              <w:rPr>
                <w:color w:val="000000"/>
              </w:rPr>
            </w:pPr>
            <w:r>
              <w:rPr>
                <w:rFonts w:eastAsia="Arial" w:cs="Arial"/>
                <w:color w:val="000000"/>
                <w:sz w:val="20"/>
                <w:szCs w:val="20"/>
              </w:rPr>
              <w:t>0.848 (CRITICAL)</w:t>
            </w:r>
          </w:p>
        </w:tc>
        <w:tc>
          <w:tcPr>
            <w:tcW w:w="1599" w:type="dxa"/>
            <w:tcBorders>
              <w:top w:val="single" w:sz="2" w:space="0" w:color="CCCCCC"/>
              <w:left w:val="single" w:sz="2" w:space="0" w:color="CCCCCC"/>
              <w:bottom w:val="single" w:sz="2" w:space="0" w:color="CCCCCC"/>
              <w:right w:val="single" w:sz="2" w:space="0" w:color="CCCCCC"/>
            </w:tcBorders>
            <w:shd w:fill="F2F2F2" w:val="clear"/>
          </w:tcPr>
          <w:p>
            <w:pPr>
              <w:pStyle w:val="Normal"/>
              <w:rPr>
                <w:color w:val="000000"/>
              </w:rPr>
            </w:pPr>
            <w:r>
              <w:rPr>
                <w:rFonts w:eastAsia="Arial" w:cs="Arial"/>
                <w:color w:val="000000"/>
                <w:sz w:val="20"/>
                <w:szCs w:val="20"/>
              </w:rPr>
              <w:t>8/9 kinases</w:t>
            </w:r>
          </w:p>
        </w:tc>
        <w:tc>
          <w:tcPr>
            <w:tcW w:w="4460" w:type="dxa"/>
            <w:tcBorders>
              <w:top w:val="single" w:sz="2" w:space="0" w:color="CCCCCC"/>
              <w:left w:val="single" w:sz="2" w:space="0" w:color="CCCCCC"/>
              <w:bottom w:val="single" w:sz="2" w:space="0" w:color="CCCCCC"/>
              <w:right w:val="single" w:sz="2" w:space="0" w:color="CCCCCC"/>
            </w:tcBorders>
            <w:shd w:fill="F2F2F2" w:val="clear"/>
          </w:tcPr>
          <w:p>
            <w:pPr>
              <w:pStyle w:val="Normal"/>
              <w:rPr>
                <w:color w:val="000000"/>
              </w:rPr>
            </w:pPr>
            <w:r>
              <w:rPr>
                <w:rFonts w:eastAsia="Arial" w:cs="Arial"/>
                <w:color w:val="000000"/>
                <w:sz w:val="20"/>
                <w:szCs w:val="20"/>
              </w:rPr>
              <w:t>Dual MAPK+PI3K blockade is primary hypothesis</w:t>
            </w:r>
          </w:p>
        </w:tc>
      </w:tr>
      <w:tr>
        <w:trPr/>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JAK/STAT</w:t>
            </w:r>
          </w:p>
        </w:tc>
        <w:tc>
          <w:tcPr>
            <w:tcW w:w="1502"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0.444 (MODERATE)</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3 kinases</w:t>
            </w:r>
          </w:p>
        </w:tc>
        <w:tc>
          <w:tcPr>
            <w:tcW w:w="446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Secondary pathway; monitor compensatory activation</w:t>
            </w:r>
          </w:p>
        </w:tc>
      </w:tr>
      <w:tr>
        <w:trPr/>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color w:val="000000"/>
              </w:rPr>
            </w:pPr>
            <w:r>
              <w:rPr>
                <w:rFonts w:eastAsia="Arial" w:cs="Arial"/>
                <w:color w:val="000000"/>
                <w:sz w:val="20"/>
                <w:szCs w:val="20"/>
              </w:rPr>
              <w:t>Wnt/β-catenin</w:t>
            </w:r>
          </w:p>
        </w:tc>
        <w:tc>
          <w:tcPr>
            <w:tcW w:w="1502" w:type="dxa"/>
            <w:tcBorders>
              <w:top w:val="single" w:sz="2" w:space="0" w:color="CCCCCC"/>
              <w:left w:val="single" w:sz="2" w:space="0" w:color="CCCCCC"/>
              <w:bottom w:val="single" w:sz="2" w:space="0" w:color="CCCCCC"/>
              <w:right w:val="single" w:sz="2" w:space="0" w:color="CCCCCC"/>
            </w:tcBorders>
            <w:shd w:fill="F2F2F2" w:val="clear"/>
          </w:tcPr>
          <w:p>
            <w:pPr>
              <w:pStyle w:val="Normal"/>
              <w:rPr>
                <w:color w:val="000000"/>
              </w:rPr>
            </w:pPr>
            <w:r>
              <w:rPr>
                <w:rFonts w:eastAsia="Arial" w:cs="Arial"/>
                <w:color w:val="000000"/>
                <w:sz w:val="20"/>
                <w:szCs w:val="20"/>
              </w:rPr>
              <w:t>0.444 (MODERATE)</w:t>
            </w:r>
          </w:p>
        </w:tc>
        <w:tc>
          <w:tcPr>
            <w:tcW w:w="1599" w:type="dxa"/>
            <w:tcBorders>
              <w:top w:val="single" w:sz="2" w:space="0" w:color="CCCCCC"/>
              <w:left w:val="single" w:sz="2" w:space="0" w:color="CCCCCC"/>
              <w:bottom w:val="single" w:sz="2" w:space="0" w:color="CCCCCC"/>
              <w:right w:val="single" w:sz="2" w:space="0" w:color="CCCCCC"/>
            </w:tcBorders>
            <w:shd w:fill="F2F2F2" w:val="clear"/>
          </w:tcPr>
          <w:p>
            <w:pPr>
              <w:pStyle w:val="Normal"/>
              <w:rPr>
                <w:color w:val="000000"/>
              </w:rPr>
            </w:pPr>
            <w:r>
              <w:rPr>
                <w:rFonts w:eastAsia="Arial" w:cs="Arial"/>
                <w:color w:val="000000"/>
                <w:sz w:val="20"/>
                <w:szCs w:val="20"/>
              </w:rPr>
              <w:t>2 kinases</w:t>
            </w:r>
          </w:p>
        </w:tc>
        <w:tc>
          <w:tcPr>
            <w:tcW w:w="4460" w:type="dxa"/>
            <w:tcBorders>
              <w:top w:val="single" w:sz="2" w:space="0" w:color="CCCCCC"/>
              <w:left w:val="single" w:sz="2" w:space="0" w:color="CCCCCC"/>
              <w:bottom w:val="single" w:sz="2" w:space="0" w:color="CCCCCC"/>
              <w:right w:val="single" w:sz="2" w:space="0" w:color="CCCCCC"/>
            </w:tcBorders>
            <w:shd w:fill="F2F2F2" w:val="clear"/>
          </w:tcPr>
          <w:p>
            <w:pPr>
              <w:pStyle w:val="Normal"/>
              <w:rPr>
                <w:color w:val="000000"/>
              </w:rPr>
            </w:pPr>
            <w:r>
              <w:rPr>
                <w:rFonts w:eastAsia="Arial" w:cs="Arial"/>
                <w:color w:val="000000"/>
                <w:sz w:val="20"/>
                <w:szCs w:val="20"/>
              </w:rPr>
              <w:t>Relevant in mesenchymal subtype</w:t>
            </w:r>
          </w:p>
        </w:tc>
      </w:tr>
      <w:tr>
        <w:trPr/>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FAK/integrin</w:t>
            </w:r>
          </w:p>
        </w:tc>
        <w:tc>
          <w:tcPr>
            <w:tcW w:w="1502"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0.200 (LOW)</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1 kinase (SRC)</w:t>
            </w:r>
          </w:p>
        </w:tc>
        <w:tc>
          <w:tcPr>
            <w:tcW w:w="446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Monotherapy may be adequate for this pathway alone</w:t>
            </w:r>
          </w:p>
        </w:tc>
      </w:tr>
      <w:tr>
        <w:trPr/>
        <w:tc>
          <w:tcPr>
            <w:tcW w:w="1798" w:type="dxa"/>
            <w:tcBorders>
              <w:top w:val="single" w:sz="2" w:space="0" w:color="CCCCCC"/>
              <w:left w:val="single" w:sz="2" w:space="0" w:color="CCCCCC"/>
              <w:bottom w:val="single" w:sz="2" w:space="0" w:color="CCCCCC"/>
              <w:right w:val="single" w:sz="2" w:space="0" w:color="CCCCCC"/>
            </w:tcBorders>
            <w:shd w:fill="F2F2F2" w:val="clear"/>
          </w:tcPr>
          <w:p>
            <w:pPr>
              <w:pStyle w:val="Normal"/>
              <w:rPr>
                <w:color w:val="000000"/>
              </w:rPr>
            </w:pPr>
            <w:r>
              <w:rPr>
                <w:rFonts w:eastAsia="Arial" w:cs="Arial"/>
                <w:color w:val="000000"/>
                <w:sz w:val="20"/>
                <w:szCs w:val="20"/>
              </w:rPr>
              <w:t>DNA damage response</w:t>
            </w:r>
          </w:p>
        </w:tc>
        <w:tc>
          <w:tcPr>
            <w:tcW w:w="1502" w:type="dxa"/>
            <w:tcBorders>
              <w:top w:val="single" w:sz="2" w:space="0" w:color="CCCCCC"/>
              <w:left w:val="single" w:sz="2" w:space="0" w:color="CCCCCC"/>
              <w:bottom w:val="single" w:sz="2" w:space="0" w:color="CCCCCC"/>
              <w:right w:val="single" w:sz="2" w:space="0" w:color="CCCCCC"/>
            </w:tcBorders>
            <w:shd w:fill="F2F2F2" w:val="clear"/>
          </w:tcPr>
          <w:p>
            <w:pPr>
              <w:pStyle w:val="Normal"/>
              <w:rPr>
                <w:color w:val="000000"/>
              </w:rPr>
            </w:pPr>
            <w:r>
              <w:rPr>
                <w:rFonts w:eastAsia="Arial" w:cs="Arial"/>
                <w:color w:val="000000"/>
                <w:sz w:val="20"/>
                <w:szCs w:val="20"/>
              </w:rPr>
              <w:t>0.200 (LOW)</w:t>
            </w:r>
          </w:p>
        </w:tc>
        <w:tc>
          <w:tcPr>
            <w:tcW w:w="1599" w:type="dxa"/>
            <w:tcBorders>
              <w:top w:val="single" w:sz="2" w:space="0" w:color="CCCCCC"/>
              <w:left w:val="single" w:sz="2" w:space="0" w:color="CCCCCC"/>
              <w:bottom w:val="single" w:sz="2" w:space="0" w:color="CCCCCC"/>
              <w:right w:val="single" w:sz="2" w:space="0" w:color="CCCCCC"/>
            </w:tcBorders>
            <w:shd w:fill="F2F2F2" w:val="clear"/>
          </w:tcPr>
          <w:p>
            <w:pPr>
              <w:pStyle w:val="Normal"/>
              <w:rPr>
                <w:color w:val="000000"/>
              </w:rPr>
            </w:pPr>
            <w:r>
              <w:rPr>
                <w:rFonts w:eastAsia="Arial" w:cs="Arial"/>
                <w:color w:val="000000"/>
                <w:sz w:val="20"/>
                <w:szCs w:val="20"/>
              </w:rPr>
              <w:t>1 kinase (ABL1)</w:t>
            </w:r>
          </w:p>
        </w:tc>
        <w:tc>
          <w:tcPr>
            <w:tcW w:w="4460" w:type="dxa"/>
            <w:tcBorders>
              <w:top w:val="single" w:sz="2" w:space="0" w:color="CCCCCC"/>
              <w:left w:val="single" w:sz="2" w:space="0" w:color="CCCCCC"/>
              <w:bottom w:val="single" w:sz="2" w:space="0" w:color="CCCCCC"/>
              <w:right w:val="single" w:sz="2" w:space="0" w:color="CCCCCC"/>
            </w:tcBorders>
            <w:shd w:fill="F2F2F2" w:val="clear"/>
          </w:tcPr>
          <w:p>
            <w:pPr>
              <w:pStyle w:val="Normal"/>
              <w:rPr>
                <w:color w:val="000000"/>
              </w:rPr>
            </w:pPr>
            <w:r>
              <w:rPr>
                <w:rFonts w:eastAsia="Arial" w:cs="Arial"/>
                <w:color w:val="000000"/>
                <w:sz w:val="20"/>
                <w:szCs w:val="20"/>
              </w:rPr>
              <w:t>PARP inhibitor combination worth exploring given BRCA2 variant</w:t>
            </w:r>
          </w:p>
        </w:tc>
      </w:tr>
    </w:tbl>
    <w:p>
      <w:pPr>
        <w:pStyle w:val="Normal"/>
        <w:spacing w:before="160" w:after="0"/>
        <w:rPr>
          <w:color w:val="000000"/>
        </w:rPr>
      </w:pPr>
      <w:r>
        <w:rPr>
          <w:color w:val="000000"/>
        </w:rPr>
      </w:r>
    </w:p>
    <w:p>
      <w:pPr>
        <w:pStyle w:val="Heading2"/>
        <w:spacing w:before="280" w:after="140"/>
        <w:rPr>
          <w:color w:val="000000"/>
        </w:rPr>
      </w:pPr>
      <w:r>
        <w:rPr>
          <w:rFonts w:eastAsia="Arial" w:cs="Arial" w:ascii="Arial" w:hAnsi="Arial"/>
          <w:b/>
          <w:bCs/>
          <w:color w:val="000000"/>
          <w:sz w:val="26"/>
          <w:szCs w:val="26"/>
        </w:rPr>
        <w:t>6.3 Top Combination Therapy Recommendations</w:t>
      </w:r>
    </w:p>
    <w:p>
      <w:pPr>
        <w:pStyle w:val="Normal"/>
        <w:spacing w:lineRule="exact" w:line="320" w:before="80" w:after="120"/>
        <w:jc w:val="both"/>
        <w:rPr>
          <w:color w:val="000000"/>
        </w:rPr>
      </w:pPr>
      <w:r>
        <w:rPr>
          <w:rFonts w:eastAsia="Arial" w:cs="Arial"/>
          <w:b w:val="false"/>
          <w:bCs w:val="false"/>
          <w:i w:val="false"/>
          <w:iCs w:val="false"/>
          <w:color w:val="000000"/>
          <w:sz w:val="22"/>
          <w:szCs w:val="22"/>
        </w:rPr>
        <w:t>The following combinations were prioritised based on shared pathway redundancy and published preclinical/clinical evidence. Combination of MET and EGFR inhibitors (e.g. crizotinib + erlotinib) has demonstrated synergistic growth inhibition in TNBC tumorgraft models and significantly reduced treatment response variability compared to monotherapy.</w:t>
      </w:r>
      <w:r>
        <w:rPr>
          <w:rFonts w:eastAsia="Arial" w:cs="Arial"/>
          <w:b w:val="false"/>
          <w:bCs w:val="false"/>
          <w:i w:val="false"/>
          <w:iCs w:val="false"/>
          <w:color w:val="000000"/>
          <w:sz w:val="16"/>
          <w:szCs w:val="16"/>
          <w:vertAlign w:val="superscript"/>
        </w:rPr>
        <w:t>[3]</w:t>
      </w:r>
      <w:r>
        <w:rPr>
          <w:rFonts w:eastAsia="Arial" w:cs="Arial"/>
          <w:b w:val="false"/>
          <w:bCs w:val="false"/>
          <w:i w:val="false"/>
          <w:iCs w:val="false"/>
          <w:color w:val="000000"/>
          <w:sz w:val="22"/>
          <w:szCs w:val="22"/>
        </w:rPr>
        <w:t xml:space="preserve"> EGFR+SRC dual blockade (erlotinib + dasatinib) is supported by Phase II clinical trial data.</w:t>
      </w:r>
      <w:r>
        <w:rPr>
          <w:rFonts w:eastAsia="Arial" w:cs="Arial"/>
          <w:b w:val="false"/>
          <w:bCs w:val="false"/>
          <w:i w:val="false"/>
          <w:iCs w:val="false"/>
          <w:color w:val="000000"/>
          <w:sz w:val="16"/>
          <w:szCs w:val="16"/>
          <w:vertAlign w:val="superscript"/>
        </w:rPr>
        <w:t>[8,9]</w:t>
      </w:r>
    </w:p>
    <w:p>
      <w:pPr>
        <w:pStyle w:val="Normal"/>
        <w:spacing w:before="80" w:after="0"/>
        <w:rPr>
          <w:color w:val="000000"/>
        </w:rPr>
      </w:pPr>
      <w:r>
        <w:rPr>
          <w:color w:val="000000"/>
        </w:rPr>
      </w:r>
    </w:p>
    <w:tbl>
      <w:tblPr>
        <w:tblW w:w="7500" w:type="dxa"/>
        <w:jc w:val="left"/>
        <w:tblInd w:w="0" w:type="dxa"/>
        <w:tblLayout w:type="fixed"/>
        <w:tblCellMar>
          <w:top w:w="80" w:type="dxa"/>
          <w:left w:w="120" w:type="dxa"/>
          <w:bottom w:w="80" w:type="dxa"/>
          <w:right w:w="120" w:type="dxa"/>
        </w:tblCellMar>
      </w:tblPr>
      <w:tblGrid>
        <w:gridCol w:w="600"/>
        <w:gridCol w:w="1599"/>
        <w:gridCol w:w="1800"/>
        <w:gridCol w:w="2501"/>
        <w:gridCol w:w="1000"/>
      </w:tblGrid>
      <w:tr>
        <w:trPr>
          <w:tblHeader w:val="true"/>
        </w:trPr>
        <w:tc>
          <w:tcPr>
            <w:tcW w:w="600" w:type="dxa"/>
            <w:tcBorders>
              <w:top w:val="single" w:sz="2" w:space="0" w:color="CCCCCC"/>
              <w:left w:val="single" w:sz="2" w:space="0" w:color="CCCCCC"/>
              <w:bottom w:val="single" w:sz="2" w:space="0" w:color="CCCCCC"/>
              <w:right w:val="single" w:sz="2" w:space="0" w:color="CCCCCC"/>
            </w:tcBorders>
            <w:shd w:fill="1F4E79" w:val="clear"/>
            <w:vAlign w:val="center"/>
          </w:tcPr>
          <w:p>
            <w:pPr>
              <w:pStyle w:val="Normal"/>
              <w:jc w:val="center"/>
              <w:rPr>
                <w:color w:val="000000"/>
              </w:rPr>
            </w:pPr>
            <w:r>
              <w:rPr>
                <w:rFonts w:eastAsia="Arial" w:cs="Arial"/>
                <w:b/>
                <w:bCs/>
                <w:color w:val="000000"/>
                <w:sz w:val="20"/>
                <w:szCs w:val="20"/>
              </w:rPr>
              <w:t>Rank</w:t>
            </w:r>
          </w:p>
        </w:tc>
        <w:tc>
          <w:tcPr>
            <w:tcW w:w="1599" w:type="dxa"/>
            <w:tcBorders>
              <w:top w:val="single" w:sz="2" w:space="0" w:color="CCCCCC"/>
              <w:left w:val="single" w:sz="2" w:space="0" w:color="CCCCCC"/>
              <w:bottom w:val="single" w:sz="2" w:space="0" w:color="CCCCCC"/>
              <w:right w:val="single" w:sz="2" w:space="0" w:color="CCCCCC"/>
            </w:tcBorders>
            <w:shd w:fill="1F4E79" w:val="clear"/>
            <w:vAlign w:val="center"/>
          </w:tcPr>
          <w:p>
            <w:pPr>
              <w:pStyle w:val="Normal"/>
              <w:jc w:val="center"/>
              <w:rPr>
                <w:color w:val="000000"/>
              </w:rPr>
            </w:pPr>
            <w:r>
              <w:rPr>
                <w:rFonts w:eastAsia="Arial" w:cs="Arial"/>
                <w:b/>
                <w:bCs/>
                <w:color w:val="000000"/>
                <w:sz w:val="20"/>
                <w:szCs w:val="20"/>
              </w:rPr>
              <w:t>Target Pair</w:t>
            </w:r>
          </w:p>
        </w:tc>
        <w:tc>
          <w:tcPr>
            <w:tcW w:w="1800" w:type="dxa"/>
            <w:tcBorders>
              <w:top w:val="single" w:sz="2" w:space="0" w:color="CCCCCC"/>
              <w:left w:val="single" w:sz="2" w:space="0" w:color="CCCCCC"/>
              <w:bottom w:val="single" w:sz="2" w:space="0" w:color="CCCCCC"/>
              <w:right w:val="single" w:sz="2" w:space="0" w:color="CCCCCC"/>
            </w:tcBorders>
            <w:shd w:fill="1F4E79" w:val="clear"/>
            <w:vAlign w:val="center"/>
          </w:tcPr>
          <w:p>
            <w:pPr>
              <w:pStyle w:val="Normal"/>
              <w:jc w:val="center"/>
              <w:rPr>
                <w:color w:val="000000"/>
              </w:rPr>
            </w:pPr>
            <w:r>
              <w:rPr>
                <w:rFonts w:eastAsia="Arial" w:cs="Arial"/>
                <w:b/>
                <w:bCs/>
                <w:color w:val="000000"/>
                <w:sz w:val="20"/>
                <w:szCs w:val="20"/>
              </w:rPr>
              <w:t>Shared Pathway</w:t>
            </w:r>
          </w:p>
        </w:tc>
        <w:tc>
          <w:tcPr>
            <w:tcW w:w="2501" w:type="dxa"/>
            <w:tcBorders>
              <w:top w:val="single" w:sz="2" w:space="0" w:color="CCCCCC"/>
              <w:left w:val="single" w:sz="2" w:space="0" w:color="CCCCCC"/>
              <w:bottom w:val="single" w:sz="2" w:space="0" w:color="CCCCCC"/>
              <w:right w:val="single" w:sz="2" w:space="0" w:color="CCCCCC"/>
            </w:tcBorders>
            <w:shd w:fill="1F4E79" w:val="clear"/>
            <w:vAlign w:val="center"/>
          </w:tcPr>
          <w:p>
            <w:pPr>
              <w:pStyle w:val="Normal"/>
              <w:jc w:val="center"/>
              <w:rPr>
                <w:color w:val="000000"/>
              </w:rPr>
            </w:pPr>
            <w:r>
              <w:rPr>
                <w:rFonts w:eastAsia="Arial" w:cs="Arial"/>
                <w:b/>
                <w:bCs/>
                <w:color w:val="000000"/>
                <w:sz w:val="20"/>
                <w:szCs w:val="20"/>
              </w:rPr>
              <w:t>Recommended Drugs</w:t>
            </w:r>
          </w:p>
        </w:tc>
        <w:tc>
          <w:tcPr>
            <w:tcW w:w="1000" w:type="dxa"/>
            <w:tcBorders>
              <w:top w:val="single" w:sz="2" w:space="0" w:color="CCCCCC"/>
              <w:left w:val="single" w:sz="2" w:space="0" w:color="CCCCCC"/>
              <w:bottom w:val="single" w:sz="2" w:space="0" w:color="CCCCCC"/>
              <w:right w:val="single" w:sz="2" w:space="0" w:color="CCCCCC"/>
            </w:tcBorders>
            <w:shd w:fill="1F4E79" w:val="clear"/>
            <w:vAlign w:val="center"/>
          </w:tcPr>
          <w:p>
            <w:pPr>
              <w:pStyle w:val="Normal"/>
              <w:jc w:val="center"/>
              <w:rPr>
                <w:color w:val="000000"/>
              </w:rPr>
            </w:pPr>
            <w:r>
              <w:rPr>
                <w:rFonts w:eastAsia="Arial" w:cs="Arial"/>
                <w:b/>
                <w:bCs/>
                <w:color w:val="000000"/>
                <w:sz w:val="20"/>
                <w:szCs w:val="20"/>
              </w:rPr>
              <w:t>Evidence Ref</w:t>
            </w:r>
          </w:p>
        </w:tc>
      </w:tr>
      <w:tr>
        <w:trPr/>
        <w:tc>
          <w:tcPr>
            <w:tcW w:w="60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1</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EGFR + MET</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MAPK/ERK, PI3K/AKT</w:t>
            </w:r>
          </w:p>
        </w:tc>
        <w:tc>
          <w:tcPr>
            <w:tcW w:w="2501"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Erlotinib + Crizotinib</w:t>
            </w:r>
          </w:p>
        </w:tc>
        <w:tc>
          <w:tcPr>
            <w:tcW w:w="100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[3,5]</w:t>
            </w:r>
          </w:p>
        </w:tc>
      </w:tr>
      <w:tr>
        <w:trPr/>
        <w:tc>
          <w:tcPr>
            <w:tcW w:w="600" w:type="dxa"/>
            <w:tcBorders>
              <w:top w:val="single" w:sz="2" w:space="0" w:color="CCCCCC"/>
              <w:left w:val="single" w:sz="2" w:space="0" w:color="CCCCCC"/>
              <w:bottom w:val="single" w:sz="2" w:space="0" w:color="CCCCCC"/>
              <w:right w:val="single" w:sz="2" w:space="0" w:color="CCCCCC"/>
            </w:tcBorders>
            <w:shd w:fill="F2F2F2" w:val="clear"/>
          </w:tcPr>
          <w:p>
            <w:pPr>
              <w:pStyle w:val="Normal"/>
              <w:rPr>
                <w:color w:val="000000"/>
              </w:rPr>
            </w:pPr>
            <w:r>
              <w:rPr>
                <w:rFonts w:eastAsia="Arial" w:cs="Arial"/>
                <w:color w:val="000000"/>
                <w:sz w:val="20"/>
                <w:szCs w:val="20"/>
              </w:rPr>
              <w:t>2</w:t>
            </w:r>
          </w:p>
        </w:tc>
        <w:tc>
          <w:tcPr>
            <w:tcW w:w="1599" w:type="dxa"/>
            <w:tcBorders>
              <w:top w:val="single" w:sz="2" w:space="0" w:color="CCCCCC"/>
              <w:left w:val="single" w:sz="2" w:space="0" w:color="CCCCCC"/>
              <w:bottom w:val="single" w:sz="2" w:space="0" w:color="CCCCCC"/>
              <w:right w:val="single" w:sz="2" w:space="0" w:color="CCCCCC"/>
            </w:tcBorders>
            <w:shd w:fill="F2F2F2" w:val="clear"/>
          </w:tcPr>
          <w:p>
            <w:pPr>
              <w:pStyle w:val="Normal"/>
              <w:rPr>
                <w:color w:val="000000"/>
              </w:rPr>
            </w:pPr>
            <w:r>
              <w:rPr>
                <w:rFonts w:eastAsia="Arial" w:cs="Arial"/>
                <w:color w:val="000000"/>
                <w:sz w:val="20"/>
                <w:szCs w:val="20"/>
              </w:rPr>
              <w:t>EGFR + FGFR1</w:t>
            </w:r>
          </w:p>
        </w:tc>
        <w:tc>
          <w:tcPr>
            <w:tcW w:w="1800" w:type="dxa"/>
            <w:tcBorders>
              <w:top w:val="single" w:sz="2" w:space="0" w:color="CCCCCC"/>
              <w:left w:val="single" w:sz="2" w:space="0" w:color="CCCCCC"/>
              <w:bottom w:val="single" w:sz="2" w:space="0" w:color="CCCCCC"/>
              <w:right w:val="single" w:sz="2" w:space="0" w:color="CCCCCC"/>
            </w:tcBorders>
            <w:shd w:fill="F2F2F2" w:val="clear"/>
          </w:tcPr>
          <w:p>
            <w:pPr>
              <w:pStyle w:val="Normal"/>
              <w:rPr>
                <w:color w:val="000000"/>
              </w:rPr>
            </w:pPr>
            <w:r>
              <w:rPr>
                <w:rFonts w:eastAsia="Arial" w:cs="Arial"/>
                <w:color w:val="000000"/>
                <w:sz w:val="20"/>
                <w:szCs w:val="20"/>
              </w:rPr>
              <w:t>MAPK/ERK, PI3K/AKT</w:t>
            </w:r>
          </w:p>
        </w:tc>
        <w:tc>
          <w:tcPr>
            <w:tcW w:w="2501" w:type="dxa"/>
            <w:tcBorders>
              <w:top w:val="single" w:sz="2" w:space="0" w:color="CCCCCC"/>
              <w:left w:val="single" w:sz="2" w:space="0" w:color="CCCCCC"/>
              <w:bottom w:val="single" w:sz="2" w:space="0" w:color="CCCCCC"/>
              <w:right w:val="single" w:sz="2" w:space="0" w:color="CCCCCC"/>
            </w:tcBorders>
            <w:shd w:fill="F2F2F2" w:val="clear"/>
          </w:tcPr>
          <w:p>
            <w:pPr>
              <w:pStyle w:val="Normal"/>
              <w:rPr>
                <w:color w:val="000000"/>
              </w:rPr>
            </w:pPr>
            <w:r>
              <w:rPr>
                <w:rFonts w:eastAsia="Arial" w:cs="Arial"/>
                <w:color w:val="000000"/>
                <w:sz w:val="20"/>
                <w:szCs w:val="20"/>
              </w:rPr>
              <w:t>Gefitinib + Erdafitinib</w:t>
            </w:r>
          </w:p>
        </w:tc>
        <w:tc>
          <w:tcPr>
            <w:tcW w:w="1000" w:type="dxa"/>
            <w:tcBorders>
              <w:top w:val="single" w:sz="2" w:space="0" w:color="CCCCCC"/>
              <w:left w:val="single" w:sz="2" w:space="0" w:color="CCCCCC"/>
              <w:bottom w:val="single" w:sz="2" w:space="0" w:color="CCCCCC"/>
              <w:right w:val="single" w:sz="2" w:space="0" w:color="CCCCCC"/>
            </w:tcBorders>
            <w:shd w:fill="F2F2F2" w:val="clear"/>
          </w:tcPr>
          <w:p>
            <w:pPr>
              <w:pStyle w:val="Normal"/>
              <w:rPr>
                <w:color w:val="000000"/>
              </w:rPr>
            </w:pPr>
            <w:r>
              <w:rPr>
                <w:rFonts w:eastAsia="Arial" w:cs="Arial"/>
                <w:color w:val="000000"/>
                <w:sz w:val="20"/>
                <w:szCs w:val="20"/>
              </w:rPr>
              <w:t>[7,11]</w:t>
            </w:r>
          </w:p>
        </w:tc>
      </w:tr>
      <w:tr>
        <w:trPr/>
        <w:tc>
          <w:tcPr>
            <w:tcW w:w="60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3</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EGFR + SRC</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MAPK/ERK, PI3K/AKT</w:t>
            </w:r>
          </w:p>
        </w:tc>
        <w:tc>
          <w:tcPr>
            <w:tcW w:w="2501"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Erlotinib + Dasatinib</w:t>
            </w:r>
          </w:p>
        </w:tc>
        <w:tc>
          <w:tcPr>
            <w:tcW w:w="100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[8]</w:t>
            </w:r>
          </w:p>
        </w:tc>
      </w:tr>
      <w:tr>
        <w:trPr/>
        <w:tc>
          <w:tcPr>
            <w:tcW w:w="600" w:type="dxa"/>
            <w:tcBorders>
              <w:top w:val="single" w:sz="2" w:space="0" w:color="CCCCCC"/>
              <w:left w:val="single" w:sz="2" w:space="0" w:color="CCCCCC"/>
              <w:bottom w:val="single" w:sz="2" w:space="0" w:color="CCCCCC"/>
              <w:right w:val="single" w:sz="2" w:space="0" w:color="CCCCCC"/>
            </w:tcBorders>
            <w:shd w:fill="F2F2F2" w:val="clear"/>
          </w:tcPr>
          <w:p>
            <w:pPr>
              <w:pStyle w:val="Normal"/>
              <w:rPr>
                <w:color w:val="000000"/>
              </w:rPr>
            </w:pPr>
            <w:r>
              <w:rPr>
                <w:rFonts w:eastAsia="Arial" w:cs="Arial"/>
                <w:color w:val="000000"/>
                <w:sz w:val="20"/>
                <w:szCs w:val="20"/>
              </w:rPr>
              <w:t>4</w:t>
            </w:r>
          </w:p>
        </w:tc>
        <w:tc>
          <w:tcPr>
            <w:tcW w:w="1599" w:type="dxa"/>
            <w:tcBorders>
              <w:top w:val="single" w:sz="2" w:space="0" w:color="CCCCCC"/>
              <w:left w:val="single" w:sz="2" w:space="0" w:color="CCCCCC"/>
              <w:bottom w:val="single" w:sz="2" w:space="0" w:color="CCCCCC"/>
              <w:right w:val="single" w:sz="2" w:space="0" w:color="CCCCCC"/>
            </w:tcBorders>
            <w:shd w:fill="F2F2F2" w:val="clear"/>
          </w:tcPr>
          <w:p>
            <w:pPr>
              <w:pStyle w:val="Normal"/>
              <w:rPr>
                <w:color w:val="000000"/>
              </w:rPr>
            </w:pPr>
            <w:r>
              <w:rPr>
                <w:rFonts w:eastAsia="Arial" w:cs="Arial"/>
                <w:color w:val="000000"/>
                <w:sz w:val="20"/>
                <w:szCs w:val="20"/>
              </w:rPr>
              <w:t>MET + SRC</w:t>
            </w:r>
          </w:p>
        </w:tc>
        <w:tc>
          <w:tcPr>
            <w:tcW w:w="1800" w:type="dxa"/>
            <w:tcBorders>
              <w:top w:val="single" w:sz="2" w:space="0" w:color="CCCCCC"/>
              <w:left w:val="single" w:sz="2" w:space="0" w:color="CCCCCC"/>
              <w:bottom w:val="single" w:sz="2" w:space="0" w:color="CCCCCC"/>
              <w:right w:val="single" w:sz="2" w:space="0" w:color="CCCCCC"/>
            </w:tcBorders>
            <w:shd w:fill="F2F2F2" w:val="clear"/>
          </w:tcPr>
          <w:p>
            <w:pPr>
              <w:pStyle w:val="Normal"/>
              <w:rPr>
                <w:color w:val="000000"/>
              </w:rPr>
            </w:pPr>
            <w:r>
              <w:rPr>
                <w:rFonts w:eastAsia="Arial" w:cs="Arial"/>
                <w:color w:val="000000"/>
                <w:sz w:val="20"/>
                <w:szCs w:val="20"/>
              </w:rPr>
              <w:t>MAPK/ERK, PI3K/AKT</w:t>
            </w:r>
          </w:p>
        </w:tc>
        <w:tc>
          <w:tcPr>
            <w:tcW w:w="2501" w:type="dxa"/>
            <w:tcBorders>
              <w:top w:val="single" w:sz="2" w:space="0" w:color="CCCCCC"/>
              <w:left w:val="single" w:sz="2" w:space="0" w:color="CCCCCC"/>
              <w:bottom w:val="single" w:sz="2" w:space="0" w:color="CCCCCC"/>
              <w:right w:val="single" w:sz="2" w:space="0" w:color="CCCCCC"/>
            </w:tcBorders>
            <w:shd w:fill="F2F2F2" w:val="clear"/>
          </w:tcPr>
          <w:p>
            <w:pPr>
              <w:pStyle w:val="Normal"/>
              <w:rPr>
                <w:color w:val="000000"/>
              </w:rPr>
            </w:pPr>
            <w:r>
              <w:rPr>
                <w:rFonts w:eastAsia="Arial" w:cs="Arial"/>
                <w:color w:val="000000"/>
                <w:sz w:val="20"/>
                <w:szCs w:val="20"/>
              </w:rPr>
              <w:t>Cabozantinib + Dasatinib</w:t>
            </w:r>
          </w:p>
        </w:tc>
        <w:tc>
          <w:tcPr>
            <w:tcW w:w="1000" w:type="dxa"/>
            <w:tcBorders>
              <w:top w:val="single" w:sz="2" w:space="0" w:color="CCCCCC"/>
              <w:left w:val="single" w:sz="2" w:space="0" w:color="CCCCCC"/>
              <w:bottom w:val="single" w:sz="2" w:space="0" w:color="CCCCCC"/>
              <w:right w:val="single" w:sz="2" w:space="0" w:color="CCCCCC"/>
            </w:tcBorders>
            <w:shd w:fill="F2F2F2" w:val="clear"/>
          </w:tcPr>
          <w:p>
            <w:pPr>
              <w:pStyle w:val="Normal"/>
              <w:rPr>
                <w:color w:val="000000"/>
              </w:rPr>
            </w:pPr>
            <w:r>
              <w:rPr>
                <w:rFonts w:eastAsia="Arial" w:cs="Arial"/>
                <w:color w:val="000000"/>
                <w:sz w:val="20"/>
                <w:szCs w:val="20"/>
              </w:rPr>
              <w:t>[3,8]</w:t>
            </w:r>
          </w:p>
        </w:tc>
      </w:tr>
      <w:tr>
        <w:trPr/>
        <w:tc>
          <w:tcPr>
            <w:tcW w:w="60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5</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ABL1 + EGFR</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MAPK/ERK</w:t>
            </w:r>
          </w:p>
        </w:tc>
        <w:tc>
          <w:tcPr>
            <w:tcW w:w="2501"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Imatinib + Erlotinib</w:t>
            </w:r>
          </w:p>
        </w:tc>
        <w:tc>
          <w:tcPr>
            <w:tcW w:w="100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[9,5]</w:t>
            </w:r>
          </w:p>
        </w:tc>
      </w:tr>
    </w:tbl>
    <w:p>
      <w:pPr>
        <w:pStyle w:val="Normal"/>
        <w:spacing w:before="80" w:after="0"/>
        <w:rPr>
          <w:color w:val="000000"/>
        </w:rPr>
      </w:pPr>
      <w:r>
        <w:rPr>
          <w:color w:val="000000"/>
        </w:rPr>
      </w:r>
    </w:p>
    <w:p>
      <w:pPr>
        <w:pStyle w:val="Normal"/>
        <w:spacing w:lineRule="exact" w:line="320" w:before="80" w:after="120"/>
        <w:jc w:val="both"/>
        <w:rPr>
          <w:color w:val="000000"/>
        </w:rPr>
      </w:pPr>
      <w:r>
        <w:rPr>
          <w:rFonts w:eastAsia="Arial" w:cs="Arial"/>
          <w:b w:val="false"/>
          <w:bCs w:val="false"/>
          <w:i w:val="false"/>
          <w:iCs w:val="false"/>
          <w:color w:val="000000"/>
          <w:sz w:val="22"/>
          <w:szCs w:val="22"/>
        </w:rPr>
        <w:t>Multi-targeted kinase inhibition to alleviate mTOR inhibitor resistance in TNBC has been validated in vitro using drug combination screens,</w:t>
      </w:r>
      <w:r>
        <w:rPr>
          <w:rFonts w:eastAsia="Arial" w:cs="Arial"/>
          <w:b w:val="false"/>
          <w:bCs w:val="false"/>
          <w:i w:val="false"/>
          <w:iCs w:val="false"/>
          <w:color w:val="000000"/>
          <w:sz w:val="16"/>
          <w:szCs w:val="16"/>
          <w:vertAlign w:val="superscript"/>
        </w:rPr>
        <w:t>[14]</w:t>
      </w:r>
      <w:r>
        <w:rPr>
          <w:rFonts w:eastAsia="Arial" w:cs="Arial"/>
          <w:b w:val="false"/>
          <w:bCs w:val="false"/>
          <w:i w:val="false"/>
          <w:iCs w:val="false"/>
          <w:color w:val="000000"/>
          <w:sz w:val="22"/>
          <w:szCs w:val="22"/>
        </w:rPr>
        <w:t xml:space="preserve"> further supporting the combinatorial logic encoded in this pipeline's recommendation engine.</w:t>
      </w:r>
    </w:p>
    <w:p>
      <w:pPr>
        <w:pStyle w:val="Normal"/>
        <w:spacing w:before="200" w:after="0"/>
        <w:rPr>
          <w:color w:val="000000"/>
        </w:rPr>
      </w:pPr>
      <w:r>
        <w:rPr>
          <w:color w:val="000000"/>
        </w:rPr>
      </w:r>
    </w:p>
    <w:p>
      <w:pPr>
        <w:pStyle w:val="Heading1"/>
        <w:spacing w:before="360" w:after="200"/>
        <w:rPr>
          <w:color w:val="000000"/>
        </w:rPr>
      </w:pPr>
      <w:r>
        <w:rPr>
          <w:rFonts w:eastAsia="Arial" w:cs="Arial" w:ascii="Arial" w:hAnsi="Arial"/>
          <w:b/>
          <w:bCs/>
          <w:color w:val="000000"/>
          <w:sz w:val="32"/>
          <w:szCs w:val="32"/>
        </w:rPr>
        <w:t>7. Testing &amp; Validation</w:t>
      </w:r>
    </w:p>
    <w:p>
      <w:pPr>
        <w:pStyle w:val="Normal"/>
        <w:pBdr>
          <w:bottom w:val="single" w:sz="6" w:space="1" w:color="2E75B6"/>
        </w:pBdr>
        <w:spacing w:before="120" w:after="120"/>
        <w:rPr>
          <w:color w:val="000000"/>
        </w:rPr>
      </w:pPr>
      <w:r>
        <w:rPr>
          <w:color w:val="000000"/>
        </w:rPr>
      </w:r>
    </w:p>
    <w:p>
      <w:pPr>
        <w:pStyle w:val="Normal"/>
        <w:spacing w:lineRule="exact" w:line="320" w:before="80" w:after="120"/>
        <w:jc w:val="both"/>
        <w:rPr>
          <w:color w:val="000000"/>
        </w:rPr>
      </w:pPr>
      <w:r>
        <w:rPr>
          <w:rFonts w:eastAsia="Arial" w:cs="Arial"/>
          <w:color w:val="000000"/>
          <w:sz w:val="22"/>
          <w:szCs w:val="22"/>
        </w:rPr>
        <w:t>The pipeline includes 30 unit tests across three test modules covering functional correctness and schema integrity.</w:t>
      </w:r>
    </w:p>
    <w:p>
      <w:pPr>
        <w:pStyle w:val="Normal"/>
        <w:spacing w:before="80" w:after="0"/>
        <w:rPr>
          <w:color w:val="000000"/>
        </w:rPr>
      </w:pPr>
      <w:r>
        <w:rPr>
          <w:color w:val="000000"/>
        </w:rPr>
      </w:r>
    </w:p>
    <w:tbl>
      <w:tblPr>
        <w:tblW w:w="9360" w:type="dxa"/>
        <w:jc w:val="left"/>
        <w:tblInd w:w="0" w:type="dxa"/>
        <w:tblLayout w:type="fixed"/>
        <w:tblCellMar>
          <w:top w:w="80" w:type="dxa"/>
          <w:left w:w="120" w:type="dxa"/>
          <w:bottom w:w="80" w:type="dxa"/>
          <w:right w:w="120" w:type="dxa"/>
        </w:tblCellMar>
      </w:tblPr>
      <w:tblGrid>
        <w:gridCol w:w="2798"/>
        <w:gridCol w:w="800"/>
        <w:gridCol w:w="5762"/>
      </w:tblGrid>
      <w:tr>
        <w:trPr>
          <w:tblHeader w:val="true"/>
        </w:trPr>
        <w:tc>
          <w:tcPr>
            <w:tcW w:w="2798" w:type="dxa"/>
            <w:tcBorders>
              <w:top w:val="single" w:sz="2" w:space="0" w:color="CCCCCC"/>
              <w:left w:val="single" w:sz="2" w:space="0" w:color="CCCCCC"/>
              <w:bottom w:val="single" w:sz="2" w:space="0" w:color="CCCCCC"/>
              <w:right w:val="single" w:sz="2" w:space="0" w:color="CCCCCC"/>
            </w:tcBorders>
            <w:shd w:fill="1F4E79" w:val="clear"/>
            <w:vAlign w:val="center"/>
          </w:tcPr>
          <w:p>
            <w:pPr>
              <w:pStyle w:val="Normal"/>
              <w:jc w:val="center"/>
              <w:rPr>
                <w:color w:val="000000"/>
              </w:rPr>
            </w:pPr>
            <w:r>
              <w:rPr>
                <w:rFonts w:eastAsia="Arial" w:cs="Arial"/>
                <w:b/>
                <w:bCs/>
                <w:color w:val="000000"/>
                <w:sz w:val="20"/>
                <w:szCs w:val="20"/>
              </w:rPr>
              <w:t>Test Module</w:t>
            </w:r>
          </w:p>
        </w:tc>
        <w:tc>
          <w:tcPr>
            <w:tcW w:w="800" w:type="dxa"/>
            <w:tcBorders>
              <w:top w:val="single" w:sz="2" w:space="0" w:color="CCCCCC"/>
              <w:left w:val="single" w:sz="2" w:space="0" w:color="CCCCCC"/>
              <w:bottom w:val="single" w:sz="2" w:space="0" w:color="CCCCCC"/>
              <w:right w:val="single" w:sz="2" w:space="0" w:color="CCCCCC"/>
            </w:tcBorders>
            <w:shd w:fill="1F4E79" w:val="clear"/>
            <w:vAlign w:val="center"/>
          </w:tcPr>
          <w:p>
            <w:pPr>
              <w:pStyle w:val="Normal"/>
              <w:jc w:val="center"/>
              <w:rPr>
                <w:color w:val="000000"/>
              </w:rPr>
            </w:pPr>
            <w:r>
              <w:rPr>
                <w:rFonts w:eastAsia="Arial" w:cs="Arial"/>
                <w:b/>
                <w:bCs/>
                <w:color w:val="000000"/>
                <w:sz w:val="20"/>
                <w:szCs w:val="20"/>
              </w:rPr>
              <w:t>Tests</w:t>
            </w:r>
          </w:p>
        </w:tc>
        <w:tc>
          <w:tcPr>
            <w:tcW w:w="5762" w:type="dxa"/>
            <w:tcBorders>
              <w:top w:val="single" w:sz="2" w:space="0" w:color="CCCCCC"/>
              <w:left w:val="single" w:sz="2" w:space="0" w:color="CCCCCC"/>
              <w:bottom w:val="single" w:sz="2" w:space="0" w:color="CCCCCC"/>
              <w:right w:val="single" w:sz="2" w:space="0" w:color="CCCCCC"/>
            </w:tcBorders>
            <w:shd w:fill="1F4E79" w:val="clear"/>
            <w:vAlign w:val="center"/>
          </w:tcPr>
          <w:p>
            <w:pPr>
              <w:pStyle w:val="Normal"/>
              <w:jc w:val="center"/>
              <w:rPr>
                <w:color w:val="000000"/>
              </w:rPr>
            </w:pPr>
            <w:r>
              <w:rPr>
                <w:rFonts w:eastAsia="Arial" w:cs="Arial"/>
                <w:b/>
                <w:bCs/>
                <w:color w:val="000000"/>
                <w:sz w:val="20"/>
                <w:szCs w:val="20"/>
              </w:rPr>
              <w:t>Key Assertions</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test_kinase_db.py</w:t>
            </w:r>
          </w:p>
        </w:tc>
        <w:tc>
          <w:tcPr>
            <w:tcW w:w="80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10</w:t>
            </w:r>
          </w:p>
        </w:tc>
        <w:tc>
          <w:tcPr>
            <w:tcW w:w="5762"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Gene presence, field schema, type validity, severity ranges, FDA flag types</w:t>
            </w:r>
          </w:p>
        </w:tc>
      </w:tr>
      <w:tr>
        <w:trPr/>
        <w:tc>
          <w:tcPr>
            <w:tcW w:w="2798" w:type="dxa"/>
            <w:tcBorders>
              <w:top w:val="single" w:sz="2" w:space="0" w:color="CCCCCC"/>
              <w:left w:val="single" w:sz="2" w:space="0" w:color="CCCCCC"/>
              <w:bottom w:val="single" w:sz="2" w:space="0" w:color="CCCCCC"/>
              <w:right w:val="single" w:sz="2" w:space="0" w:color="CCCCCC"/>
            </w:tcBorders>
            <w:shd w:fill="F2F2F2" w:val="clear"/>
          </w:tcPr>
          <w:p>
            <w:pPr>
              <w:pStyle w:val="Normal"/>
              <w:rPr>
                <w:color w:val="000000"/>
              </w:rPr>
            </w:pPr>
            <w:r>
              <w:rPr>
                <w:rFonts w:eastAsia="Arial" w:cs="Arial"/>
                <w:color w:val="000000"/>
                <w:sz w:val="20"/>
                <w:szCs w:val="20"/>
              </w:rPr>
              <w:t>test_vcf_parser.py</w:t>
            </w:r>
          </w:p>
        </w:tc>
        <w:tc>
          <w:tcPr>
            <w:tcW w:w="800" w:type="dxa"/>
            <w:tcBorders>
              <w:top w:val="single" w:sz="2" w:space="0" w:color="CCCCCC"/>
              <w:left w:val="single" w:sz="2" w:space="0" w:color="CCCCCC"/>
              <w:bottom w:val="single" w:sz="2" w:space="0" w:color="CCCCCC"/>
              <w:right w:val="single" w:sz="2" w:space="0" w:color="CCCCCC"/>
            </w:tcBorders>
            <w:shd w:fill="F2F2F2" w:val="clear"/>
          </w:tcPr>
          <w:p>
            <w:pPr>
              <w:pStyle w:val="Normal"/>
              <w:rPr>
                <w:color w:val="000000"/>
              </w:rPr>
            </w:pPr>
            <w:r>
              <w:rPr>
                <w:rFonts w:eastAsia="Arial" w:cs="Arial"/>
                <w:color w:val="000000"/>
                <w:sz w:val="20"/>
                <w:szCs w:val="20"/>
              </w:rPr>
              <w:t>10</w:t>
            </w:r>
          </w:p>
        </w:tc>
        <w:tc>
          <w:tcPr>
            <w:tcW w:w="5762" w:type="dxa"/>
            <w:tcBorders>
              <w:top w:val="single" w:sz="2" w:space="0" w:color="CCCCCC"/>
              <w:left w:val="single" w:sz="2" w:space="0" w:color="CCCCCC"/>
              <w:bottom w:val="single" w:sz="2" w:space="0" w:color="CCCCCC"/>
              <w:right w:val="single" w:sz="2" w:space="0" w:color="CCCCCC"/>
            </w:tcBorders>
            <w:shd w:fill="F2F2F2" w:val="clear"/>
          </w:tcPr>
          <w:p>
            <w:pPr>
              <w:pStyle w:val="Normal"/>
              <w:rPr>
                <w:color w:val="000000"/>
              </w:rPr>
            </w:pPr>
            <w:r>
              <w:rPr>
                <w:rFonts w:eastAsia="Arial" w:cs="Arial"/>
                <w:color w:val="000000"/>
                <w:sz w:val="20"/>
                <w:szCs w:val="20"/>
              </w:rPr>
              <w:t>Variant counts (13 total, 10 kinase), gene set detection, field population, severity [0,1]</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test_redundancy_analyzer.py</w:t>
            </w:r>
          </w:p>
        </w:tc>
        <w:tc>
          <w:tcPr>
            <w:tcW w:w="80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10</w:t>
            </w:r>
          </w:p>
        </w:tc>
        <w:tc>
          <w:tcPr>
            <w:tcW w:w="5762"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color w:val="000000"/>
                <w:sz w:val="20"/>
                <w:szCs w:val="20"/>
              </w:rPr>
              <w:t>MAPK/ERK score &gt; 0.7, descending sort, no self-bypass, full report schema</w:t>
            </w:r>
          </w:p>
        </w:tc>
      </w:tr>
    </w:tbl>
    <w:p>
      <w:pPr>
        <w:pStyle w:val="Normal"/>
        <w:spacing w:before="120" w:after="0"/>
        <w:rPr>
          <w:color w:val="000000"/>
        </w:rPr>
      </w:pPr>
      <w:r>
        <w:rPr>
          <w:color w:val="000000"/>
        </w:rPr>
      </w:r>
    </w:p>
    <w:p>
      <w:pPr>
        <w:pStyle w:val="Normal"/>
        <w:spacing w:lineRule="exact" w:line="320" w:before="80" w:after="120"/>
        <w:jc w:val="both"/>
        <w:rPr>
          <w:color w:val="000000"/>
        </w:rPr>
      </w:pPr>
      <w:r>
        <w:rPr>
          <w:rFonts w:eastAsia="Arial" w:cs="Arial"/>
          <w:color w:val="000000"/>
          <w:sz w:val="22"/>
          <w:szCs w:val="22"/>
        </w:rPr>
        <w:t>All 30 tests pass against the sample VCF. MAPK/ERK redundancy is confirmed at 0.865, 36 combination suggestions are generated, and all scores fall within valid ranges.</w:t>
      </w:r>
    </w:p>
    <w:p>
      <w:pPr>
        <w:pStyle w:val="Normal"/>
        <w:spacing w:before="200" w:after="0"/>
        <w:rPr>
          <w:color w:val="000000"/>
        </w:rPr>
      </w:pPr>
      <w:r>
        <w:rPr>
          <w:color w:val="000000"/>
        </w:rPr>
      </w:r>
    </w:p>
    <w:p>
      <w:pPr>
        <w:pStyle w:val="Heading1"/>
        <w:spacing w:before="360" w:after="200"/>
        <w:rPr>
          <w:color w:val="000000"/>
        </w:rPr>
      </w:pPr>
      <w:r>
        <w:rPr>
          <w:rFonts w:eastAsia="Arial" w:cs="Arial" w:ascii="Arial" w:hAnsi="Arial"/>
          <w:b/>
          <w:bCs/>
          <w:color w:val="000000"/>
          <w:sz w:val="32"/>
          <w:szCs w:val="32"/>
        </w:rPr>
        <w:t>8. Limitations &amp; Future Directions</w:t>
      </w:r>
    </w:p>
    <w:p>
      <w:pPr>
        <w:pStyle w:val="Normal"/>
        <w:pBdr>
          <w:bottom w:val="single" w:sz="6" w:space="1" w:color="2E75B6"/>
        </w:pBdr>
        <w:spacing w:before="120" w:after="120"/>
        <w:rPr>
          <w:color w:val="000000"/>
        </w:rPr>
      </w:pPr>
      <w:r>
        <w:rPr>
          <w:color w:val="000000"/>
        </w:rPr>
      </w:r>
    </w:p>
    <w:p>
      <w:pPr>
        <w:pStyle w:val="Heading2"/>
        <w:spacing w:before="280" w:after="140"/>
        <w:rPr>
          <w:color w:val="000000"/>
        </w:rPr>
      </w:pPr>
      <w:r>
        <w:rPr>
          <w:rFonts w:eastAsia="Arial" w:cs="Arial" w:ascii="Arial" w:hAnsi="Arial"/>
          <w:b/>
          <w:bCs/>
          <w:color w:val="000000"/>
          <w:sz w:val="26"/>
          <w:szCs w:val="26"/>
        </w:rPr>
        <w:t>8.1 Current Limitations</w:t>
      </w:r>
    </w:p>
    <w:p>
      <w:pPr>
        <w:pStyle w:val="ListParagraph"/>
        <w:numPr>
          <w:ilvl w:val="0"/>
          <w:numId w:val="6"/>
        </w:numPr>
        <w:spacing w:before="60" w:after="60"/>
        <w:rPr>
          <w:color w:val="000000"/>
        </w:rPr>
      </w:pPr>
      <w:r>
        <w:rPr>
          <w:rFonts w:eastAsia="Arial" w:cs="Arial"/>
          <w:color w:val="000000"/>
          <w:sz w:val="22"/>
          <w:szCs w:val="22"/>
        </w:rPr>
        <w:t>The kinase database covers 10 genes; production use requires expansion to 50+ using automated ClinVar, OncoKB, and DGIdb ingestion</w:t>
      </w:r>
    </w:p>
    <w:p>
      <w:pPr>
        <w:pStyle w:val="ListParagraph"/>
        <w:numPr>
          <w:ilvl w:val="0"/>
          <w:numId w:val="7"/>
        </w:numPr>
        <w:spacing w:before="60" w:after="60"/>
        <w:rPr>
          <w:color w:val="000000"/>
        </w:rPr>
      </w:pPr>
      <w:r>
        <w:rPr>
          <w:rFonts w:eastAsia="Arial" w:cs="Arial"/>
          <w:color w:val="000000"/>
          <w:sz w:val="22"/>
          <w:szCs w:val="22"/>
        </w:rPr>
        <w:t>The VCF parser requires GENE and EFFECT INFO fields pre-populated by VEP or ANNOVAR; raw unannotated VCFs need preprocessing</w:t>
      </w:r>
    </w:p>
    <w:p>
      <w:pPr>
        <w:pStyle w:val="ListParagraph"/>
        <w:numPr>
          <w:ilvl w:val="0"/>
          <w:numId w:val="8"/>
        </w:numPr>
        <w:spacing w:before="60" w:after="60"/>
        <w:rPr>
          <w:color w:val="000000"/>
        </w:rPr>
      </w:pPr>
      <w:r>
        <w:rPr>
          <w:rFonts w:eastAsia="Arial" w:cs="Arial"/>
          <w:color w:val="000000"/>
          <w:sz w:val="22"/>
          <w:szCs w:val="22"/>
        </w:rPr>
        <w:t>Redundancy scoring is rule-based; transcriptomic weighting via RNA-seq expression data would improve accuracy</w:t>
      </w:r>
    </w:p>
    <w:p>
      <w:pPr>
        <w:pStyle w:val="ListParagraph"/>
        <w:numPr>
          <w:ilvl w:val="0"/>
          <w:numId w:val="9"/>
        </w:numPr>
        <w:spacing w:before="60" w:after="60"/>
        <w:rPr>
          <w:color w:val="000000"/>
        </w:rPr>
      </w:pPr>
      <w:r>
        <w:rPr>
          <w:rFonts w:eastAsia="Arial" w:cs="Arial"/>
          <w:color w:val="000000"/>
          <w:sz w:val="22"/>
          <w:szCs w:val="22"/>
        </w:rPr>
        <w:t>AI narrative generation requires an active Anthropic API connection; offline deployments would require a locally hosted model</w:t>
      </w:r>
    </w:p>
    <w:p>
      <w:pPr>
        <w:pStyle w:val="Normal"/>
        <w:spacing w:before="80" w:after="0"/>
        <w:rPr>
          <w:color w:val="000000"/>
        </w:rPr>
      </w:pPr>
      <w:r>
        <w:rPr>
          <w:color w:val="000000"/>
        </w:rPr>
      </w:r>
    </w:p>
    <w:p>
      <w:pPr>
        <w:pStyle w:val="Heading2"/>
        <w:spacing w:before="280" w:after="140"/>
        <w:rPr>
          <w:color w:val="000000"/>
        </w:rPr>
      </w:pPr>
      <w:r>
        <w:rPr>
          <w:rFonts w:eastAsia="Arial" w:cs="Arial" w:ascii="Arial" w:hAnsi="Arial"/>
          <w:b/>
          <w:bCs/>
          <w:color w:val="000000"/>
          <w:sz w:val="26"/>
          <w:szCs w:val="26"/>
        </w:rPr>
        <w:t>8.2 Planned Extensions</w:t>
      </w:r>
    </w:p>
    <w:p>
      <w:pPr>
        <w:pStyle w:val="ListParagraph"/>
        <w:numPr>
          <w:ilvl w:val="0"/>
          <w:numId w:val="10"/>
        </w:numPr>
        <w:spacing w:before="60" w:after="60"/>
        <w:rPr>
          <w:color w:val="000000"/>
        </w:rPr>
      </w:pPr>
      <w:r>
        <w:rPr>
          <w:rFonts w:eastAsia="Arial" w:cs="Arial"/>
          <w:color w:val="000000"/>
          <w:sz w:val="22"/>
          <w:szCs w:val="22"/>
        </w:rPr>
        <w:t>TCGA/GEO integration for population-level context for patient variant profiles</w:t>
      </w:r>
    </w:p>
    <w:p>
      <w:pPr>
        <w:pStyle w:val="ListParagraph"/>
        <w:numPr>
          <w:ilvl w:val="0"/>
          <w:numId w:val="11"/>
        </w:numPr>
        <w:spacing w:before="60" w:after="60"/>
        <w:rPr>
          <w:color w:val="000000"/>
        </w:rPr>
      </w:pPr>
      <w:r>
        <w:rPr>
          <w:rFonts w:eastAsia="Arial" w:cs="Arial"/>
          <w:color w:val="000000"/>
          <w:sz w:val="22"/>
          <w:szCs w:val="22"/>
        </w:rPr>
        <w:t>RNA-seq co-analysis to weight kinase pathway activity by transcriptomic evidence</w:t>
      </w:r>
    </w:p>
    <w:p>
      <w:pPr>
        <w:pStyle w:val="ListParagraph"/>
        <w:numPr>
          <w:ilvl w:val="0"/>
          <w:numId w:val="12"/>
        </w:numPr>
        <w:spacing w:before="60" w:after="60"/>
        <w:rPr>
          <w:color w:val="000000"/>
        </w:rPr>
      </w:pPr>
      <w:r>
        <w:rPr>
          <w:rFonts w:eastAsia="Arial" w:cs="Arial"/>
          <w:color w:val="000000"/>
          <w:sz w:val="22"/>
          <w:szCs w:val="22"/>
        </w:rPr>
        <w:t>Structural variant and gene fusion detection (e.g. NTRK fusions common in TNBC)</w:t>
      </w:r>
    </w:p>
    <w:p>
      <w:pPr>
        <w:pStyle w:val="ListParagraph"/>
        <w:numPr>
          <w:ilvl w:val="0"/>
          <w:numId w:val="13"/>
        </w:numPr>
        <w:spacing w:before="60" w:after="60"/>
        <w:rPr>
          <w:color w:val="000000"/>
        </w:rPr>
      </w:pPr>
      <w:r>
        <w:rPr>
          <w:rFonts w:eastAsia="Arial" w:cs="Arial"/>
          <w:color w:val="000000"/>
          <w:sz w:val="22"/>
          <w:szCs w:val="22"/>
        </w:rPr>
        <w:t>Multi-patient cohort mode for batch analysis identifying shared actionable patterns</w:t>
      </w:r>
    </w:p>
    <w:p>
      <w:pPr>
        <w:pStyle w:val="ListParagraph"/>
        <w:numPr>
          <w:ilvl w:val="0"/>
          <w:numId w:val="14"/>
        </w:numPr>
        <w:spacing w:before="60" w:after="60"/>
        <w:rPr>
          <w:color w:val="000000"/>
        </w:rPr>
      </w:pPr>
      <w:r>
        <w:rPr>
          <w:rFonts w:eastAsia="Arial" w:cs="Arial"/>
          <w:color w:val="000000"/>
          <w:sz w:val="22"/>
          <w:szCs w:val="22"/>
        </w:rPr>
        <w:t>FHIR Genomics export for EHR interoperability</w:t>
      </w:r>
    </w:p>
    <w:p>
      <w:pPr>
        <w:pStyle w:val="ListParagraph"/>
        <w:numPr>
          <w:ilvl w:val="0"/>
          <w:numId w:val="15"/>
        </w:numPr>
        <w:spacing w:before="60" w:after="60"/>
        <w:rPr>
          <w:color w:val="000000"/>
        </w:rPr>
      </w:pPr>
      <w:r>
        <w:rPr>
          <w:rFonts w:eastAsia="Arial" w:cs="Arial"/>
          <w:color w:val="000000"/>
          <w:sz w:val="22"/>
          <w:szCs w:val="22"/>
        </w:rPr>
        <w:t>Jupyter notebook interface for exploratory research analysis</w:t>
      </w:r>
    </w:p>
    <w:p>
      <w:pPr>
        <w:pStyle w:val="Normal"/>
        <w:spacing w:before="200" w:after="0"/>
        <w:rPr>
          <w:color w:val="000000"/>
        </w:rPr>
      </w:pPr>
      <w:r>
        <w:rPr>
          <w:color w:val="000000"/>
        </w:rPr>
      </w:r>
    </w:p>
    <w:p>
      <w:pPr>
        <w:pStyle w:val="Heading1"/>
        <w:spacing w:before="360" w:after="200"/>
        <w:rPr>
          <w:color w:val="000000"/>
        </w:rPr>
      </w:pPr>
      <w:r>
        <w:rPr>
          <w:rFonts w:eastAsia="Arial" w:cs="Arial" w:ascii="Arial" w:hAnsi="Arial"/>
          <w:b/>
          <w:bCs/>
          <w:color w:val="000000"/>
          <w:sz w:val="32"/>
          <w:szCs w:val="32"/>
        </w:rPr>
        <w:t>9. Clinical Significance</w:t>
      </w:r>
    </w:p>
    <w:p>
      <w:pPr>
        <w:pStyle w:val="Normal"/>
        <w:pBdr>
          <w:bottom w:val="single" w:sz="6" w:space="1" w:color="2E75B6"/>
        </w:pBdr>
        <w:spacing w:before="120" w:after="120"/>
        <w:rPr>
          <w:color w:val="000000"/>
        </w:rPr>
      </w:pPr>
      <w:r>
        <w:rPr>
          <w:color w:val="000000"/>
        </w:rPr>
      </w:r>
    </w:p>
    <w:p>
      <w:pPr>
        <w:pStyle w:val="Normal"/>
        <w:spacing w:lineRule="exact" w:line="320" w:before="80" w:after="120"/>
        <w:jc w:val="both"/>
        <w:rPr>
          <w:color w:val="000000"/>
        </w:rPr>
      </w:pPr>
      <w:r>
        <w:rPr>
          <w:rFonts w:eastAsia="Arial" w:cs="Arial"/>
          <w:b w:val="false"/>
          <w:bCs w:val="false"/>
          <w:i w:val="false"/>
          <w:iCs w:val="false"/>
          <w:color w:val="000000"/>
          <w:sz w:val="22"/>
          <w:szCs w:val="22"/>
        </w:rPr>
        <w:t>This pipeline addresses a fundamental gap in TNBC precision oncology workflows: the automated, reproducible characterisation of kinase pathway redundancy from patient genomic data. Current molecular tumour board workflows typically involve manual variant report review, which is time-consuming, expert-dependent, and rarely accounts for systems-level implications of co-occurring kinase alterations. The Targeting RTKs/nRTKs review (Military Medical Research, 2024) identifies the complexity of multi-RTK co-expression as a primary barrier to clinical translation of kinase-directed therapies in TNBC.</w:t>
      </w:r>
      <w:r>
        <w:rPr>
          <w:rFonts w:eastAsia="Arial" w:cs="Arial"/>
          <w:b w:val="false"/>
          <w:bCs w:val="false"/>
          <w:i w:val="false"/>
          <w:iCs w:val="false"/>
          <w:color w:val="000000"/>
          <w:sz w:val="16"/>
          <w:szCs w:val="16"/>
          <w:vertAlign w:val="superscript"/>
        </w:rPr>
        <w:t>[13]</w:t>
      </w:r>
    </w:p>
    <w:p>
      <w:pPr>
        <w:pStyle w:val="Normal"/>
        <w:spacing w:before="80" w:after="0"/>
        <w:rPr>
          <w:color w:val="000000"/>
        </w:rPr>
      </w:pPr>
      <w:r>
        <w:rPr>
          <w:color w:val="000000"/>
        </w:rPr>
      </w:r>
    </w:p>
    <w:p>
      <w:pPr>
        <w:pStyle w:val="Normal"/>
        <w:spacing w:lineRule="exact" w:line="320" w:before="80" w:after="120"/>
        <w:jc w:val="both"/>
        <w:rPr>
          <w:color w:val="000000"/>
        </w:rPr>
      </w:pPr>
      <w:r>
        <w:rPr>
          <w:rFonts w:eastAsia="Arial" w:cs="Arial"/>
          <w:b w:val="false"/>
          <w:bCs w:val="false"/>
          <w:i w:val="false"/>
          <w:iCs w:val="false"/>
          <w:color w:val="000000"/>
          <w:sz w:val="22"/>
          <w:szCs w:val="22"/>
        </w:rPr>
        <w:t>The AI narrative component adds particular value for multidisciplinary team communication. A well-structured LLM-generated summary can serve as a shared interpretive framework that accelerates consensus-building. A scoping review of LLM applications in oncology (2024) found that treatment and diagnosis were the most common phases of care addressed by LLM tools, and that grounded, prompt-engineered systems consistently outperformed generic LLMs.</w:t>
      </w:r>
      <w:r>
        <w:rPr>
          <w:rFonts w:eastAsia="Arial" w:cs="Arial"/>
          <w:b w:val="false"/>
          <w:bCs w:val="false"/>
          <w:i w:val="false"/>
          <w:iCs w:val="false"/>
          <w:color w:val="000000"/>
          <w:sz w:val="16"/>
          <w:szCs w:val="16"/>
          <w:vertAlign w:val="superscript"/>
        </w:rPr>
        <w:t>[20]</w:t>
      </w:r>
    </w:p>
    <w:p>
      <w:pPr>
        <w:pStyle w:val="Normal"/>
        <w:spacing w:before="80" w:after="0"/>
        <w:rPr>
          <w:color w:val="000000"/>
        </w:rPr>
      </w:pPr>
      <w:r>
        <w:rPr>
          <w:color w:val="000000"/>
        </w:rPr>
      </w:r>
    </w:p>
    <w:p>
      <w:pPr>
        <w:pStyle w:val="Normal"/>
        <w:pBdr>
          <w:left w:val="single" w:sz="12" w:space="4" w:color="375623"/>
        </w:pBdr>
        <w:shd w:val="clear" w:fill="EBF5EB"/>
        <w:spacing w:before="120" w:after="120"/>
        <w:rPr>
          <w:color w:val="000000"/>
        </w:rPr>
      </w:pPr>
      <w:r>
        <w:rPr>
          <w:rFonts w:eastAsia="Arial" w:cs="Arial"/>
          <w:i/>
          <w:iCs/>
          <w:color w:val="000000"/>
          <w:sz w:val="20"/>
          <w:szCs w:val="20"/>
        </w:rPr>
        <w:t>Disclaimer: This pipeline is a research tool intended to assist expert analysis. It does not constitute clinical diagnostic output and should not be used as the sole basis for treatment decisions. All outputs require review by qualified clinical specialists.</w:t>
      </w:r>
    </w:p>
    <w:p>
      <w:pPr>
        <w:pStyle w:val="Normal"/>
        <w:spacing w:before="200" w:after="0"/>
        <w:rPr>
          <w:color w:val="000000"/>
        </w:rPr>
      </w:pPr>
      <w:r>
        <w:rPr>
          <w:color w:val="000000"/>
        </w:rPr>
      </w:r>
    </w:p>
    <w:p>
      <w:pPr>
        <w:pStyle w:val="Heading1"/>
        <w:spacing w:before="360" w:after="200"/>
        <w:rPr>
          <w:color w:val="000000"/>
        </w:rPr>
      </w:pPr>
      <w:r>
        <w:rPr>
          <w:rFonts w:eastAsia="Arial" w:cs="Arial" w:ascii="Arial" w:hAnsi="Arial"/>
          <w:b/>
          <w:bCs/>
          <w:color w:val="000000"/>
          <w:sz w:val="32"/>
          <w:szCs w:val="32"/>
        </w:rPr>
        <w:t>10. Conclusion</w:t>
      </w:r>
    </w:p>
    <w:p>
      <w:pPr>
        <w:pStyle w:val="Normal"/>
        <w:pBdr>
          <w:bottom w:val="single" w:sz="6" w:space="1" w:color="2E75B6"/>
        </w:pBdr>
        <w:spacing w:before="120" w:after="120"/>
        <w:rPr>
          <w:color w:val="000000"/>
        </w:rPr>
      </w:pPr>
      <w:r>
        <w:rPr>
          <w:color w:val="000000"/>
        </w:rPr>
      </w:r>
    </w:p>
    <w:p>
      <w:pPr>
        <w:pStyle w:val="Normal"/>
        <w:spacing w:lineRule="exact" w:line="320" w:before="80" w:after="120"/>
        <w:jc w:val="both"/>
        <w:rPr>
          <w:color w:val="000000"/>
        </w:rPr>
      </w:pPr>
      <w:r>
        <w:rPr>
          <w:rFonts w:eastAsia="Arial" w:cs="Arial"/>
          <w:color w:val="000000"/>
          <w:sz w:val="22"/>
          <w:szCs w:val="22"/>
        </w:rPr>
        <w:t>The tnbc-genomics-agent demonstrates how AI and bioinformatics can be responsibly integrated for high-stakes oncology applications. By grounding LLM reasoning in curated, patient-specific genomic data rather than parametric model memory, the pipeline operationalises the evidence-based principle that LLMs are most effective as reasoning engines operating over structured domain knowledge. The sample analysis results — 9 co-altered kinases with MAPK/ERK and PI3K/AKT redundancy scores exceeding 0.84 — illustrate the clinical value of this approach: a finding that would require hours of expert curation to derive manually is produced in seconds, with a ranked list of five evidence-backed FDA-approved combination strategies.</w:t>
      </w:r>
    </w:p>
    <w:p>
      <w:pPr>
        <w:pStyle w:val="Normal"/>
        <w:spacing w:before="80" w:after="0"/>
        <w:rPr>
          <w:color w:val="000000"/>
        </w:rPr>
      </w:pPr>
      <w:r>
        <w:rPr>
          <w:color w:val="000000"/>
        </w:rPr>
      </w:r>
    </w:p>
    <w:p>
      <w:pPr>
        <w:pStyle w:val="Normal"/>
        <w:pBdr>
          <w:bottom w:val="single" w:sz="6" w:space="1" w:color="2E75B6"/>
        </w:pBdr>
        <w:spacing w:before="120" w:after="120"/>
        <w:rPr>
          <w:color w:val="000000"/>
        </w:rPr>
      </w:pPr>
      <w:r>
        <w:rPr>
          <w:color w:val="000000"/>
        </w:rPr>
      </w:r>
    </w:p>
    <w:p>
      <w:pPr>
        <w:pStyle w:val="Normal"/>
        <w:spacing w:before="160" w:after="80"/>
        <w:jc w:val="center"/>
        <w:rPr>
          <w:color w:val="000000"/>
        </w:rPr>
      </w:pPr>
      <w:r>
        <w:rPr>
          <w:rFonts w:eastAsia="Arial" w:cs="Arial"/>
          <w:color w:val="000000"/>
          <w:sz w:val="22"/>
          <w:szCs w:val="22"/>
        </w:rPr>
        <w:t>github.com/mtariqi/tnbc-genomics-agent</w:t>
      </w:r>
    </w:p>
    <w:p>
      <w:pPr>
        <w:pStyle w:val="Normal"/>
        <w:spacing w:before="0" w:after="80"/>
        <w:jc w:val="center"/>
        <w:rPr>
          <w:color w:val="000000"/>
        </w:rPr>
      </w:pPr>
      <w:r>
        <w:rPr>
          <w:rFonts w:eastAsia="Arial" w:cs="Arial"/>
          <w:color w:val="000000"/>
          <w:sz w:val="20"/>
          <w:szCs w:val="20"/>
        </w:rPr>
        <w:t>Version 1.0.0  |  June 2026  |  MIT License</w:t>
      </w:r>
    </w:p>
    <w:p>
      <w:pPr>
        <w:pStyle w:val="Normal"/>
        <w:spacing w:before="200" w:after="0"/>
        <w:rPr>
          <w:color w:val="000000"/>
        </w:rPr>
      </w:pPr>
      <w:r>
        <w:rPr>
          <w:color w:val="000000"/>
        </w:rPr>
      </w:r>
    </w:p>
    <w:p>
      <w:pPr>
        <w:pStyle w:val="Heading1"/>
        <w:spacing w:before="360" w:after="200"/>
        <w:rPr>
          <w:color w:val="000000"/>
        </w:rPr>
      </w:pPr>
      <w:r>
        <w:rPr>
          <w:rFonts w:eastAsia="Arial" w:cs="Arial" w:ascii="Arial" w:hAnsi="Arial"/>
          <w:b/>
          <w:bCs/>
          <w:color w:val="000000"/>
          <w:sz w:val="32"/>
          <w:szCs w:val="32"/>
        </w:rPr>
        <w:t>References</w:t>
      </w:r>
    </w:p>
    <w:p>
      <w:pPr>
        <w:pStyle w:val="Normal"/>
        <w:pBdr>
          <w:bottom w:val="single" w:sz="6" w:space="1" w:color="2E75B6"/>
        </w:pBdr>
        <w:spacing w:before="120" w:after="120"/>
        <w:rPr>
          <w:color w:val="000000"/>
        </w:rPr>
      </w:pPr>
      <w:r>
        <w:rPr>
          <w:color w:val="000000"/>
        </w:rPr>
      </w:r>
    </w:p>
    <w:p>
      <w:pPr>
        <w:pStyle w:val="Normal"/>
        <w:spacing w:before="60" w:after="60"/>
        <w:ind w:hanging="480" w:left="480"/>
        <w:rPr>
          <w:color w:val="000000"/>
        </w:rPr>
      </w:pPr>
      <w:r>
        <w:rPr>
          <w:rFonts w:eastAsia="Arial" w:cs="Arial"/>
          <w:b/>
          <w:bCs/>
          <w:color w:val="000000"/>
          <w:sz w:val="20"/>
          <w:szCs w:val="20"/>
        </w:rPr>
        <w:t xml:space="preserve">[1] </w:t>
      </w:r>
      <w:r>
        <w:rPr>
          <w:rFonts w:eastAsia="Arial" w:cs="Arial"/>
          <w:color w:val="000000"/>
          <w:sz w:val="20"/>
          <w:szCs w:val="20"/>
        </w:rPr>
        <w:t xml:space="preserve">Sung H, Ferlay J, Siegel RL, et al.. </w:t>
      </w:r>
      <w:r>
        <w:rPr>
          <w:rFonts w:eastAsia="Arial" w:cs="Arial"/>
          <w:i/>
          <w:iCs/>
          <w:color w:val="000000"/>
          <w:sz w:val="20"/>
          <w:szCs w:val="20"/>
        </w:rPr>
        <w:t xml:space="preserve">"Global Cancer Statistics 2020: GLOBOCAN Estimates of Incidence and Mortality Worldwide for 36 Cancers in 185 Countries." </w:t>
      </w:r>
      <w:r>
        <w:rPr>
          <w:rFonts w:eastAsia="Arial" w:cs="Arial"/>
          <w:color w:val="000000"/>
          <w:sz w:val="20"/>
          <w:szCs w:val="20"/>
        </w:rPr>
        <w:t xml:space="preserve">CA Cancer J Clin (2021). </w:t>
      </w:r>
      <w:r>
        <w:rPr>
          <w:rFonts w:eastAsia="Arial" w:cs="Arial"/>
          <w:color w:val="000000"/>
          <w:sz w:val="20"/>
          <w:szCs w:val="20"/>
        </w:rPr>
        <w:t>doi:10.3322/caac.21660</w:t>
      </w:r>
    </w:p>
    <w:p>
      <w:pPr>
        <w:pStyle w:val="Normal"/>
        <w:spacing w:before="60" w:after="60"/>
        <w:ind w:hanging="480" w:left="480"/>
        <w:rPr>
          <w:color w:val="000000"/>
        </w:rPr>
      </w:pPr>
      <w:r>
        <w:rPr>
          <w:rFonts w:eastAsia="Arial" w:cs="Arial"/>
          <w:b/>
          <w:bCs/>
          <w:color w:val="000000"/>
          <w:sz w:val="20"/>
          <w:szCs w:val="20"/>
        </w:rPr>
        <w:t xml:space="preserve">[2] </w:t>
      </w:r>
      <w:r>
        <w:rPr>
          <w:rFonts w:eastAsia="Arial" w:cs="Arial"/>
          <w:color w:val="000000"/>
          <w:sz w:val="20"/>
          <w:szCs w:val="20"/>
        </w:rPr>
        <w:t xml:space="preserve">Bianchini G, De Angelis C, Licata L, Gianni L.. </w:t>
      </w:r>
      <w:r>
        <w:rPr>
          <w:rFonts w:eastAsia="Arial" w:cs="Arial"/>
          <w:i/>
          <w:iCs/>
          <w:color w:val="000000"/>
          <w:sz w:val="20"/>
          <w:szCs w:val="20"/>
        </w:rPr>
        <w:t xml:space="preserve">"Treatment landscape of triple-negative breast cancer — expanded options, evolving needs." </w:t>
      </w:r>
      <w:r>
        <w:rPr>
          <w:rFonts w:eastAsia="Arial" w:cs="Arial"/>
          <w:color w:val="000000"/>
          <w:sz w:val="20"/>
          <w:szCs w:val="20"/>
        </w:rPr>
        <w:t xml:space="preserve">Nature Reviews Clinical Oncology (2022). </w:t>
      </w:r>
      <w:r>
        <w:rPr>
          <w:rFonts w:eastAsia="Arial" w:cs="Arial"/>
          <w:color w:val="000000"/>
          <w:sz w:val="20"/>
          <w:szCs w:val="20"/>
        </w:rPr>
        <w:t>doi:10.1038/s41571-021-00565-2</w:t>
      </w:r>
    </w:p>
    <w:p>
      <w:pPr>
        <w:pStyle w:val="Normal"/>
        <w:spacing w:before="60" w:after="60"/>
        <w:ind w:hanging="480" w:left="480"/>
        <w:rPr>
          <w:color w:val="000000"/>
        </w:rPr>
      </w:pPr>
      <w:r>
        <w:rPr>
          <w:rFonts w:eastAsia="Arial" w:cs="Arial"/>
          <w:b/>
          <w:bCs/>
          <w:color w:val="000000"/>
          <w:sz w:val="20"/>
          <w:szCs w:val="20"/>
        </w:rPr>
        <w:t xml:space="preserve">[3] </w:t>
      </w:r>
      <w:r>
        <w:rPr>
          <w:rFonts w:eastAsia="Arial" w:cs="Arial"/>
          <w:color w:val="000000"/>
          <w:sz w:val="20"/>
          <w:szCs w:val="20"/>
        </w:rPr>
        <w:t xml:space="preserve">Sheng J, Chen Q, Soncin I, et al.. </w:t>
      </w:r>
      <w:r>
        <w:rPr>
          <w:rFonts w:eastAsia="Arial" w:cs="Arial"/>
          <w:i/>
          <w:iCs/>
          <w:color w:val="000000"/>
          <w:sz w:val="20"/>
          <w:szCs w:val="20"/>
        </w:rPr>
        <w:t xml:space="preserve">"Targeting MET and EGFR crosstalk signaling in triple-negative breast cancers." </w:t>
      </w:r>
      <w:r>
        <w:rPr>
          <w:rFonts w:eastAsia="Arial" w:cs="Arial"/>
          <w:color w:val="000000"/>
          <w:sz w:val="20"/>
          <w:szCs w:val="20"/>
        </w:rPr>
        <w:t xml:space="preserve">Oncotarget (2017). </w:t>
      </w:r>
      <w:r>
        <w:rPr>
          <w:rFonts w:eastAsia="Arial" w:cs="Arial"/>
          <w:color w:val="000000"/>
          <w:sz w:val="20"/>
          <w:szCs w:val="20"/>
        </w:rPr>
        <w:t>doi:10.18632/oncotarget.14960</w:t>
      </w:r>
    </w:p>
    <w:p>
      <w:pPr>
        <w:pStyle w:val="Normal"/>
        <w:spacing w:before="60" w:after="60"/>
        <w:ind w:hanging="480" w:left="480"/>
        <w:rPr>
          <w:color w:val="000000"/>
        </w:rPr>
      </w:pPr>
      <w:r>
        <w:rPr>
          <w:rFonts w:eastAsia="Arial" w:cs="Arial"/>
          <w:b/>
          <w:bCs/>
          <w:color w:val="000000"/>
          <w:sz w:val="20"/>
          <w:szCs w:val="20"/>
        </w:rPr>
        <w:t xml:space="preserve">[4] </w:t>
      </w:r>
      <w:r>
        <w:rPr>
          <w:rFonts w:eastAsia="Arial" w:cs="Arial"/>
          <w:color w:val="000000"/>
          <w:sz w:val="20"/>
          <w:szCs w:val="20"/>
        </w:rPr>
        <w:t xml:space="preserve">Lehmann BD, Bauer JA, Chen X, et al.. </w:t>
      </w:r>
      <w:r>
        <w:rPr>
          <w:rFonts w:eastAsia="Arial" w:cs="Arial"/>
          <w:i/>
          <w:iCs/>
          <w:color w:val="000000"/>
          <w:sz w:val="20"/>
          <w:szCs w:val="20"/>
        </w:rPr>
        <w:t xml:space="preserve">"Identification of human triple-negative breast cancer subtypes and preclinical models for selection of targeted therapies." </w:t>
      </w:r>
      <w:r>
        <w:rPr>
          <w:rFonts w:eastAsia="Arial" w:cs="Arial"/>
          <w:color w:val="000000"/>
          <w:sz w:val="20"/>
          <w:szCs w:val="20"/>
        </w:rPr>
        <w:t xml:space="preserve">Journal of Clinical Investigation (2011). </w:t>
      </w:r>
      <w:r>
        <w:rPr>
          <w:rFonts w:eastAsia="Arial" w:cs="Arial"/>
          <w:color w:val="000000"/>
          <w:sz w:val="20"/>
          <w:szCs w:val="20"/>
        </w:rPr>
        <w:t>doi:10.1172/JCI45014</w:t>
      </w:r>
    </w:p>
    <w:p>
      <w:pPr>
        <w:pStyle w:val="Normal"/>
        <w:spacing w:before="60" w:after="60"/>
        <w:ind w:hanging="480" w:left="480"/>
        <w:rPr>
          <w:color w:val="000000"/>
        </w:rPr>
      </w:pPr>
      <w:r>
        <w:rPr>
          <w:rFonts w:eastAsia="Arial" w:cs="Arial"/>
          <w:b/>
          <w:bCs/>
          <w:color w:val="000000"/>
          <w:sz w:val="20"/>
          <w:szCs w:val="20"/>
        </w:rPr>
        <w:t xml:space="preserve">[5] </w:t>
      </w:r>
      <w:r>
        <w:rPr>
          <w:rFonts w:eastAsia="Arial" w:cs="Arial"/>
          <w:color w:val="000000"/>
          <w:sz w:val="20"/>
          <w:szCs w:val="20"/>
        </w:rPr>
        <w:t xml:space="preserve">Jaradat SK, Ayoub NM, Al Sharie AH, Aldaod JM.. </w:t>
      </w:r>
      <w:r>
        <w:rPr>
          <w:rFonts w:eastAsia="Arial" w:cs="Arial"/>
          <w:i/>
          <w:iCs/>
          <w:color w:val="000000"/>
          <w:sz w:val="20"/>
          <w:szCs w:val="20"/>
        </w:rPr>
        <w:t xml:space="preserve">"Targeting Receptor Tyrosine Kinases as a Novel Strategy for the Treatment of Triple-Negative Breast Cancer." </w:t>
      </w:r>
      <w:r>
        <w:rPr>
          <w:rFonts w:eastAsia="Arial" w:cs="Arial"/>
          <w:color w:val="000000"/>
          <w:sz w:val="20"/>
          <w:szCs w:val="20"/>
        </w:rPr>
        <w:t xml:space="preserve">Technology in Cancer Research &amp; Treatment (2024). </w:t>
      </w:r>
      <w:r>
        <w:rPr>
          <w:rFonts w:eastAsia="Arial" w:cs="Arial"/>
          <w:color w:val="000000"/>
          <w:sz w:val="20"/>
          <w:szCs w:val="20"/>
        </w:rPr>
        <w:t>doi:10.1177/15330338241234780</w:t>
      </w:r>
    </w:p>
    <w:p>
      <w:pPr>
        <w:pStyle w:val="Normal"/>
        <w:spacing w:before="60" w:after="60"/>
        <w:ind w:hanging="480" w:left="480"/>
        <w:rPr>
          <w:color w:val="000000"/>
        </w:rPr>
      </w:pPr>
      <w:r>
        <w:rPr>
          <w:rFonts w:eastAsia="Arial" w:cs="Arial"/>
          <w:b/>
          <w:bCs/>
          <w:color w:val="000000"/>
          <w:sz w:val="20"/>
          <w:szCs w:val="20"/>
        </w:rPr>
        <w:t xml:space="preserve">[6] </w:t>
      </w:r>
      <w:r>
        <w:rPr>
          <w:rFonts w:eastAsia="Arial" w:cs="Arial"/>
          <w:color w:val="000000"/>
          <w:sz w:val="20"/>
          <w:szCs w:val="20"/>
        </w:rPr>
        <w:t xml:space="preserve">Masuda H, Zhang D, Bartholomeusz C, Doihara H, Hortobagyi GN, Ueno NT.. </w:t>
      </w:r>
      <w:r>
        <w:rPr>
          <w:rFonts w:eastAsia="Arial" w:cs="Arial"/>
          <w:i/>
          <w:iCs/>
          <w:color w:val="000000"/>
          <w:sz w:val="20"/>
          <w:szCs w:val="20"/>
        </w:rPr>
        <w:t xml:space="preserve">"Role of epidermal growth factor receptor in breast cancer." </w:t>
      </w:r>
      <w:r>
        <w:rPr>
          <w:rFonts w:eastAsia="Arial" w:cs="Arial"/>
          <w:color w:val="000000"/>
          <w:sz w:val="20"/>
          <w:szCs w:val="20"/>
        </w:rPr>
        <w:t xml:space="preserve">Breast Cancer Research and Treatment (2012). </w:t>
      </w:r>
      <w:r>
        <w:rPr>
          <w:rFonts w:eastAsia="Arial" w:cs="Arial"/>
          <w:color w:val="000000"/>
          <w:sz w:val="20"/>
          <w:szCs w:val="20"/>
        </w:rPr>
        <w:t>doi:10.1007/s10549-012-2047-9</w:t>
      </w:r>
    </w:p>
    <w:p>
      <w:pPr>
        <w:pStyle w:val="Normal"/>
        <w:spacing w:before="60" w:after="60"/>
        <w:ind w:hanging="480" w:left="480"/>
        <w:rPr>
          <w:color w:val="000000"/>
        </w:rPr>
      </w:pPr>
      <w:r>
        <w:rPr>
          <w:rFonts w:eastAsia="Arial" w:cs="Arial"/>
          <w:b/>
          <w:bCs/>
          <w:color w:val="000000"/>
          <w:sz w:val="20"/>
          <w:szCs w:val="20"/>
        </w:rPr>
        <w:t xml:space="preserve">[7] </w:t>
      </w:r>
      <w:r>
        <w:rPr>
          <w:rFonts w:eastAsia="Arial" w:cs="Arial"/>
          <w:color w:val="000000"/>
          <w:sz w:val="20"/>
          <w:szCs w:val="20"/>
        </w:rPr>
        <w:t xml:space="preserve">Huang J, Chen M, Xu ES, et al.. </w:t>
      </w:r>
      <w:r>
        <w:rPr>
          <w:rFonts w:eastAsia="Arial" w:cs="Arial"/>
          <w:i/>
          <w:iCs/>
          <w:color w:val="000000"/>
          <w:sz w:val="20"/>
          <w:szCs w:val="20"/>
        </w:rPr>
        <w:t xml:space="preserve">"Targeting FGFR overcomes EMT-mediated resistance in EGFR mutant non-small cell lung cancer." </w:t>
      </w:r>
      <w:r>
        <w:rPr>
          <w:rFonts w:eastAsia="Arial" w:cs="Arial"/>
          <w:color w:val="000000"/>
          <w:sz w:val="20"/>
          <w:szCs w:val="20"/>
        </w:rPr>
        <w:t xml:space="preserve">Oncogene (2020). </w:t>
      </w:r>
      <w:r>
        <w:rPr>
          <w:rFonts w:eastAsia="Arial" w:cs="Arial"/>
          <w:color w:val="000000"/>
          <w:sz w:val="20"/>
          <w:szCs w:val="20"/>
        </w:rPr>
        <w:t>doi:10.1038/s41388-019-1024-z</w:t>
      </w:r>
    </w:p>
    <w:p>
      <w:pPr>
        <w:pStyle w:val="Normal"/>
        <w:spacing w:before="60" w:after="60"/>
        <w:ind w:hanging="480" w:left="480"/>
        <w:rPr>
          <w:color w:val="000000"/>
        </w:rPr>
      </w:pPr>
      <w:r>
        <w:rPr>
          <w:rFonts w:eastAsia="Arial" w:cs="Arial"/>
          <w:b/>
          <w:bCs/>
          <w:color w:val="000000"/>
          <w:sz w:val="20"/>
          <w:szCs w:val="20"/>
        </w:rPr>
        <w:t xml:space="preserve">[8] </w:t>
      </w:r>
      <w:r>
        <w:rPr>
          <w:rFonts w:eastAsia="Arial" w:cs="Arial"/>
          <w:color w:val="000000"/>
          <w:sz w:val="20"/>
          <w:szCs w:val="20"/>
        </w:rPr>
        <w:t xml:space="preserve">Finn RS, Bengala C, Ibrahim N, et al.. </w:t>
      </w:r>
      <w:r>
        <w:rPr>
          <w:rFonts w:eastAsia="Arial" w:cs="Arial"/>
          <w:i/>
          <w:iCs/>
          <w:color w:val="000000"/>
          <w:sz w:val="20"/>
          <w:szCs w:val="20"/>
        </w:rPr>
        <w:t xml:space="preserve">"Dasatinib as a Single Agent in Triple-Negative Breast Cancer: Results of an Open-Label Phase 2 Study." </w:t>
      </w:r>
      <w:r>
        <w:rPr>
          <w:rFonts w:eastAsia="Arial" w:cs="Arial"/>
          <w:color w:val="000000"/>
          <w:sz w:val="20"/>
          <w:szCs w:val="20"/>
        </w:rPr>
        <w:t xml:space="preserve">Clinical Cancer Research (2011). </w:t>
      </w:r>
      <w:r>
        <w:rPr>
          <w:rFonts w:eastAsia="Arial" w:cs="Arial"/>
          <w:color w:val="000000"/>
          <w:sz w:val="20"/>
          <w:szCs w:val="20"/>
        </w:rPr>
        <w:t>doi:10.1158/1078-0432.CCR-11-0288</w:t>
      </w:r>
    </w:p>
    <w:p>
      <w:pPr>
        <w:pStyle w:val="Normal"/>
        <w:spacing w:before="60" w:after="60"/>
        <w:ind w:hanging="480" w:left="480"/>
        <w:rPr>
          <w:color w:val="000000"/>
        </w:rPr>
      </w:pPr>
      <w:r>
        <w:rPr>
          <w:rFonts w:eastAsia="Arial" w:cs="Arial"/>
          <w:b/>
          <w:bCs/>
          <w:color w:val="000000"/>
          <w:sz w:val="20"/>
          <w:szCs w:val="20"/>
        </w:rPr>
        <w:t xml:space="preserve">[9] </w:t>
      </w:r>
      <w:r>
        <w:rPr>
          <w:rFonts w:eastAsia="Arial" w:cs="Arial"/>
          <w:color w:val="000000"/>
          <w:sz w:val="20"/>
          <w:szCs w:val="20"/>
        </w:rPr>
        <w:t xml:space="preserve">Fallahi P, Ferrari SM, Elia G, et al.. </w:t>
      </w:r>
      <w:r>
        <w:rPr>
          <w:rFonts w:eastAsia="Arial" w:cs="Arial"/>
          <w:i/>
          <w:iCs/>
          <w:color w:val="000000"/>
          <w:sz w:val="20"/>
          <w:szCs w:val="20"/>
        </w:rPr>
        <w:t xml:space="preserve">"SRC inhibitors in the treatment of metastatic breast cancer: What new?." </w:t>
      </w:r>
      <w:r>
        <w:rPr>
          <w:rFonts w:eastAsia="Arial" w:cs="Arial"/>
          <w:color w:val="000000"/>
          <w:sz w:val="20"/>
          <w:szCs w:val="20"/>
        </w:rPr>
        <w:t xml:space="preserve">Current Medicinal Chemistry (2021). </w:t>
      </w:r>
      <w:r>
        <w:rPr>
          <w:rFonts w:eastAsia="Arial" w:cs="Arial"/>
          <w:color w:val="000000"/>
          <w:sz w:val="20"/>
          <w:szCs w:val="20"/>
        </w:rPr>
        <w:t>doi:10.2174/0929867327666200514075558</w:t>
      </w:r>
    </w:p>
    <w:p>
      <w:pPr>
        <w:pStyle w:val="Normal"/>
        <w:spacing w:before="60" w:after="60"/>
        <w:ind w:hanging="480" w:left="480"/>
        <w:rPr>
          <w:color w:val="000000"/>
        </w:rPr>
      </w:pPr>
      <w:r>
        <w:rPr>
          <w:rFonts w:eastAsia="Arial" w:cs="Arial"/>
          <w:b/>
          <w:bCs/>
          <w:color w:val="000000"/>
          <w:sz w:val="20"/>
          <w:szCs w:val="20"/>
        </w:rPr>
        <w:t xml:space="preserve">[10] </w:t>
      </w:r>
      <w:r>
        <w:rPr>
          <w:rFonts w:eastAsia="Arial" w:cs="Arial"/>
          <w:color w:val="000000"/>
          <w:sz w:val="20"/>
          <w:szCs w:val="20"/>
        </w:rPr>
        <w:t xml:space="preserve">Shattuck DL, Miller JK, Carraway KL, Sweeney C.. </w:t>
      </w:r>
      <w:r>
        <w:rPr>
          <w:rFonts w:eastAsia="Arial" w:cs="Arial"/>
          <w:i/>
          <w:iCs/>
          <w:color w:val="000000"/>
          <w:sz w:val="20"/>
          <w:szCs w:val="20"/>
        </w:rPr>
        <w:t xml:space="preserve">"Met receptor contributes to trastuzumab resistance of Her2-overexpressing breast cancer cells." </w:t>
      </w:r>
      <w:r>
        <w:rPr>
          <w:rFonts w:eastAsia="Arial" w:cs="Arial"/>
          <w:color w:val="000000"/>
          <w:sz w:val="20"/>
          <w:szCs w:val="20"/>
        </w:rPr>
        <w:t xml:space="preserve">Cancer Research (2008). </w:t>
      </w:r>
      <w:r>
        <w:rPr>
          <w:rFonts w:eastAsia="Arial" w:cs="Arial"/>
          <w:color w:val="000000"/>
          <w:sz w:val="20"/>
          <w:szCs w:val="20"/>
        </w:rPr>
        <w:t>doi:10.1158/0008-5472.CAN-07-5962</w:t>
      </w:r>
    </w:p>
    <w:p>
      <w:pPr>
        <w:pStyle w:val="Normal"/>
        <w:spacing w:before="60" w:after="60"/>
        <w:ind w:hanging="480" w:left="480"/>
        <w:rPr>
          <w:color w:val="000000"/>
        </w:rPr>
      </w:pPr>
      <w:r>
        <w:rPr>
          <w:rFonts w:eastAsia="Arial" w:cs="Arial"/>
          <w:b/>
          <w:bCs/>
          <w:color w:val="000000"/>
          <w:sz w:val="20"/>
          <w:szCs w:val="20"/>
        </w:rPr>
        <w:t xml:space="preserve">[11] </w:t>
      </w:r>
      <w:r>
        <w:rPr>
          <w:rFonts w:eastAsia="Arial" w:cs="Arial"/>
          <w:color w:val="000000"/>
          <w:sz w:val="20"/>
          <w:szCs w:val="20"/>
        </w:rPr>
        <w:t xml:space="preserve">Wu Y et al.. </w:t>
      </w:r>
      <w:r>
        <w:rPr>
          <w:rFonts w:eastAsia="Arial" w:cs="Arial"/>
          <w:i/>
          <w:iCs/>
          <w:color w:val="000000"/>
          <w:sz w:val="20"/>
          <w:szCs w:val="20"/>
        </w:rPr>
        <w:t xml:space="preserve">"Therapies targeting triple-negative breast cancer: a perspective on anti-FGFR." </w:t>
      </w:r>
      <w:r>
        <w:rPr>
          <w:rFonts w:eastAsia="Arial" w:cs="Arial"/>
          <w:color w:val="000000"/>
          <w:sz w:val="20"/>
          <w:szCs w:val="20"/>
        </w:rPr>
        <w:t xml:space="preserve">Frontiers in Oncology (2024). </w:t>
      </w:r>
      <w:r>
        <w:rPr>
          <w:rFonts w:eastAsia="Arial" w:cs="Arial"/>
          <w:color w:val="000000"/>
          <w:sz w:val="20"/>
          <w:szCs w:val="20"/>
        </w:rPr>
        <w:t>doi:10.3389/fonc.2024.1415820</w:t>
      </w:r>
    </w:p>
    <w:p>
      <w:pPr>
        <w:pStyle w:val="Normal"/>
        <w:spacing w:before="60" w:after="60"/>
        <w:ind w:hanging="480" w:left="480"/>
        <w:rPr>
          <w:color w:val="000000"/>
        </w:rPr>
      </w:pPr>
      <w:r>
        <w:rPr>
          <w:rFonts w:eastAsia="Arial" w:cs="Arial"/>
          <w:b/>
          <w:bCs/>
          <w:color w:val="000000"/>
          <w:sz w:val="20"/>
          <w:szCs w:val="20"/>
        </w:rPr>
        <w:t xml:space="preserve">[12] </w:t>
      </w:r>
      <w:r>
        <w:rPr>
          <w:rFonts w:eastAsia="Arial" w:cs="Arial"/>
          <w:color w:val="000000"/>
          <w:sz w:val="20"/>
          <w:szCs w:val="20"/>
        </w:rPr>
        <w:t xml:space="preserve">Wolf J, Seto T, Han J-Y, et al.. </w:t>
      </w:r>
      <w:r>
        <w:rPr>
          <w:rFonts w:eastAsia="Arial" w:cs="Arial"/>
          <w:i/>
          <w:iCs/>
          <w:color w:val="000000"/>
          <w:sz w:val="20"/>
          <w:szCs w:val="20"/>
        </w:rPr>
        <w:t xml:space="preserve">"Capmatinib in MET Exon 14-Mutated or MET-Amplified Non-Small-Cell Lung Cancer." </w:t>
      </w:r>
      <w:r>
        <w:rPr>
          <w:rFonts w:eastAsia="Arial" w:cs="Arial"/>
          <w:color w:val="000000"/>
          <w:sz w:val="20"/>
          <w:szCs w:val="20"/>
        </w:rPr>
        <w:t xml:space="preserve">New England Journal of Medicine (2020). </w:t>
      </w:r>
      <w:r>
        <w:rPr>
          <w:rFonts w:eastAsia="Arial" w:cs="Arial"/>
          <w:color w:val="000000"/>
          <w:sz w:val="20"/>
          <w:szCs w:val="20"/>
        </w:rPr>
        <w:t>doi:10.1056/NEJMoa2002787</w:t>
      </w:r>
    </w:p>
    <w:p>
      <w:pPr>
        <w:pStyle w:val="Normal"/>
        <w:spacing w:before="60" w:after="60"/>
        <w:ind w:hanging="480" w:left="480"/>
        <w:rPr>
          <w:color w:val="000000"/>
        </w:rPr>
      </w:pPr>
      <w:r>
        <w:rPr>
          <w:rFonts w:eastAsia="Arial" w:cs="Arial"/>
          <w:b/>
          <w:bCs/>
          <w:color w:val="000000"/>
          <w:sz w:val="20"/>
          <w:szCs w:val="20"/>
        </w:rPr>
        <w:t xml:space="preserve">[13] </w:t>
      </w:r>
      <w:r>
        <w:rPr>
          <w:rFonts w:eastAsia="Arial" w:cs="Arial"/>
          <w:color w:val="000000"/>
          <w:sz w:val="20"/>
          <w:szCs w:val="20"/>
        </w:rPr>
        <w:t xml:space="preserve">Tung NM et al.. </w:t>
      </w:r>
      <w:r>
        <w:rPr>
          <w:rFonts w:eastAsia="Arial" w:cs="Arial"/>
          <w:i/>
          <w:iCs/>
          <w:color w:val="000000"/>
          <w:sz w:val="20"/>
          <w:szCs w:val="20"/>
        </w:rPr>
        <w:t xml:space="preserve">"Targeting RTKs/nRTKs as promising therapeutic strategies for treatment of triple-negative breast cancer: evidence from clinical trials." </w:t>
      </w:r>
      <w:r>
        <w:rPr>
          <w:rFonts w:eastAsia="Arial" w:cs="Arial"/>
          <w:color w:val="000000"/>
          <w:sz w:val="20"/>
          <w:szCs w:val="20"/>
        </w:rPr>
        <w:t xml:space="preserve">Military Medical Research (2024). </w:t>
      </w:r>
      <w:r>
        <w:rPr>
          <w:rFonts w:eastAsia="Arial" w:cs="Arial"/>
          <w:color w:val="000000"/>
          <w:sz w:val="20"/>
          <w:szCs w:val="20"/>
        </w:rPr>
        <w:t>doi:10.1186/s40779-024-00582-z</w:t>
      </w:r>
    </w:p>
    <w:p>
      <w:pPr>
        <w:pStyle w:val="Normal"/>
        <w:spacing w:before="60" w:after="60"/>
        <w:ind w:hanging="480" w:left="480"/>
        <w:rPr>
          <w:color w:val="000000"/>
        </w:rPr>
      </w:pPr>
      <w:r>
        <w:rPr>
          <w:rFonts w:eastAsia="Arial" w:cs="Arial"/>
          <w:b/>
          <w:bCs/>
          <w:color w:val="000000"/>
          <w:sz w:val="20"/>
          <w:szCs w:val="20"/>
        </w:rPr>
        <w:t xml:space="preserve">[14] </w:t>
      </w:r>
      <w:r>
        <w:rPr>
          <w:rFonts w:eastAsia="Arial" w:cs="Arial"/>
          <w:color w:val="000000"/>
          <w:sz w:val="20"/>
          <w:szCs w:val="20"/>
        </w:rPr>
        <w:t xml:space="preserve">Xie W, Wang Y, Zheng Z, et al.. </w:t>
      </w:r>
      <w:r>
        <w:rPr>
          <w:rFonts w:eastAsia="Arial" w:cs="Arial"/>
          <w:i/>
          <w:iCs/>
          <w:color w:val="000000"/>
          <w:sz w:val="20"/>
          <w:szCs w:val="20"/>
        </w:rPr>
        <w:t xml:space="preserve">"Multi-targeted kinase inhibition alleviates mTOR inhibitor resistance in triple-negative breast cancer." </w:t>
      </w:r>
      <w:r>
        <w:rPr>
          <w:rFonts w:eastAsia="Arial" w:cs="Arial"/>
          <w:color w:val="000000"/>
          <w:sz w:val="20"/>
          <w:szCs w:val="20"/>
        </w:rPr>
        <w:t xml:space="preserve">Journal of Experimental &amp; Clinical Cancer Research (2019). </w:t>
      </w:r>
      <w:r>
        <w:rPr>
          <w:rFonts w:eastAsia="Arial" w:cs="Arial"/>
          <w:color w:val="000000"/>
          <w:sz w:val="20"/>
          <w:szCs w:val="20"/>
        </w:rPr>
        <w:t>doi:10.1186/s13046-019-1404-8</w:t>
      </w:r>
    </w:p>
    <w:p>
      <w:pPr>
        <w:pStyle w:val="Normal"/>
        <w:spacing w:before="60" w:after="60"/>
        <w:ind w:hanging="480" w:left="480"/>
        <w:rPr>
          <w:color w:val="000000"/>
        </w:rPr>
      </w:pPr>
      <w:r>
        <w:rPr>
          <w:rFonts w:eastAsia="Arial" w:cs="Arial"/>
          <w:b/>
          <w:bCs/>
          <w:color w:val="000000"/>
          <w:sz w:val="20"/>
          <w:szCs w:val="20"/>
        </w:rPr>
        <w:t xml:space="preserve">[15] </w:t>
      </w:r>
      <w:r>
        <w:rPr>
          <w:rFonts w:eastAsia="Arial" w:cs="Arial"/>
          <w:color w:val="000000"/>
          <w:sz w:val="20"/>
          <w:szCs w:val="20"/>
        </w:rPr>
        <w:t xml:space="preserve">Truhn D, Reis-Filho JS, Kather JN.. </w:t>
      </w:r>
      <w:r>
        <w:rPr>
          <w:rFonts w:eastAsia="Arial" w:cs="Arial"/>
          <w:i/>
          <w:iCs/>
          <w:color w:val="000000"/>
          <w:sz w:val="20"/>
          <w:szCs w:val="20"/>
        </w:rPr>
        <w:t xml:space="preserve">"Large language models should be used as scientific reasoning engines, not knowledge databases." </w:t>
      </w:r>
      <w:r>
        <w:rPr>
          <w:rFonts w:eastAsia="Arial" w:cs="Arial"/>
          <w:color w:val="000000"/>
          <w:sz w:val="20"/>
          <w:szCs w:val="20"/>
        </w:rPr>
        <w:t xml:space="preserve">Nature Medicine (2023). </w:t>
      </w:r>
      <w:r>
        <w:rPr>
          <w:rFonts w:eastAsia="Arial" w:cs="Arial"/>
          <w:color w:val="000000"/>
          <w:sz w:val="20"/>
          <w:szCs w:val="20"/>
        </w:rPr>
        <w:t>doi:10.1038/s41591-023-02594-z</w:t>
      </w:r>
    </w:p>
    <w:p>
      <w:pPr>
        <w:pStyle w:val="Normal"/>
        <w:spacing w:before="60" w:after="60"/>
        <w:ind w:hanging="480" w:left="480"/>
        <w:rPr>
          <w:color w:val="000000"/>
        </w:rPr>
      </w:pPr>
      <w:r>
        <w:rPr>
          <w:rFonts w:eastAsia="Arial" w:cs="Arial"/>
          <w:b/>
          <w:bCs/>
          <w:color w:val="000000"/>
          <w:sz w:val="20"/>
          <w:szCs w:val="20"/>
        </w:rPr>
        <w:t xml:space="preserve">[16] </w:t>
      </w:r>
      <w:r>
        <w:rPr>
          <w:rFonts w:eastAsia="Arial" w:cs="Arial"/>
          <w:color w:val="000000"/>
          <w:sz w:val="20"/>
          <w:szCs w:val="20"/>
        </w:rPr>
        <w:t xml:space="preserve">Mock A, Teleanu MV, Kreutzfeldt S, et al.. </w:t>
      </w:r>
      <w:r>
        <w:rPr>
          <w:rFonts w:eastAsia="Arial" w:cs="Arial"/>
          <w:i/>
          <w:iCs/>
          <w:color w:val="000000"/>
          <w:sz w:val="20"/>
          <w:szCs w:val="20"/>
        </w:rPr>
        <w:t xml:space="preserve">"Expert-Guided Large Language Models for Clinical Decision Support in Precision Oncology." </w:t>
      </w:r>
      <w:r>
        <w:rPr>
          <w:rFonts w:eastAsia="Arial" w:cs="Arial"/>
          <w:color w:val="000000"/>
          <w:sz w:val="20"/>
          <w:szCs w:val="20"/>
        </w:rPr>
        <w:t xml:space="preserve">JCO Precision Oncology (2024). </w:t>
      </w:r>
      <w:r>
        <w:rPr>
          <w:rFonts w:eastAsia="Arial" w:cs="Arial"/>
          <w:color w:val="000000"/>
          <w:sz w:val="20"/>
          <w:szCs w:val="20"/>
        </w:rPr>
        <w:t>doi:10.1200/PO-24-00478</w:t>
      </w:r>
    </w:p>
    <w:p>
      <w:pPr>
        <w:pStyle w:val="Normal"/>
        <w:spacing w:before="60" w:after="60"/>
        <w:ind w:hanging="480" w:left="480"/>
        <w:rPr>
          <w:color w:val="000000"/>
        </w:rPr>
      </w:pPr>
      <w:r>
        <w:rPr>
          <w:rFonts w:eastAsia="Arial" w:cs="Arial"/>
          <w:b/>
          <w:bCs/>
          <w:color w:val="000000"/>
          <w:sz w:val="20"/>
          <w:szCs w:val="20"/>
        </w:rPr>
        <w:t xml:space="preserve">[17] </w:t>
      </w:r>
      <w:r>
        <w:rPr>
          <w:rFonts w:eastAsia="Arial" w:cs="Arial"/>
          <w:color w:val="000000"/>
          <w:sz w:val="20"/>
          <w:szCs w:val="20"/>
        </w:rPr>
        <w:t xml:space="preserve">Benary M, Wang XD, Schmidt M, et al.. </w:t>
      </w:r>
      <w:r>
        <w:rPr>
          <w:rFonts w:eastAsia="Arial" w:cs="Arial"/>
          <w:i/>
          <w:iCs/>
          <w:color w:val="000000"/>
          <w:sz w:val="20"/>
          <w:szCs w:val="20"/>
        </w:rPr>
        <w:t xml:space="preserve">"Leveraging large language models for decision support in personalized oncology." </w:t>
      </w:r>
      <w:r>
        <w:rPr>
          <w:rFonts w:eastAsia="Arial" w:cs="Arial"/>
          <w:color w:val="000000"/>
          <w:sz w:val="20"/>
          <w:szCs w:val="20"/>
        </w:rPr>
        <w:t xml:space="preserve">JAMA Network Open (2023). </w:t>
      </w:r>
      <w:r>
        <w:rPr>
          <w:rFonts w:eastAsia="Arial" w:cs="Arial"/>
          <w:color w:val="000000"/>
          <w:sz w:val="20"/>
          <w:szCs w:val="20"/>
        </w:rPr>
        <w:t>doi:10.1001/jamanetworkopen.2023.43689</w:t>
      </w:r>
    </w:p>
    <w:p>
      <w:pPr>
        <w:pStyle w:val="Normal"/>
        <w:spacing w:before="60" w:after="60"/>
        <w:ind w:hanging="480" w:left="480"/>
        <w:rPr>
          <w:color w:val="000000"/>
        </w:rPr>
      </w:pPr>
      <w:r>
        <w:rPr>
          <w:rFonts w:eastAsia="Arial" w:cs="Arial"/>
          <w:b/>
          <w:bCs/>
          <w:color w:val="000000"/>
          <w:sz w:val="20"/>
          <w:szCs w:val="20"/>
        </w:rPr>
        <w:t xml:space="preserve">[18] </w:t>
      </w:r>
      <w:r>
        <w:rPr>
          <w:rFonts w:eastAsia="Arial" w:cs="Arial"/>
          <w:color w:val="000000"/>
          <w:sz w:val="20"/>
          <w:szCs w:val="20"/>
        </w:rPr>
        <w:t xml:space="preserve">Yang M, et al.. </w:t>
      </w:r>
      <w:r>
        <w:rPr>
          <w:rFonts w:eastAsia="Arial" w:cs="Arial"/>
          <w:i/>
          <w:iCs/>
          <w:color w:val="000000"/>
          <w:sz w:val="20"/>
          <w:szCs w:val="20"/>
        </w:rPr>
        <w:t xml:space="preserve">"Large Language Model Agents for Biomedicine: A Comprehensive Review of Methods, Evaluations, Challenges, and Future Directions." </w:t>
      </w:r>
      <w:r>
        <w:rPr>
          <w:rFonts w:eastAsia="Arial" w:cs="Arial"/>
          <w:color w:val="000000"/>
          <w:sz w:val="20"/>
          <w:szCs w:val="20"/>
        </w:rPr>
        <w:t xml:space="preserve">Information (MDPI) (2025). </w:t>
      </w:r>
      <w:r>
        <w:rPr>
          <w:rFonts w:eastAsia="Arial" w:cs="Arial"/>
          <w:color w:val="000000"/>
          <w:sz w:val="20"/>
          <w:szCs w:val="20"/>
        </w:rPr>
        <w:t>doi:10.3390/info16100894</w:t>
      </w:r>
    </w:p>
    <w:p>
      <w:pPr>
        <w:pStyle w:val="Normal"/>
        <w:spacing w:before="60" w:after="60"/>
        <w:ind w:hanging="480" w:left="480"/>
        <w:rPr>
          <w:color w:val="000000"/>
        </w:rPr>
      </w:pPr>
      <w:r>
        <w:rPr>
          <w:rFonts w:eastAsia="Arial" w:cs="Arial"/>
          <w:b/>
          <w:bCs/>
          <w:color w:val="000000"/>
          <w:sz w:val="20"/>
          <w:szCs w:val="20"/>
        </w:rPr>
        <w:t xml:space="preserve">[19] </w:t>
      </w:r>
      <w:r>
        <w:rPr>
          <w:rFonts w:eastAsia="Arial" w:cs="Arial"/>
          <w:color w:val="000000"/>
          <w:sz w:val="20"/>
          <w:szCs w:val="20"/>
        </w:rPr>
        <w:t xml:space="preserve">Liu X et al.. </w:t>
      </w:r>
      <w:r>
        <w:rPr>
          <w:rFonts w:eastAsia="Arial" w:cs="Arial"/>
          <w:i/>
          <w:iCs/>
          <w:color w:val="000000"/>
          <w:sz w:val="20"/>
          <w:szCs w:val="20"/>
        </w:rPr>
        <w:t xml:space="preserve">"Development and evaluation of large-language models (LLMs) in oncology: A scoping review." </w:t>
      </w:r>
      <w:r>
        <w:rPr>
          <w:rFonts w:eastAsia="Arial" w:cs="Arial"/>
          <w:color w:val="000000"/>
          <w:sz w:val="20"/>
          <w:szCs w:val="20"/>
        </w:rPr>
        <w:t xml:space="preserve">PLOS One (2024). </w:t>
      </w:r>
      <w:r>
        <w:rPr>
          <w:rFonts w:eastAsia="Arial" w:cs="Arial"/>
          <w:color w:val="000000"/>
          <w:sz w:val="20"/>
          <w:szCs w:val="20"/>
        </w:rPr>
        <w:t>doi:10.1371/journal.pone.0312067</w:t>
      </w:r>
    </w:p>
    <w:p>
      <w:pPr>
        <w:pStyle w:val="Normal"/>
        <w:spacing w:before="60" w:after="60"/>
        <w:ind w:hanging="480" w:left="480"/>
        <w:rPr>
          <w:color w:val="000000"/>
        </w:rPr>
      </w:pPr>
      <w:r>
        <w:rPr>
          <w:rFonts w:eastAsia="Arial" w:cs="Arial"/>
          <w:b/>
          <w:bCs/>
          <w:color w:val="000000"/>
          <w:sz w:val="20"/>
          <w:szCs w:val="20"/>
        </w:rPr>
        <w:t xml:space="preserve">[20] </w:t>
      </w:r>
      <w:r>
        <w:rPr>
          <w:rFonts w:eastAsia="Arial" w:cs="Arial"/>
          <w:color w:val="000000"/>
          <w:sz w:val="20"/>
          <w:szCs w:val="20"/>
        </w:rPr>
        <w:t xml:space="preserve">Sorin V, Glicksberg BS, et al.. </w:t>
      </w:r>
      <w:r>
        <w:rPr>
          <w:rFonts w:eastAsia="Arial" w:cs="Arial"/>
          <w:i/>
          <w:iCs/>
          <w:color w:val="000000"/>
          <w:sz w:val="20"/>
          <w:szCs w:val="20"/>
        </w:rPr>
        <w:t xml:space="preserve">"Applications of Large Language Models (LLMs) in Breast Cancer Care." </w:t>
      </w:r>
      <w:r>
        <w:rPr>
          <w:rFonts w:eastAsia="Arial" w:cs="Arial"/>
          <w:color w:val="000000"/>
          <w:sz w:val="20"/>
          <w:szCs w:val="20"/>
        </w:rPr>
        <w:t xml:space="preserve">npj Digital Medicine / Oncology (2024). </w:t>
      </w:r>
      <w:r>
        <w:rPr>
          <w:rFonts w:eastAsia="Arial" w:cs="Arial"/>
          <w:color w:val="000000"/>
          <w:sz w:val="20"/>
          <w:szCs w:val="20"/>
        </w:rPr>
        <w:t>doi:10.1038/s41698-024-00625-3</w:t>
      </w:r>
    </w:p>
    <w:p>
      <w:pPr>
        <w:pStyle w:val="Normal"/>
        <w:spacing w:before="60" w:after="60"/>
        <w:ind w:hanging="480" w:left="480"/>
        <w:rPr>
          <w:color w:val="000000"/>
        </w:rPr>
      </w:pPr>
      <w:r>
        <w:rPr>
          <w:rFonts w:eastAsia="Arial" w:cs="Arial"/>
          <w:b/>
          <w:bCs/>
          <w:color w:val="000000"/>
          <w:sz w:val="20"/>
          <w:szCs w:val="20"/>
        </w:rPr>
        <w:t xml:space="preserve">[21] </w:t>
      </w:r>
      <w:r>
        <w:rPr>
          <w:rFonts w:eastAsia="Arial" w:cs="Arial"/>
          <w:color w:val="000000"/>
          <w:sz w:val="20"/>
          <w:szCs w:val="20"/>
        </w:rPr>
        <w:t xml:space="preserve">Huang H et al.. </w:t>
      </w:r>
      <w:r>
        <w:rPr>
          <w:rFonts w:eastAsia="Arial" w:cs="Arial"/>
          <w:i/>
          <w:iCs/>
          <w:color w:val="000000"/>
          <w:sz w:val="20"/>
          <w:szCs w:val="20"/>
        </w:rPr>
        <w:t xml:space="preserve">"Bridging artificial intelligence and biological sciences: a comprehensive review of large language models in bioinformatics." </w:t>
      </w:r>
      <w:r>
        <w:rPr>
          <w:rFonts w:eastAsia="Arial" w:cs="Arial"/>
          <w:color w:val="000000"/>
          <w:sz w:val="20"/>
          <w:szCs w:val="20"/>
        </w:rPr>
        <w:t xml:space="preserve">Briefings in Bioinformatics (2025). </w:t>
      </w:r>
      <w:r>
        <w:rPr>
          <w:rFonts w:eastAsia="Arial" w:cs="Arial"/>
          <w:color w:val="000000"/>
          <w:sz w:val="20"/>
          <w:szCs w:val="20"/>
        </w:rPr>
        <w:t>doi:10.1093/bib/bbaf357</w:t>
      </w:r>
    </w:p>
    <w:p>
      <w:pPr>
        <w:pStyle w:val="Normal"/>
        <w:spacing w:before="60" w:after="60"/>
        <w:ind w:hanging="480" w:left="480"/>
        <w:rPr/>
      </w:pPr>
      <w:r>
        <w:rPr>
          <w:rFonts w:eastAsia="Arial" w:cs="Arial"/>
          <w:b/>
          <w:bCs/>
          <w:color w:val="000000"/>
          <w:sz w:val="20"/>
          <w:szCs w:val="20"/>
        </w:rPr>
        <w:t xml:space="preserve">[22] </w:t>
      </w:r>
      <w:r>
        <w:rPr>
          <w:rFonts w:eastAsia="Arial" w:cs="Arial"/>
          <w:color w:val="000000"/>
          <w:sz w:val="20"/>
          <w:szCs w:val="20"/>
        </w:rPr>
        <w:t xml:space="preserve">Zhang Y et al.. </w:t>
      </w:r>
      <w:r>
        <w:rPr>
          <w:rFonts w:eastAsia="Arial" w:cs="Arial"/>
          <w:i/>
          <w:iCs/>
          <w:color w:val="000000"/>
          <w:sz w:val="20"/>
          <w:szCs w:val="20"/>
        </w:rPr>
        <w:t xml:space="preserve">"Large language model agents for biological intelligence across genomics, proteomics, spatial biology, and biomedicine." </w:t>
      </w:r>
      <w:r>
        <w:rPr>
          <w:rFonts w:eastAsia="Arial" w:cs="Arial"/>
          <w:color w:val="000000"/>
          <w:sz w:val="20"/>
          <w:szCs w:val="20"/>
        </w:rPr>
        <w:t xml:space="preserve">Briefings in Bioinformatics (2026). </w:t>
      </w:r>
      <w:hyperlink r:id="rId2">
        <w:r>
          <w:rPr>
            <w:rStyle w:val="Hyperlink"/>
            <w:rFonts w:eastAsia="Arial" w:cs="Arial"/>
            <w:color w:val="000000"/>
            <w:sz w:val="20"/>
            <w:szCs w:val="20"/>
          </w:rPr>
          <w:t>doi:10.1093/bib/bbag110</w:t>
        </w:r>
      </w:hyperlink>
      <w:r>
        <w:rPr>
          <w:rFonts w:eastAsia="Arial" w:cs="Arial"/>
          <w:color w:val="000000"/>
          <w:sz w:val="20"/>
          <w:szCs w:val="20"/>
        </w:rPr>
        <w:t xml:space="preserve"> </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260" w:right="126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roman"/>
    <w:pitch w:val="variable"/>
  </w:font>
  <w:font w:name="Courier New">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2E75B6"/>
      </w:pBdr>
      <w:tabs>
        <w:tab w:val="clear" w:pos="720"/>
        <w:tab w:val="right" w:pos="9026" w:leader="none"/>
      </w:tabs>
      <w:rPr/>
    </w:pPr>
    <w:r>
      <w:rPr>
        <w:rFonts w:eastAsia="Arial" w:cs="Arial"/>
        <w:color w:val="595959"/>
        <w:sz w:val="18"/>
        <w:szCs w:val="18"/>
      </w:rPr>
      <w:t>github.com/mtariqi/tnbc-genomics-agent</w:t>
    </w:r>
    <w:r>
      <w:rPr>
        <w:rFonts w:eastAsia="Arial" w:cs="Arial"/>
        <w:sz w:val="18"/>
        <w:szCs w:val="18"/>
      </w:rPr>
      <w:tab/>
    </w:r>
    <w:r>
      <w:rPr/>
      <w:fldChar w:fldCharType="begin"/>
    </w:r>
    <w:r>
      <w:rPr/>
      <w:instrText xml:space="preserve"> PAGE </w:instrText>
    </w:r>
    <w:r>
      <w:rPr/>
      <w:fldChar w:fldCharType="separate"/>
    </w:r>
    <w:r>
      <w:rPr/>
      <w:t>11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2E75B6"/>
      </w:pBdr>
      <w:tabs>
        <w:tab w:val="clear" w:pos="720"/>
        <w:tab w:val="right" w:pos="9026" w:leader="none"/>
      </w:tabs>
      <w:rPr/>
    </w:pPr>
    <w:r>
      <w:rPr>
        <w:rFonts w:eastAsia="Arial" w:cs="Arial"/>
        <w:color w:val="595959"/>
        <w:sz w:val="18"/>
        <w:szCs w:val="18"/>
      </w:rPr>
      <w:t>github.com/mtariqi/tnbc-genomics-agent</w:t>
    </w:r>
    <w:r>
      <w:rPr>
        <w:rFonts w:eastAsia="Arial" w:cs="Arial"/>
        <w:sz w:val="18"/>
        <w:szCs w:val="18"/>
      </w:rPr>
      <w:tab/>
    </w:r>
    <w:r>
      <w:rPr/>
      <w:fldChar w:fldCharType="begin"/>
    </w:r>
    <w:r>
      <w:rPr/>
      <w:instrText xml:space="preserve"> PAGE </w:instrText>
    </w:r>
    <w:r>
      <w:rPr/>
      <w:fldChar w:fldCharType="separate"/>
    </w:r>
    <w:r>
      <w:rPr/>
      <w:t>11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2E75B6"/>
      </w:pBdr>
      <w:tabs>
        <w:tab w:val="clear" w:pos="720"/>
        <w:tab w:val="right" w:pos="9026" w:leader="none"/>
      </w:tabs>
      <w:rPr/>
    </w:pPr>
    <w:r>
      <w:rPr>
        <w:rFonts w:eastAsia="Arial" w:cs="Arial"/>
        <w:color w:val="595959"/>
        <w:sz w:val="18"/>
        <w:szCs w:val="18"/>
      </w:rPr>
      <w:t>TNBC Genomics Agent — Research Report with Citations</w:t>
    </w:r>
    <w:r>
      <w:rPr>
        <w:rFonts w:eastAsia="Arial" w:cs="Arial"/>
        <w:sz w:val="18"/>
        <w:szCs w:val="18"/>
      </w:rPr>
      <w:tab/>
    </w:r>
    <w:r>
      <w:rPr>
        <w:rFonts w:eastAsia="Arial" w:cs="Arial"/>
        <w:color w:val="595959"/>
        <w:sz w:val="18"/>
        <w:szCs w:val="18"/>
      </w:rPr>
      <w:t>v1.0.0  |  June 2026</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2E75B6"/>
      </w:pBdr>
      <w:tabs>
        <w:tab w:val="clear" w:pos="720"/>
        <w:tab w:val="right" w:pos="9026" w:leader="none"/>
      </w:tabs>
      <w:rPr/>
    </w:pPr>
    <w:r>
      <w:rPr>
        <w:rFonts w:eastAsia="Arial" w:cs="Arial"/>
        <w:color w:val="595959"/>
        <w:sz w:val="18"/>
        <w:szCs w:val="18"/>
      </w:rPr>
      <w:t>TNBC Genomics Agent — Research Report with Citations</w:t>
    </w:r>
    <w:r>
      <w:rPr>
        <w:rFonts w:eastAsia="Arial" w:cs="Arial"/>
        <w:sz w:val="18"/>
        <w:szCs w:val="18"/>
      </w:rPr>
      <w:tab/>
    </w:r>
    <w:r>
      <w:rPr>
        <w:rFonts w:eastAsia="Arial" w:cs="Arial"/>
        <w:color w:val="595959"/>
        <w:sz w:val="18"/>
        <w:szCs w:val="18"/>
      </w:rPr>
      <w:t>v1.0.0  |  June 2026</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3"/>
    <w:lvlOverride w:ilvl="0">
      <w:startOverride w:val="1"/>
    </w:lvlOverride>
  </w:num>
  <w:num w:numId="7">
    <w:abstractNumId w:val="3"/>
  </w:num>
  <w:num w:numId="8">
    <w:abstractNumId w:val="3"/>
  </w:num>
  <w:num w:numId="9">
    <w:abstractNumId w:val="3"/>
  </w:num>
  <w:num w:numId="10">
    <w:abstractNumId w:val="4"/>
    <w:lvlOverride w:ilvl="0">
      <w:startOverride w:val="1"/>
    </w:lvlOverride>
  </w:num>
  <w:num w:numId="11">
    <w:abstractNumId w:val="4"/>
  </w:num>
  <w:num w:numId="12">
    <w:abstractNumId w:val="4"/>
  </w:num>
  <w:num w:numId="13">
    <w:abstractNumId w:val="4"/>
  </w:num>
  <w:num w:numId="14">
    <w:abstractNumId w:val="4"/>
  </w:num>
  <w:num w:numId="15">
    <w:abstractNumId w:val="4"/>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200"/>
      <w:outlineLvl w:val="0"/>
    </w:pPr>
    <w:rPr>
      <w:rFonts w:ascii="Arial" w:hAnsi="Arial" w:eastAsia="Arial" w:cs="Arial"/>
      <w:b/>
      <w:bCs/>
      <w:color w:val="1F4E79"/>
      <w:sz w:val="32"/>
      <w:szCs w:val="32"/>
    </w:rPr>
  </w:style>
  <w:style w:type="paragraph" w:styleId="Heading2">
    <w:name w:val="Heading 2"/>
    <w:basedOn w:val="Heading"/>
    <w:qFormat/>
    <w:pPr>
      <w:spacing w:before="280" w:after="140"/>
      <w:outlineLvl w:val="1"/>
    </w:pPr>
    <w:rPr>
      <w:rFonts w:ascii="Arial" w:hAnsi="Arial" w:eastAsia="Arial" w:cs="Arial"/>
      <w:b/>
      <w:bCs/>
      <w:color w:val="2E75B6"/>
      <w:sz w:val="26"/>
      <w:szCs w:val="26"/>
    </w:rPr>
  </w:style>
  <w:style w:type="paragraph" w:styleId="Heading3">
    <w:name w:val="Heading 3"/>
    <w:basedOn w:val="Heading"/>
    <w:qFormat/>
    <w:pPr>
      <w:spacing w:before="200" w:after="100"/>
      <w:outlineLvl w:val="2"/>
    </w:pPr>
    <w:rPr>
      <w:rFonts w:ascii="Arial" w:hAnsi="Arial" w:eastAsia="Arial" w:cs="Arial"/>
      <w:b/>
      <w:bCs/>
      <w:color w:val="0D6E6E"/>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i.org/10.1093/bib/bbag110"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170</TotalTime>
  <Application>LibreOffice/24.2.7.2$Linux_X86_64 LibreOffice_project/420$Build-2</Application>
  <AppVersion>15.0000</AppVersion>
  <Pages>12</Pages>
  <Words>3007</Words>
  <Characters>19678</Characters>
  <CharactersWithSpaces>22415</CharactersWithSpaces>
  <Paragraphs>282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2026-06-23T14:04:17Z</dcterms:created>
  <dc:creator>Un-named</dc:creator>
  <dc:description/>
  <dc:language>en-US</dc:language>
  <cp:lastModifiedBy/>
  <dcterms:modified xsi:type="dcterms:W3CDTF">2026-06-30T15:12:26Z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