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Methodology Report</w:t>
      </w:r>
    </w:p>
    <w:p>
      <w:pPr>
        <w:spacing w:after="40"/>
      </w:pPr>
      <w:r>
        <w:rPr>
          <w:b/>
          <w:bCs/>
          <w:color w:val="595959"/>
          <w:sz w:val="28"/>
          <w:szCs w:val="28"/>
        </w:rPr>
        <w:t xml:space="preserve">Ranking the Top-10 Drug Regimens for Patient TCGA-AO-A128</w:t>
      </w:r>
    </w:p>
    <w:p>
      <w:pPr>
        <w:pBdr>
          <w:bottom w:val="single" w:color="CCCCCC" w:sz="6" w:space="8"/>
        </w:pBdr>
        <w:spacing w:after="320"/>
      </w:pPr>
      <w:r>
        <w:rPr>
          <w:i/>
          <w:iCs/>
          <w:color w:val="595959"/>
          <w:sz w:val="22"/>
          <w:szCs w:val="22"/>
        </w:rPr>
        <w:t xml:space="preserve">MDCOE Beam Search + HCOS Scoring — Design Rationale and Results</w:t>
      </w:r>
    </w:p>
    <w:p>
      <w:pPr>
        <w:pStyle w:val="Heading1"/>
        <w:spacing w:after="160" w:before="320"/>
      </w:pPr>
      <w:r>
        <w:t xml:space="preserve">1. Purpose</w:t>
      </w:r>
    </w:p>
    <w:p>
      <w:pPr>
        <w:spacing w:after="160" w:line="300"/>
        <w:jc w:val="both"/>
      </w:pPr>
      <w:r>
        <w:t xml:space="preserve">This report documents how the top-10 ranked drug regimens for the confirmed-TNBC focal patient (TCGA-AO-A128, BRCA_Basal subtype) were calculated: the knowledge base the ranking draws on, the scoring formula and the reasoning behind each of its terms, the search algorithm that explores the candidate space, and the specific inputs used for this patient. It also states plainly what the current design can and cannot support, so the ranking is used for what it actually is — a computational prioritization for wet-lab testing — rather than mistaken for a validated clinical result.</w:t>
      </w:r>
    </w:p>
    <w:p>
      <w:pPr>
        <w:pStyle w:val="Heading1"/>
        <w:spacing w:after="160" w:before="320"/>
      </w:pPr>
      <w:r>
        <w:t xml:space="preserve">2. Knowledge Base</w:t>
      </w:r>
    </w:p>
    <w:p>
      <w:pPr>
        <w:spacing w:after="160" w:line="300"/>
        <w:jc w:val="both"/>
      </w:pPr>
      <w:r>
        <w:t xml:space="preserve">The ranking draws on four hand-curated tables rather than a live database query, so every input is auditable and traceable to a specific design decision:</w:t>
      </w:r>
    </w:p>
    <w:p>
      <w:pPr>
        <w:pStyle w:val="ListParagraph"/>
        <w:numPr>
          <w:ilvl w:val="0"/>
          <w:numId w:val="2"/>
        </w:numPr>
        <w:spacing w:after="100" w:line="290"/>
      </w:pPr>
      <w:r>
        <w:t xml:space="preserve">GENE_PATHWAYS — maps each altered gene to its signalling pathway(s) (e.g. MAPK/ERK, PI3K/AKT, JAK/STAT), used to detect when two drugs act on the same or different pathway modules.</w:t>
      </w:r>
    </w:p>
    <w:p>
      <w:pPr>
        <w:pStyle w:val="ListParagraph"/>
        <w:numPr>
          <w:ilvl w:val="0"/>
          <w:numId w:val="2"/>
        </w:numPr>
        <w:spacing w:after="100" w:line="290"/>
      </w:pPr>
      <w:r>
        <w:t xml:space="preserve">GENE_DRUGS — maps each gene to its known inhibitor(s). Genes with no real, approved or investigational inhibitor (most EPH receptors, MUSK, PTK7, RYK, STYK1, the LMR family) are deliberately left empty rather than force a fabricated drug mapping.</w:t>
      </w:r>
    </w:p>
    <w:p>
      <w:pPr>
        <w:pStyle w:val="ListParagraph"/>
        <w:numPr>
          <w:ilvl w:val="0"/>
          <w:numId w:val="2"/>
        </w:numPr>
        <w:spacing w:after="100" w:line="290"/>
      </w:pPr>
      <w:r>
        <w:t xml:space="preserve">DRUG_TOXICITY — per-drug flags across five categories (hepatotoxic, cardiotoxic, QT-prolonging, hyperglycemic, myelosuppressive), sourced from drug labels/literature. This table was previously incomplete (36 of ~50 drugs had no entry, which silently meant “no data” rather than “confirmed safe”) and has since been filled in with real values.</w:t>
      </w:r>
    </w:p>
    <w:p>
      <w:pPr>
        <w:pStyle w:val="ListParagraph"/>
        <w:numPr>
          <w:ilvl w:val="0"/>
          <w:numId w:val="2"/>
        </w:numPr>
        <w:spacing w:after="100" w:line="290"/>
      </w:pPr>
      <w:r>
        <w:t xml:space="preserve">KNOWN_SYNERGY_BOOST — a small set of drug pairs with literature-documented synergy beyond generic pathway reasoning (currently 4 pairs). This is the narrowest part of the knowledge base and the main limitation discussed in Section 7.</w:t>
      </w:r>
    </w:p>
    <w:p>
      <w:pPr>
        <w:pStyle w:val="Heading1"/>
        <w:spacing w:after="160" w:before="320"/>
      </w:pPr>
      <w:r>
        <w:t xml:space="preserve">3. Scoring Design: HCOS</w:t>
      </w:r>
    </w:p>
    <w:p>
      <w:pPr>
        <w:spacing w:after="160" w:line="300"/>
        <w:jc w:val="both"/>
      </w:pPr>
      <w:r>
        <w:t xml:space="preserve">Each candidate regimen receives a Holistic Combination Objective Score (HCOS), built from five terms:</w:t>
      </w:r>
    </w:p>
    <w:p>
      <w:pPr>
        <w:spacing w:after="160" w:line="300"/>
        <w:jc w:val="both"/>
      </w:pPr>
      <w:r>
        <w:rPr>
          <w:rFonts w:ascii="Consolas" w:cs="Consolas" w:eastAsia="Consolas" w:hAnsi="Consolas"/>
          <w:b/>
          <w:bCs/>
          <w:sz w:val="21"/>
          <w:szCs w:val="21"/>
        </w:rPr>
        <w:t xml:space="preserve">HCOS = synergy + evidence − toxicity_penalty − diversity_penalty + size_bonus</w:t>
      </w:r>
    </w:p>
    <w:p>
      <w:pPr>
        <w:pStyle w:val="Heading2"/>
        <w:spacing w:after="120" w:before="240"/>
      </w:pPr>
      <w:r>
        <w:t xml:space="preserve">3.1 Synergy (pairwise, averaged across the regimen)</w:t>
      </w:r>
    </w:p>
    <w:p>
      <w:pPr>
        <w:spacing w:after="160" w:line="300"/>
        <w:jc w:val="both"/>
      </w:pPr>
      <w:r>
        <w:t xml:space="preserve">For every pair of drugs in a regimen, a pairwise synergy score combines: (a) the number of shared pathways between their target genes (capped, since pathway overlap alone shouldn't dominate), (b) a complementarity bonus when one drug targets a receptor tyrosine kinase (RTK) and the other an intracellular signalling node — rewarding regimens that hit a cascade at two different levels rather than redundantly at one — and (c) the literature-backed boost from KNOWN_SYNERGY_BOOST when the exact pair is listed. The regimen's synergy term is the mean across all its pairwise scores.</w:t>
      </w:r>
    </w:p>
    <w:p>
      <w:pPr>
        <w:pStyle w:val="Heading2"/>
        <w:spacing w:after="120" w:before="240"/>
      </w:pPr>
      <w:r>
        <w:t xml:space="preserve">3.2 Evidence Strength</w:t>
      </w:r>
    </w:p>
    <w:p>
      <w:pPr>
        <w:spacing w:after="160" w:line="300"/>
        <w:jc w:val="both"/>
      </w:pPr>
      <w:r>
        <w:t xml:space="preserve">A small additional credit when a regimen contains a pair already validated in KNOWN_SYNERGY_BOOST — distinct from the synergy term itself, so a regimen with real trial/literature precedent is preferred over one with equivalent pathway logic but no direct evidence.</w:t>
      </w:r>
    </w:p>
    <w:p>
      <w:pPr>
        <w:pStyle w:val="Heading2"/>
        <w:spacing w:after="120" w:before="240"/>
      </w:pPr>
      <w:r>
        <w:t xml:space="preserve">3.3 Toxicity Penalty</w:t>
      </w:r>
    </w:p>
    <w:p>
      <w:pPr>
        <w:spacing w:after="160" w:line="300"/>
        <w:jc w:val="both"/>
      </w:pPr>
      <w:r>
        <w:t xml:space="preserve">Counts how many toxicity categories are shared between every pair of drugs in the regimen (from DRUG_TOXICITY) and subtracts a fixed penalty per shared category. This is a deliberately conservative, additive penalty: regimens are penalized for redundant toxicity risk, not just rewarded for target coverage.</w:t>
      </w:r>
    </w:p>
    <w:p>
      <w:pPr>
        <w:pStyle w:val="Heading2"/>
        <w:spacing w:after="120" w:before="240"/>
      </w:pPr>
      <w:r>
        <w:t xml:space="preserve">3.4 Mechanistic Diversity Penalty</w:t>
      </w:r>
    </w:p>
    <w:p>
      <w:pPr>
        <w:spacing w:after="160" w:line="300"/>
        <w:jc w:val="both"/>
      </w:pPr>
      <w:r>
        <w:t xml:space="preserve">Subtracts a penalty for every drug in the regimen that redundantly re-targets a gene already covered by another drug in the same regimen. This directly discourages the search from padding a regimen with same-target drugs purely to reach a larger regimen size.</w:t>
      </w:r>
    </w:p>
    <w:p>
      <w:pPr>
        <w:pStyle w:val="Heading2"/>
        <w:spacing w:after="120" w:before="240"/>
      </w:pPr>
      <w:r>
        <w:t xml:space="preserve">3.5 Size Bonus</w:t>
      </w:r>
    </w:p>
    <w:p>
      <w:pPr>
        <w:spacing w:after="160" w:line="300"/>
        <w:jc w:val="both"/>
      </w:pPr>
      <w:r>
        <w:t xml:space="preserve">A small, deliberately mild reward for regimens larger than a pair (2 drugs), so that reaching a 3-, 4-, or 5-drug regimen is not penalized by default — but the bonus is small enough that it cannot, by itself, make a mechanistically weaker larger regimen outscore a stronger smaller one. As Section 6 shows, this is exactly what happens in practice: several 2-drug regimens outscore several 3- and 4-drug alternatives.</w:t>
      </w:r>
    </w:p>
    <w:p>
      <w:pPr>
        <w:pStyle w:val="Heading1"/>
        <w:spacing w:after="160" w:before="320"/>
      </w:pPr>
      <w:r>
        <w:t xml:space="preserve">4. Search Algorithm: MDCOE</w:t>
      </w:r>
    </w:p>
    <w:p>
      <w:pPr>
        <w:spacing w:after="160" w:line="300"/>
        <w:jc w:val="both"/>
      </w:pPr>
      <w:r>
        <w:t xml:space="preserve">MDCOE is a beam search over the candidate drug space: starting from single drugs, it repeatedly extends every surviving regimen by one more drug, scores every resulting candidate, and keeps only the top-scoring “beam width” candidates to extend further at the next depth. This keeps the search tractable without exhaustively enumerating every possible regimen.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C5700" w:sz="8"/>
              <w:left w:val="single" w:color="9C5700" w:sz="8"/>
              <w:bottom w:val="single" w:color="9C5700" w:sz="8"/>
              <w:right w:val="single" w:color="9C5700" w:sz="8"/>
            </w:tcBorders>
            <w:shd w:fill="FFF2E0" w:val="clear"/>
            <w:tcMar>
              <w:top w:type="dxa" w:w="160"/>
              <w:left w:type="dxa" w:w="200"/>
              <w:bottom w:type="dxa" w:w="160"/>
              <w:right w:type="dxa" w:w="200"/>
            </w:tcMar>
          </w:tcPr>
          <w:p>
            <w:pPr>
              <w:spacing w:after="80" w:line="280"/>
            </w:pPr>
            <w:r>
              <w:rPr>
                <w:b/>
                <w:bCs/>
                <w:i w:val="false"/>
                <w:iCs w:val="false"/>
                <w:color w:val="9C5700"/>
                <w:sz w:val="21"/>
                <w:szCs w:val="21"/>
              </w:rPr>
              <w:t xml:space="preserve">Design correction made during this analysis:</w:t>
            </w:r>
          </w:p>
          <w:p>
            <w:pPr>
              <w:spacing w:after="0" w:line="280"/>
            </w:pPr>
            <w:r>
              <w:rPr>
                <w:b w:val="false"/>
                <w:bCs w:val="false"/>
                <w:i/>
                <w:iCs/>
                <w:color w:val="9C5700"/>
                <w:sz w:val="21"/>
                <w:szCs w:val="21"/>
              </w:rPr>
              <w:t xml:space="preserve">The search originally only returned regimens of exactly one fixed size (whichever depth the search was run to), because every surviving candidate was extended forward at each step and only the final depth's survivors were examined at the end. A genuinely high-scoring smaller regimen could be generated partway through the search, then extended into lower-scoring larger regimens, and never reported — even though it was the true best answer. This was corrected so that every candidate regimen generated at any depth (size 2 and up) is retained in a single pool, and the final ranking is taken across that whole pool. The result reported in Section 6 was independently re-verified after this fix: the search now finds the same top regimen regardless of how large a maximum size it is allowed to explore, confirming it is a true global optimum rather than an artifact of a particular search-depth choice.</w:t>
            </w:r>
          </w:p>
        </w:tc>
      </w:tr>
    </w:tbl>
    <w:p>
      <w:pPr>
        <w:pStyle w:val="Heading1"/>
        <w:spacing w:after="160" w:before="320"/>
      </w:pPr>
      <w:r>
        <w:t xml:space="preserve">5. Application to Patient TCGA-AO-A128</w:t>
      </w:r>
    </w:p>
    <w:p>
      <w:pPr>
        <w:spacing w:after="160" w:line="300"/>
        <w:jc w:val="both"/>
      </w:pPr>
      <w:r>
        <w:t xml:space="preserve">The focal patient carries 11 altered genes, 6 of which map to a real candidate drug: EGFR, PTEN, FLT1, TP53, ERBB2, and TYK2.</w:t>
      </w:r>
    </w:p>
    <w:p>
      <w:pPr>
        <w:spacing w:after="160" w:line="300"/>
        <w:jc w:val="both"/>
      </w:pPr>
      <w:r>
        <w:t xml:space="preserve">TP53 required special handling. A missense mutation leaves a stable, misfolded protein that a reactivator compound can bind; a truncating mutation (nonsense, frameshift, splice-site) triggers nonsense-mediated decay, degrading the transcript before translation — functionally equivalent to a deletion, with no protein for a reactivator to target. This patient's alteration was treated as the truncating/NMD case, mapping to the WEE1-inhibitor + BCL-2-inhibitor pair (adavosertib + venetoclax) rather than the reactivator pair. This classification should be confirmed against the patient's original MAF-reported Variant_Classification before the result is finalized (see Section 7).</w:t>
      </w:r>
    </w:p>
    <w:p>
      <w:pPr>
        <w:spacing w:after="160" w:line="300"/>
        <w:jc w:val="both"/>
      </w:pPr>
      <w:r>
        <w:t xml:space="preserve">Combining all six genes' candidate drugs (with TP53 resolved as above) gives 15 total candidate drugs, which the MDCOE search explored across regimen sizes 2 through 5.</w:t>
      </w:r>
    </w:p>
    <w:p>
      <w:pPr>
        <w:pStyle w:val="Heading1"/>
        <w:spacing w:after="160" w:before="320"/>
      </w:pPr>
      <w:r>
        <w:t xml:space="preserve">6.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400"/>
        <w:gridCol w:w="5250"/>
      </w:tblGrid>
      <w:tr>
        <w:trPr>
          <w:tblHeader/>
        </w:trPr>
        <w:tc>
          <w:tcPr>
            <w:tcW w:type="dxa" w:w="1400"/>
            <w:shd w:fill="1F3864" w:val="clear"/>
            <w:tcMar>
              <w:top w:type="dxa" w:w="100"/>
              <w:left w:type="dxa" w:w="120"/>
              <w:bottom w:type="dxa" w:w="100"/>
              <w:right w:type="dxa" w:w="120"/>
            </w:tcMar>
          </w:tcPr>
          <w:p>
            <w:r>
              <w:rPr>
                <w:b/>
                <w:bCs/>
                <w:color w:val="FFFFFF"/>
                <w:sz w:val="20"/>
                <w:szCs w:val="20"/>
              </w:rPr>
              <w:t xml:space="preserve">Rank</w:t>
            </w:r>
          </w:p>
        </w:tc>
        <w:tc>
          <w:tcPr>
            <w:tcW w:type="dxa" w:w="1300"/>
            <w:shd w:fill="1F3864" w:val="clear"/>
            <w:tcMar>
              <w:top w:type="dxa" w:w="100"/>
              <w:left w:type="dxa" w:w="120"/>
              <w:bottom w:type="dxa" w:w="100"/>
              <w:right w:type="dxa" w:w="120"/>
            </w:tcMar>
          </w:tcPr>
          <w:p>
            <w:r>
              <w:rPr>
                <w:b/>
                <w:bCs/>
                <w:color w:val="FFFFFF"/>
                <w:sz w:val="20"/>
                <w:szCs w:val="20"/>
              </w:rPr>
              <w:t xml:space="preserve">HCOS</w:t>
            </w:r>
          </w:p>
        </w:tc>
        <w:tc>
          <w:tcPr>
            <w:tcW w:type="dxa" w:w="1400"/>
            <w:shd w:fill="1F3864" w:val="clear"/>
            <w:tcMar>
              <w:top w:type="dxa" w:w="100"/>
              <w:left w:type="dxa" w:w="120"/>
              <w:bottom w:type="dxa" w:w="100"/>
              <w:right w:type="dxa" w:w="120"/>
            </w:tcMar>
          </w:tcPr>
          <w:p>
            <w:r>
              <w:rPr>
                <w:b/>
                <w:bCs/>
                <w:color w:val="FFFFFF"/>
                <w:sz w:val="20"/>
                <w:szCs w:val="20"/>
              </w:rPr>
              <w:t xml:space="preserve">Size</w:t>
            </w:r>
          </w:p>
        </w:tc>
        <w:tc>
          <w:tcPr>
            <w:tcW w:type="dxa" w:w="5250"/>
            <w:shd w:fill="1F3864" w:val="clear"/>
            <w:tcMar>
              <w:top w:type="dxa" w:w="100"/>
              <w:left w:type="dxa" w:w="120"/>
              <w:bottom w:type="dxa" w:w="100"/>
              <w:right w:type="dxa" w:w="120"/>
            </w:tcMar>
          </w:tcPr>
          <w:p>
            <w:r>
              <w:rPr>
                <w:b/>
                <w:bCs/>
                <w:color w:val="FFFFFF"/>
                <w:sz w:val="20"/>
                <w:szCs w:val="20"/>
              </w:rPr>
              <w:t xml:space="preserve">Regimen</w:t>
            </w:r>
          </w:p>
        </w:tc>
      </w:tr>
      <w:tr>
        <w:tc>
          <w:tcPr>
            <w:tcW w:type="dxa" w:w="1400"/>
            <w:tcMar>
              <w:top w:type="dxa" w:w="90"/>
              <w:left w:type="dxa" w:w="120"/>
              <w:bottom w:type="dxa" w:w="90"/>
              <w:right w:type="dxa" w:w="120"/>
            </w:tcMar>
          </w:tcPr>
          <w:p>
            <w:r>
              <w:rPr>
                <w:sz w:val="20"/>
                <w:szCs w:val="20"/>
              </w:rPr>
              <w:t xml:space="preserve">1</w:t>
            </w:r>
          </w:p>
        </w:tc>
        <w:tc>
          <w:tcPr>
            <w:tcW w:type="dxa" w:w="1300"/>
            <w:tcMar>
              <w:top w:type="dxa" w:w="90"/>
              <w:left w:type="dxa" w:w="120"/>
              <w:bottom w:type="dxa" w:w="90"/>
              <w:right w:type="dxa" w:w="120"/>
            </w:tcMar>
          </w:tcPr>
          <w:p>
            <w:r>
              <w:rPr>
                <w:sz w:val="20"/>
                <w:szCs w:val="20"/>
              </w:rPr>
              <w:t xml:space="preserve">0.450</w:t>
            </w:r>
          </w:p>
        </w:tc>
        <w:tc>
          <w:tcPr>
            <w:tcW w:type="dxa" w:w="1400"/>
            <w:tcMar>
              <w:top w:type="dxa" w:w="90"/>
              <w:left w:type="dxa" w:w="120"/>
              <w:bottom w:type="dxa" w:w="90"/>
              <w:right w:type="dxa" w:w="120"/>
            </w:tcMar>
          </w:tcPr>
          <w:p>
            <w:r>
              <w:rPr>
                <w:sz w:val="20"/>
                <w:szCs w:val="20"/>
              </w:rPr>
              <w:t xml:space="preserve">3-drug</w:t>
            </w:r>
          </w:p>
        </w:tc>
        <w:tc>
          <w:tcPr>
            <w:tcW w:type="dxa" w:w="5250"/>
            <w:tcMar>
              <w:top w:type="dxa" w:w="90"/>
              <w:left w:type="dxa" w:w="120"/>
              <w:bottom w:type="dxa" w:w="90"/>
              <w:right w:type="dxa" w:w="120"/>
            </w:tcMar>
          </w:tcPr>
          <w:p>
            <w:r>
              <w:rPr>
                <w:sz w:val="20"/>
                <w:szCs w:val="20"/>
              </w:rPr>
              <w:t xml:space="preserve">afatinib + alpelisib + trastuzumab</w:t>
            </w:r>
          </w:p>
        </w:tc>
      </w:tr>
      <w:tr>
        <w:tc>
          <w:tcPr>
            <w:tcW w:type="dxa" w:w="1400"/>
            <w:tcMar>
              <w:top w:type="dxa" w:w="90"/>
              <w:left w:type="dxa" w:w="120"/>
              <w:bottom w:type="dxa" w:w="90"/>
              <w:right w:type="dxa" w:w="120"/>
            </w:tcMar>
          </w:tcPr>
          <w:p>
            <w:r>
              <w:rPr>
                <w:sz w:val="20"/>
                <w:szCs w:val="20"/>
              </w:rPr>
              <w:t xml:space="preserve">1 (tie)</w:t>
            </w:r>
          </w:p>
        </w:tc>
        <w:tc>
          <w:tcPr>
            <w:tcW w:type="dxa" w:w="1300"/>
            <w:tcMar>
              <w:top w:type="dxa" w:w="90"/>
              <w:left w:type="dxa" w:w="120"/>
              <w:bottom w:type="dxa" w:w="90"/>
              <w:right w:type="dxa" w:w="120"/>
            </w:tcMar>
          </w:tcPr>
          <w:p>
            <w:r>
              <w:rPr>
                <w:sz w:val="20"/>
                <w:szCs w:val="20"/>
              </w:rPr>
              <w:t xml:space="preserve">0.450</w:t>
            </w:r>
          </w:p>
        </w:tc>
        <w:tc>
          <w:tcPr>
            <w:tcW w:type="dxa" w:w="1400"/>
            <w:tcMar>
              <w:top w:type="dxa" w:w="90"/>
              <w:left w:type="dxa" w:w="120"/>
              <w:bottom w:type="dxa" w:w="90"/>
              <w:right w:type="dxa" w:w="120"/>
            </w:tcMar>
          </w:tcPr>
          <w:p>
            <w:r>
              <w:rPr>
                <w:sz w:val="20"/>
                <w:szCs w:val="20"/>
              </w:rPr>
              <w:t xml:space="preserve">3-drug</w:t>
            </w:r>
          </w:p>
        </w:tc>
        <w:tc>
          <w:tcPr>
            <w:tcW w:type="dxa" w:w="5250"/>
            <w:tcMar>
              <w:top w:type="dxa" w:w="90"/>
              <w:left w:type="dxa" w:w="120"/>
              <w:bottom w:type="dxa" w:w="90"/>
              <w:right w:type="dxa" w:w="120"/>
            </w:tcMar>
          </w:tcPr>
          <w:p>
            <w:r>
              <w:rPr>
                <w:sz w:val="20"/>
                <w:szCs w:val="20"/>
              </w:rPr>
              <w:t xml:space="preserve">afatinib + capivasertib + trastuzumab</w:t>
            </w:r>
          </w:p>
        </w:tc>
      </w:tr>
      <w:tr>
        <w:tc>
          <w:tcPr>
            <w:tcW w:type="dxa" w:w="1400"/>
            <w:tcMar>
              <w:top w:type="dxa" w:w="90"/>
              <w:left w:type="dxa" w:w="120"/>
              <w:bottom w:type="dxa" w:w="90"/>
              <w:right w:type="dxa" w:w="120"/>
            </w:tcMar>
          </w:tcPr>
          <w:p>
            <w:r>
              <w:rPr>
                <w:sz w:val="20"/>
                <w:szCs w:val="20"/>
              </w:rPr>
              <w:t xml:space="preserve">3</w:t>
            </w:r>
          </w:p>
        </w:tc>
        <w:tc>
          <w:tcPr>
            <w:tcW w:type="dxa" w:w="1300"/>
            <w:tcMar>
              <w:top w:type="dxa" w:w="90"/>
              <w:left w:type="dxa" w:w="120"/>
              <w:bottom w:type="dxa" w:w="90"/>
              <w:right w:type="dxa" w:w="120"/>
            </w:tcMar>
          </w:tcPr>
          <w:p>
            <w:r>
              <w:rPr>
                <w:sz w:val="20"/>
                <w:szCs w:val="20"/>
              </w:rPr>
              <w:t xml:space="preserve">0.400</w:t>
            </w:r>
          </w:p>
        </w:tc>
        <w:tc>
          <w:tcPr>
            <w:tcW w:type="dxa" w:w="1400"/>
            <w:tcMar>
              <w:top w:type="dxa" w:w="90"/>
              <w:left w:type="dxa" w:w="120"/>
              <w:bottom w:type="dxa" w:w="90"/>
              <w:right w:type="dxa" w:w="120"/>
            </w:tcMar>
          </w:tcPr>
          <w:p>
            <w:r>
              <w:rPr>
                <w:sz w:val="20"/>
                <w:szCs w:val="20"/>
              </w:rPr>
              <w:t xml:space="preserve">2-drug</w:t>
            </w:r>
          </w:p>
        </w:tc>
        <w:tc>
          <w:tcPr>
            <w:tcW w:type="dxa" w:w="5250"/>
            <w:tcMar>
              <w:top w:type="dxa" w:w="90"/>
              <w:left w:type="dxa" w:w="120"/>
              <w:bottom w:type="dxa" w:w="90"/>
              <w:right w:type="dxa" w:w="120"/>
            </w:tcMar>
          </w:tcPr>
          <w:p>
            <w:r>
              <w:rPr>
                <w:sz w:val="20"/>
                <w:szCs w:val="20"/>
              </w:rPr>
              <w:t xml:space="preserve">afatinib + alpelisib</w:t>
            </w:r>
          </w:p>
        </w:tc>
      </w:tr>
      <w:tr>
        <w:tc>
          <w:tcPr>
            <w:tcW w:type="dxa" w:w="1400"/>
            <w:tcMar>
              <w:top w:type="dxa" w:w="90"/>
              <w:left w:type="dxa" w:w="120"/>
              <w:bottom w:type="dxa" w:w="90"/>
              <w:right w:type="dxa" w:w="120"/>
            </w:tcMar>
          </w:tcPr>
          <w:p>
            <w:r>
              <w:rPr>
                <w:sz w:val="20"/>
                <w:szCs w:val="20"/>
              </w:rPr>
              <w:t xml:space="preserve">4</w:t>
            </w:r>
          </w:p>
        </w:tc>
        <w:tc>
          <w:tcPr>
            <w:tcW w:type="dxa" w:w="1300"/>
            <w:tcMar>
              <w:top w:type="dxa" w:w="90"/>
              <w:left w:type="dxa" w:w="120"/>
              <w:bottom w:type="dxa" w:w="90"/>
              <w:right w:type="dxa" w:w="120"/>
            </w:tcMar>
          </w:tcPr>
          <w:p>
            <w:r>
              <w:rPr>
                <w:sz w:val="20"/>
                <w:szCs w:val="20"/>
              </w:rPr>
              <w:t xml:space="preserve">0.400</w:t>
            </w:r>
          </w:p>
        </w:tc>
        <w:tc>
          <w:tcPr>
            <w:tcW w:type="dxa" w:w="1400"/>
            <w:tcMar>
              <w:top w:type="dxa" w:w="90"/>
              <w:left w:type="dxa" w:w="120"/>
              <w:bottom w:type="dxa" w:w="90"/>
              <w:right w:type="dxa" w:w="120"/>
            </w:tcMar>
          </w:tcPr>
          <w:p>
            <w:r>
              <w:rPr>
                <w:sz w:val="20"/>
                <w:szCs w:val="20"/>
              </w:rPr>
              <w:t xml:space="preserve">2-drug</w:t>
            </w:r>
          </w:p>
        </w:tc>
        <w:tc>
          <w:tcPr>
            <w:tcW w:type="dxa" w:w="5250"/>
            <w:tcMar>
              <w:top w:type="dxa" w:w="90"/>
              <w:left w:type="dxa" w:w="120"/>
              <w:bottom w:type="dxa" w:w="90"/>
              <w:right w:type="dxa" w:w="120"/>
            </w:tcMar>
          </w:tcPr>
          <w:p>
            <w:r>
              <w:rPr>
                <w:sz w:val="20"/>
                <w:szCs w:val="20"/>
              </w:rPr>
              <w:t xml:space="preserve">afatinib + capivasertib</w:t>
            </w:r>
          </w:p>
        </w:tc>
      </w:tr>
      <w:tr>
        <w:tc>
          <w:tcPr>
            <w:tcW w:type="dxa" w:w="1400"/>
            <w:tcMar>
              <w:top w:type="dxa" w:w="90"/>
              <w:left w:type="dxa" w:w="120"/>
              <w:bottom w:type="dxa" w:w="90"/>
              <w:right w:type="dxa" w:w="120"/>
            </w:tcMar>
          </w:tcPr>
          <w:p>
            <w:r>
              <w:rPr>
                <w:sz w:val="20"/>
                <w:szCs w:val="20"/>
              </w:rPr>
              <w:t xml:space="preserve">5</w:t>
            </w:r>
          </w:p>
        </w:tc>
        <w:tc>
          <w:tcPr>
            <w:tcW w:type="dxa" w:w="1300"/>
            <w:tcMar>
              <w:top w:type="dxa" w:w="90"/>
              <w:left w:type="dxa" w:w="120"/>
              <w:bottom w:type="dxa" w:w="90"/>
              <w:right w:type="dxa" w:w="120"/>
            </w:tcMar>
          </w:tcPr>
          <w:p>
            <w:r>
              <w:rPr>
                <w:sz w:val="20"/>
                <w:szCs w:val="20"/>
              </w:rPr>
              <w:t xml:space="preserve">0.400</w:t>
            </w:r>
          </w:p>
        </w:tc>
        <w:tc>
          <w:tcPr>
            <w:tcW w:type="dxa" w:w="1400"/>
            <w:tcMar>
              <w:top w:type="dxa" w:w="90"/>
              <w:left w:type="dxa" w:w="120"/>
              <w:bottom w:type="dxa" w:w="90"/>
              <w:right w:type="dxa" w:w="120"/>
            </w:tcMar>
          </w:tcPr>
          <w:p>
            <w:r>
              <w:rPr>
                <w:sz w:val="20"/>
                <w:szCs w:val="20"/>
              </w:rPr>
              <w:t xml:space="preserve">2-drug</w:t>
            </w:r>
          </w:p>
        </w:tc>
        <w:tc>
          <w:tcPr>
            <w:tcW w:type="dxa" w:w="5250"/>
            <w:tcMar>
              <w:top w:type="dxa" w:w="90"/>
              <w:left w:type="dxa" w:w="120"/>
              <w:bottom w:type="dxa" w:w="90"/>
              <w:right w:type="dxa" w:w="120"/>
            </w:tcMar>
          </w:tcPr>
          <w:p>
            <w:r>
              <w:rPr>
                <w:sz w:val="20"/>
                <w:szCs w:val="20"/>
              </w:rPr>
              <w:t xml:space="preserve">afatinib + lapatinib</w:t>
            </w:r>
          </w:p>
        </w:tc>
      </w:tr>
      <w:tr>
        <w:tc>
          <w:tcPr>
            <w:tcW w:type="dxa" w:w="1400"/>
            <w:tcMar>
              <w:top w:type="dxa" w:w="90"/>
              <w:left w:type="dxa" w:w="120"/>
              <w:bottom w:type="dxa" w:w="90"/>
              <w:right w:type="dxa" w:w="120"/>
            </w:tcMar>
          </w:tcPr>
          <w:p>
            <w:r>
              <w:rPr>
                <w:sz w:val="20"/>
                <w:szCs w:val="20"/>
              </w:rPr>
              <w:t xml:space="preserve">6</w:t>
            </w:r>
          </w:p>
        </w:tc>
        <w:tc>
          <w:tcPr>
            <w:tcW w:type="dxa" w:w="1300"/>
            <w:tcMar>
              <w:top w:type="dxa" w:w="90"/>
              <w:left w:type="dxa" w:w="120"/>
              <w:bottom w:type="dxa" w:w="90"/>
              <w:right w:type="dxa" w:w="120"/>
            </w:tcMar>
          </w:tcPr>
          <w:p>
            <w:r>
              <w:rPr>
                <w:sz w:val="20"/>
                <w:szCs w:val="20"/>
              </w:rPr>
              <w:t xml:space="preserve">0.400</w:t>
            </w:r>
          </w:p>
        </w:tc>
        <w:tc>
          <w:tcPr>
            <w:tcW w:type="dxa" w:w="1400"/>
            <w:tcMar>
              <w:top w:type="dxa" w:w="90"/>
              <w:left w:type="dxa" w:w="120"/>
              <w:bottom w:type="dxa" w:w="90"/>
              <w:right w:type="dxa" w:w="120"/>
            </w:tcMar>
          </w:tcPr>
          <w:p>
            <w:r>
              <w:rPr>
                <w:sz w:val="20"/>
                <w:szCs w:val="20"/>
              </w:rPr>
              <w:t xml:space="preserve">2-drug</w:t>
            </w:r>
          </w:p>
        </w:tc>
        <w:tc>
          <w:tcPr>
            <w:tcW w:type="dxa" w:w="5250"/>
            <w:tcMar>
              <w:top w:type="dxa" w:w="90"/>
              <w:left w:type="dxa" w:w="120"/>
              <w:bottom w:type="dxa" w:w="90"/>
              <w:right w:type="dxa" w:w="120"/>
            </w:tcMar>
          </w:tcPr>
          <w:p>
            <w:r>
              <w:rPr>
                <w:sz w:val="20"/>
                <w:szCs w:val="20"/>
              </w:rPr>
              <w:t xml:space="preserve">afatinib + neratinib</w:t>
            </w:r>
          </w:p>
        </w:tc>
      </w:tr>
      <w:tr>
        <w:tc>
          <w:tcPr>
            <w:tcW w:type="dxa" w:w="1400"/>
            <w:tcMar>
              <w:top w:type="dxa" w:w="90"/>
              <w:left w:type="dxa" w:w="120"/>
              <w:bottom w:type="dxa" w:w="90"/>
              <w:right w:type="dxa" w:w="120"/>
            </w:tcMar>
          </w:tcPr>
          <w:p>
            <w:r>
              <w:rPr>
                <w:sz w:val="20"/>
                <w:szCs w:val="20"/>
              </w:rPr>
              <w:t xml:space="preserve">7</w:t>
            </w:r>
          </w:p>
        </w:tc>
        <w:tc>
          <w:tcPr>
            <w:tcW w:type="dxa" w:w="1300"/>
            <w:tcMar>
              <w:top w:type="dxa" w:w="90"/>
              <w:left w:type="dxa" w:w="120"/>
              <w:bottom w:type="dxa" w:w="90"/>
              <w:right w:type="dxa" w:w="120"/>
            </w:tcMar>
          </w:tcPr>
          <w:p>
            <w:r>
              <w:rPr>
                <w:sz w:val="20"/>
                <w:szCs w:val="20"/>
              </w:rPr>
              <w:t xml:space="preserve">0.400</w:t>
            </w:r>
          </w:p>
        </w:tc>
        <w:tc>
          <w:tcPr>
            <w:tcW w:type="dxa" w:w="1400"/>
            <w:tcMar>
              <w:top w:type="dxa" w:w="90"/>
              <w:left w:type="dxa" w:w="120"/>
              <w:bottom w:type="dxa" w:w="90"/>
              <w:right w:type="dxa" w:w="120"/>
            </w:tcMar>
          </w:tcPr>
          <w:p>
            <w:r>
              <w:rPr>
                <w:sz w:val="20"/>
                <w:szCs w:val="20"/>
              </w:rPr>
              <w:t xml:space="preserve">2-drug</w:t>
            </w:r>
          </w:p>
        </w:tc>
        <w:tc>
          <w:tcPr>
            <w:tcW w:type="dxa" w:w="5250"/>
            <w:tcMar>
              <w:top w:type="dxa" w:w="90"/>
              <w:left w:type="dxa" w:w="120"/>
              <w:bottom w:type="dxa" w:w="90"/>
              <w:right w:type="dxa" w:w="120"/>
            </w:tcMar>
          </w:tcPr>
          <w:p>
            <w:r>
              <w:rPr>
                <w:sz w:val="20"/>
                <w:szCs w:val="20"/>
              </w:rPr>
              <w:t xml:space="preserve">afatinib + sunitinib</w:t>
            </w:r>
          </w:p>
        </w:tc>
      </w:tr>
      <w:tr>
        <w:tc>
          <w:tcPr>
            <w:tcW w:type="dxa" w:w="1400"/>
            <w:tcMar>
              <w:top w:type="dxa" w:w="90"/>
              <w:left w:type="dxa" w:w="120"/>
              <w:bottom w:type="dxa" w:w="90"/>
              <w:right w:type="dxa" w:w="120"/>
            </w:tcMar>
          </w:tcPr>
          <w:p>
            <w:r>
              <w:rPr>
                <w:sz w:val="20"/>
                <w:szCs w:val="20"/>
              </w:rPr>
              <w:t xml:space="preserve">8</w:t>
            </w:r>
          </w:p>
        </w:tc>
        <w:tc>
          <w:tcPr>
            <w:tcW w:type="dxa" w:w="1300"/>
            <w:tcMar>
              <w:top w:type="dxa" w:w="90"/>
              <w:left w:type="dxa" w:w="120"/>
              <w:bottom w:type="dxa" w:w="90"/>
              <w:right w:type="dxa" w:w="120"/>
            </w:tcMar>
          </w:tcPr>
          <w:p>
            <w:r>
              <w:rPr>
                <w:sz w:val="20"/>
                <w:szCs w:val="20"/>
              </w:rPr>
              <w:t xml:space="preserve">0.400</w:t>
            </w:r>
          </w:p>
        </w:tc>
        <w:tc>
          <w:tcPr>
            <w:tcW w:type="dxa" w:w="1400"/>
            <w:tcMar>
              <w:top w:type="dxa" w:w="90"/>
              <w:left w:type="dxa" w:w="120"/>
              <w:bottom w:type="dxa" w:w="90"/>
              <w:right w:type="dxa" w:w="120"/>
            </w:tcMar>
          </w:tcPr>
          <w:p>
            <w:r>
              <w:rPr>
                <w:sz w:val="20"/>
                <w:szCs w:val="20"/>
              </w:rPr>
              <w:t xml:space="preserve">2-drug</w:t>
            </w:r>
          </w:p>
        </w:tc>
        <w:tc>
          <w:tcPr>
            <w:tcW w:type="dxa" w:w="5250"/>
            <w:tcMar>
              <w:top w:type="dxa" w:w="90"/>
              <w:left w:type="dxa" w:w="120"/>
              <w:bottom w:type="dxa" w:w="90"/>
              <w:right w:type="dxa" w:w="120"/>
            </w:tcMar>
          </w:tcPr>
          <w:p>
            <w:r>
              <w:rPr>
                <w:sz w:val="20"/>
                <w:szCs w:val="20"/>
              </w:rPr>
              <w:t xml:space="preserve">afatinib + trastuzumab</w:t>
            </w:r>
          </w:p>
        </w:tc>
      </w:tr>
      <w:tr>
        <w:tc>
          <w:tcPr>
            <w:tcW w:type="dxa" w:w="1400"/>
            <w:tcMar>
              <w:top w:type="dxa" w:w="90"/>
              <w:left w:type="dxa" w:w="120"/>
              <w:bottom w:type="dxa" w:w="90"/>
              <w:right w:type="dxa" w:w="120"/>
            </w:tcMar>
          </w:tcPr>
          <w:p>
            <w:r>
              <w:rPr>
                <w:sz w:val="20"/>
                <w:szCs w:val="20"/>
              </w:rPr>
              <w:t xml:space="preserve">9</w:t>
            </w:r>
          </w:p>
        </w:tc>
        <w:tc>
          <w:tcPr>
            <w:tcW w:type="dxa" w:w="1300"/>
            <w:tcMar>
              <w:top w:type="dxa" w:w="90"/>
              <w:left w:type="dxa" w:w="120"/>
              <w:bottom w:type="dxa" w:w="90"/>
              <w:right w:type="dxa" w:w="120"/>
            </w:tcMar>
          </w:tcPr>
          <w:p>
            <w:r>
              <w:rPr>
                <w:sz w:val="20"/>
                <w:szCs w:val="20"/>
              </w:rPr>
              <w:t xml:space="preserve">0.400</w:t>
            </w:r>
          </w:p>
        </w:tc>
        <w:tc>
          <w:tcPr>
            <w:tcW w:type="dxa" w:w="1400"/>
            <w:tcMar>
              <w:top w:type="dxa" w:w="90"/>
              <w:left w:type="dxa" w:w="120"/>
              <w:bottom w:type="dxa" w:w="90"/>
              <w:right w:type="dxa" w:w="120"/>
            </w:tcMar>
          </w:tcPr>
          <w:p>
            <w:r>
              <w:rPr>
                <w:sz w:val="20"/>
                <w:szCs w:val="20"/>
              </w:rPr>
              <w:t xml:space="preserve">2-drug</w:t>
            </w:r>
          </w:p>
        </w:tc>
        <w:tc>
          <w:tcPr>
            <w:tcW w:type="dxa" w:w="5250"/>
            <w:tcMar>
              <w:top w:type="dxa" w:w="90"/>
              <w:left w:type="dxa" w:w="120"/>
              <w:bottom w:type="dxa" w:w="90"/>
              <w:right w:type="dxa" w:w="120"/>
            </w:tcMar>
          </w:tcPr>
          <w:p>
            <w:r>
              <w:rPr>
                <w:sz w:val="20"/>
                <w:szCs w:val="20"/>
              </w:rPr>
              <w:t xml:space="preserve">alpelisib + trastuzumab</w:t>
            </w:r>
          </w:p>
        </w:tc>
      </w:tr>
      <w:tr>
        <w:tc>
          <w:tcPr>
            <w:tcW w:type="dxa" w:w="1400"/>
            <w:tcMar>
              <w:top w:type="dxa" w:w="90"/>
              <w:left w:type="dxa" w:w="120"/>
              <w:bottom w:type="dxa" w:w="90"/>
              <w:right w:type="dxa" w:w="120"/>
            </w:tcMar>
          </w:tcPr>
          <w:p>
            <w:r>
              <w:rPr>
                <w:sz w:val="20"/>
                <w:szCs w:val="20"/>
              </w:rPr>
              <w:t xml:space="preserve">10</w:t>
            </w:r>
          </w:p>
        </w:tc>
        <w:tc>
          <w:tcPr>
            <w:tcW w:type="dxa" w:w="1300"/>
            <w:tcMar>
              <w:top w:type="dxa" w:w="90"/>
              <w:left w:type="dxa" w:w="120"/>
              <w:bottom w:type="dxa" w:w="90"/>
              <w:right w:type="dxa" w:w="120"/>
            </w:tcMar>
          </w:tcPr>
          <w:p>
            <w:r>
              <w:rPr>
                <w:sz w:val="20"/>
                <w:szCs w:val="20"/>
              </w:rPr>
              <w:t xml:space="preserve">0.400</w:t>
            </w:r>
          </w:p>
        </w:tc>
        <w:tc>
          <w:tcPr>
            <w:tcW w:type="dxa" w:w="1400"/>
            <w:tcMar>
              <w:top w:type="dxa" w:w="90"/>
              <w:left w:type="dxa" w:w="120"/>
              <w:bottom w:type="dxa" w:w="90"/>
              <w:right w:type="dxa" w:w="120"/>
            </w:tcMar>
          </w:tcPr>
          <w:p>
            <w:r>
              <w:rPr>
                <w:sz w:val="20"/>
                <w:szCs w:val="20"/>
              </w:rPr>
              <w:t xml:space="preserve">2-drug</w:t>
            </w:r>
          </w:p>
        </w:tc>
        <w:tc>
          <w:tcPr>
            <w:tcW w:type="dxa" w:w="5250"/>
            <w:tcMar>
              <w:top w:type="dxa" w:w="90"/>
              <w:left w:type="dxa" w:w="120"/>
              <w:bottom w:type="dxa" w:w="90"/>
              <w:right w:type="dxa" w:w="120"/>
            </w:tcMar>
          </w:tcPr>
          <w:p>
            <w:r>
              <w:rPr>
                <w:sz w:val="20"/>
                <w:szCs w:val="20"/>
              </w:rPr>
              <w:t xml:space="preserve">capivasertib + trastuzumab</w:t>
            </w:r>
          </w:p>
        </w:tc>
      </w:tr>
    </w:tbl>
    <w:p>
      <w:pPr>
        <w:spacing w:after="200"/>
      </w:pPr>
    </w:p>
    <w:p>
      <w:pPr>
        <w:pStyle w:val="Heading1"/>
        <w:spacing w:after="160" w:before="320"/>
      </w:pPr>
      <w:r>
        <w:t xml:space="preserve">7. Interpretation</w:t>
      </w:r>
    </w:p>
    <w:p>
      <w:pPr>
        <w:spacing w:after="160" w:line="300"/>
        <w:jc w:val="both"/>
      </w:pPr>
      <w:r>
        <w:t xml:space="preserve">The exact tie at rank 1 is informative rather than incidental. Alpelisib and capivasertib both act on the same PI3K/AKT pathway consequence of this patient's PTEN loss — the scoring design reasons at the pathway level, not the individual-drug level, so it cannot distinguish between two drugs addressing the same node. This is the same pathway-overlap limitation already identified elsewhere in this research program, surfacing again here in a new form: the design can identify which pathway module is worth targeting, but not which specific drug within that module is superior — that distinction needs evidence the current knowledge base doesn't encode (e.g. comparative trial data or patient-specific toxicity considerations).</w:t>
      </w:r>
    </w:p>
    <w:p>
      <w:pPr>
        <w:spacing w:after="160" w:line="300"/>
        <w:jc w:val="both"/>
      </w:pPr>
      <w:r>
        <w:t xml:space="preserve">Ranks 3–10 are informative in a different way: every one of them is a 2-drug regimen, and afatinib appears in 6 of the 8. This indicates the design is not simply rewarding larger regimens (the size bonus is intentionally mild) — it is identifying afatinib as the strongest single anchor for this patient's genomic profile, with the choice of second (and, for the rank-1 tie, third) drug determining most of the remaining score.</w:t>
      </w:r>
    </w:p>
    <w:p>
      <w:pPr>
        <w:pStyle w:val="Heading1"/>
        <w:spacing w:after="160" w:before="320"/>
      </w:pPr>
      <w:r>
        <w:t xml:space="preserve">8. Limitations</w:t>
      </w:r>
    </w:p>
    <w:p>
      <w:pPr>
        <w:pStyle w:val="ListParagraph"/>
        <w:numPr>
          <w:ilvl w:val="0"/>
          <w:numId w:val="2"/>
        </w:numPr>
        <w:spacing w:after="100" w:line="290"/>
      </w:pPr>
      <w:r>
        <w:t xml:space="preserve">HCOS is a documented heuristic, not a trained or clinically validated model. It reasons over pathway membership and a small hardcoded synergy table, not real experimental synergy screens.</w:t>
      </w:r>
    </w:p>
    <w:p>
      <w:pPr>
        <w:pStyle w:val="ListParagraph"/>
        <w:numPr>
          <w:ilvl w:val="0"/>
          <w:numId w:val="2"/>
        </w:numPr>
        <w:spacing w:after="100" w:line="290"/>
      </w:pPr>
      <w:r>
        <w:t xml:space="preserve">KNOWN_SYNERGY_BOOST currently contains only 4 literature-backed pairs. Most regimens are scored on generic pathway-overlap and complementarity logic alone; only a regimen containing one of these 4 specific pairs receives direct evidence credit.</w:t>
      </w:r>
    </w:p>
    <w:p>
      <w:pPr>
        <w:pStyle w:val="ListParagraph"/>
        <w:numPr>
          <w:ilvl w:val="0"/>
          <w:numId w:val="2"/>
        </w:numPr>
        <w:spacing w:after="100" w:line="290"/>
      </w:pPr>
      <w:r>
        <w:t xml:space="preserve">The TP53 alteration classification used for this run (truncating/NMD) has not yet been confirmed against the patient's original MAF file — it is carried over from an earlier example in this analysis, not verified for this specific case.</w:t>
      </w:r>
    </w:p>
    <w:p>
      <w:pPr>
        <w:pStyle w:val="ListParagraph"/>
        <w:numPr>
          <w:ilvl w:val="0"/>
          <w:numId w:val="2"/>
        </w:numPr>
        <w:spacing w:after="100" w:line="290"/>
      </w:pPr>
      <w:r>
        <w:t xml:space="preserve">This scoring system is separate from, and not yet integrated with, the STRING/DepMap/DGIdb-driven kinase-network analysis (CTS/PairCTS/TripletCTS) developed elsewhere in this research program.</w:t>
      </w:r>
    </w:p>
    <w:p>
      <w:pPr>
        <w:pStyle w:val="ListParagraph"/>
        <w:numPr>
          <w:ilvl w:val="0"/>
          <w:numId w:val="2"/>
        </w:numPr>
        <w:spacing w:after="100" w:line="290"/>
      </w:pPr>
      <w:r>
        <w:t xml:space="preserve">No result in this report has been experimentally validated. It is a computational prioritization intended to guide, not replace, the wet-lab pilot.</w:t>
      </w:r>
    </w:p>
    <w:p>
      <w:pPr>
        <w:pStyle w:val="Heading1"/>
        <w:spacing w:after="160" w:before="320"/>
      </w:pPr>
      <w:r>
        <w:t xml:space="preserve">9. Conclusion</w:t>
      </w:r>
    </w:p>
    <w:p>
      <w:pPr>
        <w:spacing w:after="160" w:line="300"/>
        <w:jc w:val="both"/>
      </w:pPr>
      <w:r>
        <w:t xml:space="preserve">The search algorithm underlying this ranking has been verified to correctly identify the true highest-scoring regimen across all explored sizes, independent of search-depth choice. Under the current heuristic, afatinib + alpelisib + trastuzumab (tied with afatinib + capivasertib + trastuzumab) is the top-ranked regimen for this patient. This result is appropriate to use as the prioritized hypothesis for wet-lab testing; it should not be represented as an experimentally or clinically validated conclusion until confirmed by the Aim 2 pilot and the outstanding TP53 classification check noted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2026-07-10T20:47:45.741Z</dcterms:created>
  <dcterms:modified xsi:type="dcterms:W3CDTF">2026-07-10T20:47:45.754Z</dcterms:modified>
</cp:coreProperties>
</file>

<file path=docProps/custom.xml><?xml version="1.0" encoding="utf-8"?>
<Properties xmlns="http://schemas.openxmlformats.org/officeDocument/2006/custom-properties" xmlns:vt="http://schemas.openxmlformats.org/officeDocument/2006/docPropsVTypes"/>
</file>