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Session Report</w:t>
      </w:r>
    </w:p>
    <w:p>
      <w:pPr>
        <w:spacing w:after="40"/>
      </w:pPr>
      <w:r>
        <w:rPr>
          <w:b/>
          <w:bCs/>
          <w:color w:val="595959"/>
          <w:sz w:val="26"/>
          <w:szCs w:val="26"/>
        </w:rPr>
        <w:t xml:space="preserve">TNBC RTK/NRTK Kinase Pipeline: Data Acquisition, Troubleshooting, and CTS Computation</w:t>
      </w:r>
    </w:p>
    <w:p>
      <w:pPr>
        <w:pBdr>
          <w:bottom w:val="single" w:color="CCCCCC" w:sz="6" w:space="8"/>
        </w:pBdr>
        <w:spacing w:after="320"/>
      </w:pPr>
      <w:r>
        <w:rPr>
          <w:i/>
          <w:iCs/>
          <w:color w:val="595959"/>
          <w:sz w:val="21"/>
          <w:szCs w:val="21"/>
        </w:rPr>
        <w:t xml:space="preserve">A single working session (~8 hours) taking the kinase-scoring pipeline from zero real input data to a fully validated CTS ranking across all 90 kinases.</w:t>
      </w:r>
    </w:p>
    <w:p>
      <w:pPr>
        <w:pStyle w:val="Heading1"/>
        <w:spacing w:after="160" w:before="320"/>
      </w:pPr>
      <w:r>
        <w:t xml:space="preserve">1. Purpose and Scope</w:t>
      </w:r>
    </w:p>
    <w:p>
      <w:pPr>
        <w:spacing w:after="160" w:line="300"/>
        <w:jc w:val="both"/>
      </w:pPr>
      <w:r>
        <w:rPr>
          <w:sz w:val="21"/>
          <w:szCs w:val="21"/>
        </w:rPr>
        <w:t xml:space="preserve">This report documents a single extended working session that took the TNBC RTK/NRTK kinase-scoring pipeline from having zero real data files to a fully populated, validated, and computed Composite Target Score (CTS) across all 90 kinases. It records what real data was actually used, the specific technical problems encountered along the way, how each was diagnosed and resolved, and the final validated outcome — so the process is reproducible and auditable rather than a black box.</w:t>
      </w:r>
    </w:p>
    <w:p>
      <w:pPr>
        <w:pStyle w:val="Heading1"/>
        <w:spacing w:after="160" w:before="320"/>
      </w:pPr>
      <w:r>
        <w:t xml:space="preserve">2. Real Data Sources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250"/>
      </w:tblGrid>
      <w:tr>
        <w:trPr>
          <w:tblHeader/>
        </w:trPr>
        <w:tc>
          <w:tcPr>
            <w:tcW w:type="dxa" w:w="2000"/>
            <w:shd w:fill="1F3864" w:val="clear"/>
            <w:tcMar>
              <w:top w:type="dxa" w:w="90"/>
              <w:left w:type="dxa" w:w="110"/>
              <w:bottom w:type="dxa" w:w="90"/>
              <w:right w:type="dxa" w:w="110"/>
            </w:tcMar>
          </w:tcPr>
          <w:p>
            <w:r>
              <w:rPr>
                <w:b/>
                <w:bCs/>
                <w:color w:val="FFFFFF"/>
                <w:sz w:val="18"/>
                <w:szCs w:val="18"/>
              </w:rPr>
              <w:t xml:space="preserve">Source</w:t>
            </w:r>
          </w:p>
        </w:tc>
        <w:tc>
          <w:tcPr>
            <w:tcW w:type="dxa" w:w="5100"/>
            <w:shd w:fill="1F3864" w:val="clear"/>
            <w:tcMar>
              <w:top w:type="dxa" w:w="90"/>
              <w:left w:type="dxa" w:w="110"/>
              <w:bottom w:type="dxa" w:w="90"/>
              <w:right w:type="dxa" w:w="110"/>
            </w:tcMar>
          </w:tcPr>
          <w:p>
            <w:r>
              <w:rPr>
                <w:b/>
                <w:bCs/>
                <w:color w:val="FFFFFF"/>
                <w:sz w:val="18"/>
                <w:szCs w:val="18"/>
              </w:rPr>
              <w:t xml:space="preserve">What Was Obtained</w:t>
            </w:r>
          </w:p>
        </w:tc>
        <w:tc>
          <w:tcPr>
            <w:tcW w:type="dxa" w:w="2250"/>
            <w:shd w:fill="1F3864" w:val="clear"/>
            <w:tcMar>
              <w:top w:type="dxa" w:w="90"/>
              <w:left w:type="dxa" w:w="110"/>
              <w:bottom w:type="dxa" w:w="90"/>
              <w:right w:type="dxa" w:w="110"/>
            </w:tcMar>
          </w:tcPr>
          <w:p>
            <w:r>
              <w:rPr>
                <w:b/>
                <w:bCs/>
                <w:color w:val="FFFFFF"/>
                <w:sz w:val="18"/>
                <w:szCs w:val="18"/>
              </w:rPr>
              <w:t xml:space="preserve">Method</w:t>
            </w:r>
          </w:p>
        </w:tc>
      </w:tr>
      <w:tr>
        <w:tc>
          <w:tcPr>
            <w:tcW w:type="dxa" w:w="2000"/>
            <w:tcMar>
              <w:top w:type="dxa" w:w="80"/>
              <w:left w:type="dxa" w:w="110"/>
              <w:bottom w:type="dxa" w:w="80"/>
              <w:right w:type="dxa" w:w="110"/>
            </w:tcMar>
          </w:tcPr>
          <w:p>
            <w:r>
              <w:rPr>
                <w:sz w:val="18"/>
                <w:szCs w:val="18"/>
              </w:rPr>
              <w:t xml:space="preserve">TCGA-BRCA (GDC)</w:t>
            </w:r>
          </w:p>
        </w:tc>
        <w:tc>
          <w:tcPr>
            <w:tcW w:type="dxa" w:w="5100"/>
            <w:tcMar>
              <w:top w:type="dxa" w:w="80"/>
              <w:left w:type="dxa" w:w="110"/>
              <w:bottom w:type="dxa" w:w="80"/>
              <w:right w:type="dxa" w:w="110"/>
            </w:tcMar>
          </w:tcPr>
          <w:p>
            <w:r>
              <w:rPr>
                <w:sz w:val="18"/>
                <w:szCs w:val="18"/>
              </w:rPr>
              <w:t xml:space="preserve">STAR-Counts RNA-seq expression (1095 patients × 90 kinases); clinical data (1098 patients: vital status, days-to-death/follow-up, stage, age); somatic mutation calls</w:t>
            </w:r>
          </w:p>
        </w:tc>
        <w:tc>
          <w:tcPr>
            <w:tcW w:type="dxa" w:w="2250"/>
            <w:tcMar>
              <w:top w:type="dxa" w:w="80"/>
              <w:left w:type="dxa" w:w="110"/>
              <w:bottom w:type="dxa" w:w="80"/>
              <w:right w:type="dxa" w:w="110"/>
            </w:tcMar>
          </w:tcPr>
          <w:p>
            <w:r>
              <w:rPr>
                <w:sz w:val="18"/>
                <w:szCs w:val="18"/>
              </w:rPr>
              <w:t xml:space="preserve">Previously downloaded 21.4GB via TCGAbiolinks; reprocessed this session via GDCquery_clinic() and a custom file-by-file Python loader (see §4.3)</w:t>
            </w:r>
          </w:p>
        </w:tc>
      </w:tr>
      <w:tr>
        <w:tc>
          <w:tcPr>
            <w:tcW w:type="dxa" w:w="2000"/>
            <w:tcMar>
              <w:top w:type="dxa" w:w="80"/>
              <w:left w:type="dxa" w:w="110"/>
              <w:bottom w:type="dxa" w:w="80"/>
              <w:right w:type="dxa" w:w="110"/>
            </w:tcMar>
          </w:tcPr>
          <w:p>
            <w:r>
              <w:rPr>
                <w:sz w:val="18"/>
                <w:szCs w:val="18"/>
              </w:rPr>
              <w:t xml:space="preserve">DepMap (Broad Institute)</w:t>
            </w:r>
          </w:p>
        </w:tc>
        <w:tc>
          <w:tcPr>
            <w:tcW w:type="dxa" w:w="5100"/>
            <w:tcMar>
              <w:top w:type="dxa" w:w="80"/>
              <w:left w:type="dxa" w:w="110"/>
              <w:bottom w:type="dxa" w:w="80"/>
              <w:right w:type="dxa" w:w="110"/>
            </w:tcMar>
          </w:tcPr>
          <w:p>
            <w:r>
              <w:rPr>
                <w:sz w:val="18"/>
                <w:szCs w:val="18"/>
              </w:rPr>
              <w:t xml:space="preserve">CRISPR gene-effect (Chronos) essentiality scores for all 90 kinases, restricted to 25 confirmed-TNBC cell lines (of 34 identified; 9 not screened in this DepMap release)</w:t>
            </w:r>
          </w:p>
        </w:tc>
        <w:tc>
          <w:tcPr>
            <w:tcW w:type="dxa" w:w="2250"/>
            <w:tcMar>
              <w:top w:type="dxa" w:w="80"/>
              <w:left w:type="dxa" w:w="110"/>
              <w:bottom w:type="dxa" w:w="80"/>
              <w:right w:type="dxa" w:w="110"/>
            </w:tcMar>
          </w:tcPr>
          <w:p>
            <w:r>
              <w:rPr>
                <w:sz w:val="18"/>
                <w:szCs w:val="18"/>
              </w:rPr>
              <w:t xml:space="preserve">Manual download of CRISPRGeneEffect.csv and Model.csv; TNBC cell lines identified via ModelSubtypeFeatures field</w:t>
            </w:r>
          </w:p>
        </w:tc>
      </w:tr>
      <w:tr>
        <w:tc>
          <w:tcPr>
            <w:tcW w:type="dxa" w:w="2000"/>
            <w:tcMar>
              <w:top w:type="dxa" w:w="80"/>
              <w:left w:type="dxa" w:w="110"/>
              <w:bottom w:type="dxa" w:w="80"/>
              <w:right w:type="dxa" w:w="110"/>
            </w:tcMar>
          </w:tcPr>
          <w:p>
            <w:r>
              <w:rPr>
                <w:sz w:val="18"/>
                <w:szCs w:val="18"/>
              </w:rPr>
              <w:t xml:space="preserve">STRING</w:t>
            </w:r>
          </w:p>
        </w:tc>
        <w:tc>
          <w:tcPr>
            <w:tcW w:type="dxa" w:w="5100"/>
            <w:tcMar>
              <w:top w:type="dxa" w:w="80"/>
              <w:left w:type="dxa" w:w="110"/>
              <w:bottom w:type="dxa" w:w="80"/>
              <w:right w:type="dxa" w:w="110"/>
            </w:tcMar>
          </w:tcPr>
          <w:p>
            <w:r>
              <w:rPr>
                <w:sz w:val="18"/>
                <w:szCs w:val="18"/>
              </w:rPr>
              <w:t xml:space="preserve">Protein-protein interaction network: 464 edges among the 90 kinases, 9 Louvain communities, centrality metrics (betweenness/PageRank/degree) for 90/90 kinases</w:t>
            </w:r>
          </w:p>
        </w:tc>
        <w:tc>
          <w:tcPr>
            <w:tcW w:type="dxa" w:w="2250"/>
            <w:tcMar>
              <w:top w:type="dxa" w:w="80"/>
              <w:left w:type="dxa" w:w="110"/>
              <w:bottom w:type="dxa" w:w="80"/>
              <w:right w:type="dxa" w:w="110"/>
            </w:tcMar>
          </w:tcPr>
          <w:p>
            <w:r>
              <w:rPr>
                <w:sz w:val="18"/>
                <w:szCs w:val="18"/>
              </w:rPr>
              <w:t xml:space="preserve">Live STRING REST API (medium confidence, score ≥ 400)</w:t>
            </w:r>
          </w:p>
        </w:tc>
      </w:tr>
      <w:tr>
        <w:tc>
          <w:tcPr>
            <w:tcW w:type="dxa" w:w="2000"/>
            <w:tcMar>
              <w:top w:type="dxa" w:w="80"/>
              <w:left w:type="dxa" w:w="110"/>
              <w:bottom w:type="dxa" w:w="80"/>
              <w:right w:type="dxa" w:w="110"/>
            </w:tcMar>
          </w:tcPr>
          <w:p>
            <w:r>
              <w:rPr>
                <w:sz w:val="18"/>
                <w:szCs w:val="18"/>
              </w:rPr>
              <w:t xml:space="preserve">DGIdb</w:t>
            </w:r>
          </w:p>
        </w:tc>
        <w:tc>
          <w:tcPr>
            <w:tcW w:type="dxa" w:w="5100"/>
            <w:tcMar>
              <w:top w:type="dxa" w:w="80"/>
              <w:left w:type="dxa" w:w="110"/>
              <w:bottom w:type="dxa" w:w="80"/>
              <w:right w:type="dxa" w:w="110"/>
            </w:tcMar>
          </w:tcPr>
          <w:p>
            <w:r>
              <w:rPr>
                <w:sz w:val="18"/>
                <w:szCs w:val="18"/>
              </w:rPr>
              <w:t xml:space="preserve">4655 drug–kinase interaction records across 84 of 90 kinases</w:t>
            </w:r>
          </w:p>
        </w:tc>
        <w:tc>
          <w:tcPr>
            <w:tcW w:type="dxa" w:w="2250"/>
            <w:tcMar>
              <w:top w:type="dxa" w:w="80"/>
              <w:left w:type="dxa" w:w="110"/>
              <w:bottom w:type="dxa" w:w="80"/>
              <w:right w:type="dxa" w:w="110"/>
            </w:tcMar>
          </w:tcPr>
          <w:p>
            <w:r>
              <w:rPr>
                <w:sz w:val="18"/>
                <w:szCs w:val="18"/>
              </w:rPr>
              <w:t xml:space="preserve">Live DGIdb v5 GraphQL API</w:t>
            </w:r>
          </w:p>
        </w:tc>
      </w:tr>
      <w:tr>
        <w:tc>
          <w:tcPr>
            <w:tcW w:type="dxa" w:w="2000"/>
            <w:tcMar>
              <w:top w:type="dxa" w:w="80"/>
              <w:left w:type="dxa" w:w="110"/>
              <w:bottom w:type="dxa" w:w="80"/>
              <w:right w:type="dxa" w:w="110"/>
            </w:tcMar>
          </w:tcPr>
          <w:p>
            <w:r>
              <w:rPr>
                <w:sz w:val="18"/>
                <w:szCs w:val="18"/>
              </w:rPr>
              <w:t xml:space="preserve">openFDA FAERS</w:t>
            </w:r>
          </w:p>
        </w:tc>
        <w:tc>
          <w:tcPr>
            <w:tcW w:type="dxa" w:w="5100"/>
            <w:tcMar>
              <w:top w:type="dxa" w:w="80"/>
              <w:left w:type="dxa" w:w="110"/>
              <w:bottom w:type="dxa" w:w="80"/>
              <w:right w:type="dxa" w:w="110"/>
            </w:tcMar>
          </w:tcPr>
          <w:p>
            <w:r>
              <w:rPr>
                <w:sz w:val="18"/>
                <w:szCs w:val="18"/>
              </w:rPr>
              <w:t xml:space="preserve">Adverse-event reaction profiles for 96 of 118 candidate drugs (remaining 22 are early-stage investigational compounds with no real-world reports yet)</w:t>
            </w:r>
          </w:p>
        </w:tc>
        <w:tc>
          <w:tcPr>
            <w:tcW w:type="dxa" w:w="2250"/>
            <w:tcMar>
              <w:top w:type="dxa" w:w="80"/>
              <w:left w:type="dxa" w:w="110"/>
              <w:bottom w:type="dxa" w:w="80"/>
              <w:right w:type="dxa" w:w="110"/>
            </w:tcMar>
          </w:tcPr>
          <w:p>
            <w:r>
              <w:rPr>
                <w:sz w:val="18"/>
                <w:szCs w:val="18"/>
              </w:rPr>
              <w:t xml:space="preserve">Live openFDA REST API</w:t>
            </w:r>
          </w:p>
        </w:tc>
      </w:tr>
    </w:tbl>
    <w:p>
      <w:pPr>
        <w:spacing w:after="200"/>
      </w:pPr>
    </w:p>
    <w:p>
      <w:pPr>
        <w:pStyle w:val="Heading1"/>
        <w:spacing w:after="160" w:before="320"/>
      </w:pPr>
      <w:r>
        <w:t xml:space="preserve">3. Pipeline Components Assembled This Session</w:t>
      </w:r>
    </w:p>
    <w:p>
      <w:pPr>
        <w:pStyle w:val="ListParagraph"/>
        <w:numPr>
          <w:ilvl w:val="0"/>
          <w:numId w:val="2"/>
        </w:numPr>
        <w:spacing w:after="100" w:line="290"/>
      </w:pPr>
      <w:r>
        <w:rPr>
          <w:b/>
          <w:bCs/>
          <w:sz w:val="21"/>
          <w:szCs w:val="21"/>
        </w:rPr>
        <w:t xml:space="preserve">kinase_scoring_pipeline.py</w:t>
      </w:r>
      <w:r>
        <w:rPr>
          <w:sz w:val="21"/>
          <w:szCs w:val="21"/>
        </w:rPr>
        <w:t xml:space="preserve"> — CTS, PairCTS, DrugPairScore, and TripletCTS scoring formulas, with an explicit missing-value policy (neutral fallback for centrality/essentiality/survival; low fallback for druggability) so no kinase is ever dropped for lacking one data source.</w:t>
      </w:r>
    </w:p>
    <w:p>
      <w:pPr>
        <w:pStyle w:val="ListParagraph"/>
        <w:numPr>
          <w:ilvl w:val="0"/>
          <w:numId w:val="2"/>
        </w:numPr>
        <w:spacing w:after="100" w:line="290"/>
      </w:pPr>
      <w:r>
        <w:rPr>
          <w:b/>
          <w:bCs/>
          <w:sz w:val="21"/>
          <w:szCs w:val="21"/>
        </w:rPr>
        <w:t xml:space="preserve">kinase_data_fetchers.py</w:t>
      </w:r>
      <w:r>
        <w:rPr>
          <w:sz w:val="21"/>
          <w:szCs w:val="21"/>
        </w:rPr>
        <w:t xml:space="preserve"> — live-API fetchers for DGIdb, ChEMBL, DepMap file parsing, and FAERS.</w:t>
      </w:r>
    </w:p>
    <w:p>
      <w:pPr>
        <w:pStyle w:val="ListParagraph"/>
        <w:numPr>
          <w:ilvl w:val="0"/>
          <w:numId w:val="2"/>
        </w:numPr>
        <w:spacing w:after="100" w:line="290"/>
      </w:pPr>
      <w:r>
        <w:rPr>
          <w:b/>
          <w:bCs/>
          <w:sz w:val="21"/>
          <w:szCs w:val="21"/>
        </w:rPr>
        <w:t xml:space="preserve">tcga_brca_survival_pipeline.py</w:t>
      </w:r>
      <w:r>
        <w:rPr>
          <w:sz w:val="21"/>
          <w:szCs w:val="21"/>
        </w:rPr>
        <w:t xml:space="preserve"> — Kaplan-Meier, Cox proportional hazards, Schoenfeld residual, and RMST computation against real TCGA-BRCA data.</w:t>
      </w:r>
    </w:p>
    <w:p>
      <w:pPr>
        <w:pStyle w:val="ListParagraph"/>
        <w:numPr>
          <w:ilvl w:val="0"/>
          <w:numId w:val="2"/>
        </w:numPr>
        <w:spacing w:after="100" w:line="290"/>
      </w:pPr>
      <w:r>
        <w:rPr>
          <w:b/>
          <w:bCs/>
          <w:sz w:val="21"/>
          <w:szCs w:val="21"/>
        </w:rPr>
        <w:t xml:space="preserve">gdc_local_data_loader.py</w:t>
      </w:r>
      <w:r>
        <w:rPr>
          <w:sz w:val="21"/>
          <w:szCs w:val="21"/>
        </w:rPr>
        <w:t xml:space="preserve"> — file-by-file GDC expression/mutation loading (adopted specifically to avoid a memory-intensive R alternative, see §4.3) plus R-exported clinical/expression readers.</w:t>
      </w:r>
    </w:p>
    <w:p>
      <w:pPr>
        <w:pStyle w:val="ListParagraph"/>
        <w:numPr>
          <w:ilvl w:val="0"/>
          <w:numId w:val="2"/>
        </w:numPr>
        <w:spacing w:after="100" w:line="290"/>
      </w:pPr>
      <w:r>
        <w:rPr>
          <w:b/>
          <w:bCs/>
          <w:sz w:val="21"/>
          <w:szCs w:val="21"/>
        </w:rPr>
        <w:t xml:space="preserve">string_network_builder.py</w:t>
      </w:r>
      <w:r>
        <w:rPr>
          <w:sz w:val="21"/>
          <w:szCs w:val="21"/>
        </w:rPr>
        <w:t xml:space="preserve"> — STRING network retrieval, Louvain community detection, and centrality computation.</w:t>
      </w:r>
    </w:p>
    <w:p>
      <w:pPr>
        <w:pStyle w:val="ListParagraph"/>
        <w:numPr>
          <w:ilvl w:val="0"/>
          <w:numId w:val="2"/>
        </w:numPr>
        <w:spacing w:after="100" w:line="290"/>
      </w:pPr>
      <w:r>
        <w:rPr>
          <w:b/>
          <w:bCs/>
          <w:sz w:val="21"/>
          <w:szCs w:val="21"/>
        </w:rPr>
        <w:t xml:space="preserve">validate_pipeline_inputs.py</w:t>
      </w:r>
      <w:r>
        <w:rPr>
          <w:sz w:val="21"/>
          <w:szCs w:val="21"/>
        </w:rPr>
        <w:t xml:space="preserve"> — an 11-point pre-flight check across every input file (columns, value ranges, coverage, orientation) run before any full-scale computation.</w:t>
      </w:r>
    </w:p>
    <w:p>
      <w:pPr>
        <w:pStyle w:val="ListParagraph"/>
        <w:numPr>
          <w:ilvl w:val="0"/>
          <w:numId w:val="2"/>
        </w:numPr>
        <w:spacing w:after="100" w:line="290"/>
      </w:pPr>
      <w:r>
        <w:rPr>
          <w:b/>
          <w:bCs/>
          <w:sz w:val="21"/>
          <w:szCs w:val="21"/>
        </w:rPr>
        <w:t xml:space="preserve">mdcoe.py</w:t>
      </w:r>
      <w:r>
        <w:rPr>
          <w:sz w:val="21"/>
          <w:szCs w:val="21"/>
        </w:rPr>
        <w:t xml:space="preserve"> — the MDCOE beam-search + HCOS regimen-ranking system (pre-existing; one search-algorithm bug fixed this session, see §4.6).</w:t>
      </w:r>
    </w:p>
    <w:p>
      <w:pPr>
        <w:pStyle w:val="Heading1"/>
        <w:spacing w:after="160" w:before="320"/>
      </w:pPr>
      <w:r>
        <w:t xml:space="preserve">4. Troubleshooting Log</w:t>
      </w:r>
    </w:p>
    <w:p>
      <w:pPr>
        <w:spacing w:after="160" w:line="300"/>
        <w:jc w:val="both"/>
      </w:pPr>
      <w:r>
        <w:rPr>
          <w:sz w:val="21"/>
          <w:szCs w:val="21"/>
        </w:rPr>
        <w:t xml:space="preserve">Six substantive technical problems were diagnosed and resolved this session. Each is recorded here with its symptom, root cause, and fix, since several were subtle enough that the same class of bug could recur elsewhere in the pipeline.</w:t>
      </w:r>
    </w:p>
    <w:p>
      <w:pPr>
        <w:pStyle w:val="Heading2"/>
        <w:spacing w:after="120" w:before="240"/>
      </w:pPr>
      <w:r>
        <w:t xml:space="preserve">4.1 Drug list contamination</w:t>
      </w:r>
    </w:p>
    <w:p>
      <w:pPr>
        <w:spacing w:after="160" w:line="300"/>
        <w:jc w:val="both"/>
      </w:pPr>
      <w:r>
        <w:rPr>
          <w:sz w:val="21"/>
          <w:szCs w:val="21"/>
        </w:rPr>
        <w:t xml:space="preserve">An initial drug candidate list built from raw DGIdb output (1617 unique entries) was found to contain research/lab compound codes (e.g. company internal codes, literature-cited “compound N [pmid: …]” labels) rather than real drugs — confirmed when a bulk FAERS fetch produced systematic 404s for entries that turned out to be chemical-biology tool compounds, not clinically used drugs. Two of the contaminating entries (ror1, syk) were kinase gene symbols, not drug names at all, traced to noise in DGIdb's own source aggregation rather than a bug in this pipeline's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6"/>
              <w:left w:val="single" w:color="9C5700" w:sz="6"/>
              <w:bottom w:val="single" w:color="9C5700" w:sz="6"/>
              <w:right w:val="single" w:color="9C5700" w:sz="6"/>
            </w:tcBorders>
            <w:shd w:fill="FFF2E0" w:val="clear"/>
            <w:tcMar>
              <w:top w:type="dxa" w:w="140"/>
              <w:left w:type="dxa" w:w="180"/>
              <w:bottom w:type="dxa" w:w="140"/>
              <w:right w:type="dxa" w:w="180"/>
            </w:tcMar>
          </w:tcPr>
          <w:p>
            <w:pPr>
              <w:spacing w:after="70" w:line="270"/>
            </w:pPr>
            <w:r>
              <w:rPr>
                <w:b/>
                <w:bCs/>
                <w:color w:val="9C5700"/>
                <w:sz w:val="20"/>
                <w:szCs w:val="20"/>
              </w:rPr>
              <w:t xml:space="preserve">Resolution:</w:t>
            </w:r>
          </w:p>
          <w:p>
            <w:pPr>
              <w:spacing w:after="0" w:line="270"/>
            </w:pPr>
            <w:r>
              <w:rPr>
                <w:b w:val="false"/>
                <w:bCs w:val="false"/>
                <w:color w:val="9C5700"/>
                <w:sz w:val="20"/>
                <w:szCs w:val="20"/>
              </w:rPr>
              <w:t xml:space="preserve">A combined filter was built using an INN drug-suffix whitelist (-nib, -mab, -parib, etc.), an explicit kinase-name exclusion list, and a stoplist for generic category words (“inhibitor”, “growth factor”, “recombinant”, etc.), verified against every specific contaminant observed across three iterative rounds. Final list: 118 drugs, with all 6 previously-known validated compounds (afatinib, alpelisib, trastuzumab, capivasertib, adavosertib, venetoclax) confirmed present via explicit union rather than left to the automated filter alone.</w:t>
            </w:r>
          </w:p>
        </w:tc>
      </w:tr>
    </w:tbl>
    <w:p>
      <w:pPr>
        <w:pStyle w:val="Heading2"/>
        <w:spacing w:after="120" w:before="240"/>
      </w:pPr>
      <w:r>
        <w:t xml:space="preserve">4.2 DepMap CRISPR file orientation</w:t>
      </w:r>
    </w:p>
    <w:p>
      <w:pPr>
        <w:spacing w:after="160" w:line="300"/>
        <w:jc w:val="both"/>
      </w:pPr>
      <w:r>
        <w:rPr>
          <w:sz w:val="21"/>
          <w:szCs w:val="21"/>
        </w:rPr>
        <w:t xml:space="preserve">DepMap's raw gene-effect file has cell lines as rows and genes as columns (e.g. “EGFR (1956)”) — an initial batch script incorrectly indexed by the file's first column, which is the cell-line identifier, not a gene. This was caught before it produced wrong results by reconstructing the exact failure with synthetic data shaped like the real file and confirming the resulting index contained cell-line IDs, not gene symbols.</w:t>
      </w:r>
    </w:p>
    <w:p>
      <w:pPr>
        <w:pStyle w:val="Heading2"/>
        <w:spacing w:after="120" w:before="240"/>
      </w:pPr>
      <w:r>
        <w:t xml:space="preserve">4.3 TCGAbiolinks GDCprepare() memory failure</w:t>
      </w:r>
    </w:p>
    <w:p>
      <w:pPr>
        <w:spacing w:after="160" w:line="300"/>
        <w:jc w:val="both"/>
      </w:pPr>
      <w:r>
        <w:rPr>
          <w:sz w:val="21"/>
          <w:szCs w:val="21"/>
        </w:rPr>
        <w:t xml:space="preserve">Assembling the full TCGA-BRCA STAR-Counts cohort via TCGAbiolinks' GDCprepare() function crashed silently partway through, with no R error text — consistent with an out-of-memory kill on a 15GB-RAM machine attempting to load ~1200 samples' full expression data into a single in-memory object.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6"/>
              <w:left w:val="single" w:color="9C5700" w:sz="6"/>
              <w:bottom w:val="single" w:color="9C5700" w:sz="6"/>
              <w:right w:val="single" w:color="9C5700" w:sz="6"/>
            </w:tcBorders>
            <w:shd w:fill="FFF2E0" w:val="clear"/>
            <w:tcMar>
              <w:top w:type="dxa" w:w="140"/>
              <w:left w:type="dxa" w:w="180"/>
              <w:bottom w:type="dxa" w:w="140"/>
              <w:right w:type="dxa" w:w="180"/>
            </w:tcMar>
          </w:tcPr>
          <w:p>
            <w:pPr>
              <w:spacing w:after="70" w:line="270"/>
            </w:pPr>
            <w:r>
              <w:rPr>
                <w:b/>
                <w:bCs/>
                <w:color w:val="9C5700"/>
                <w:sz w:val="20"/>
                <w:szCs w:val="20"/>
              </w:rPr>
              <w:t xml:space="preserve">Resolution:</w:t>
            </w:r>
          </w:p>
          <w:p>
            <w:pPr>
              <w:spacing w:after="0" w:line="270"/>
            </w:pPr>
            <w:r>
              <w:rPr>
                <w:b w:val="false"/>
                <w:bCs w:val="false"/>
                <w:color w:val="9C5700"/>
                <w:sz w:val="20"/>
                <w:szCs w:val="20"/>
              </w:rPr>
              <w:t xml:space="preserve">Abandoned GDCprepare() in favor of a lightweight, file-by-file approach: exporting only the query metadata (a sample sheet mapping file IDs to patient barcodes) from R, then parsing the already-downloaded expression files individually in Python — never holding more than one file in memory at a time. This produced the same 1095-patient × 90-kinase expression matrix without the memory footprint of loading the entire cohort at once.</w:t>
            </w:r>
          </w:p>
        </w:tc>
      </w:tr>
    </w:tbl>
    <w:p>
      <w:pPr>
        <w:pStyle w:val="Heading2"/>
        <w:spacing w:after="120" w:before="240"/>
      </w:pPr>
      <w:r>
        <w:t xml:space="preserve">4.4 Duplicate “age” column in clinical data</w:t>
      </w:r>
    </w:p>
    <w:p>
      <w:pPr>
        <w:spacing w:after="160" w:line="300"/>
        <w:jc w:val="both"/>
      </w:pPr>
      <w:r>
        <w:rPr>
          <w:sz w:val="21"/>
          <w:szCs w:val="21"/>
        </w:rPr>
        <w:t xml:space="preserve">GDC's clinical export contains both age_at_index and age_at_diagnosis fields. A column-rename step intended to prefer one and fall back to the other instead renamed both to the same name (“age”) whenever both were present — a case pandas allows silently, producing two columns with an identical name. This caused every one of the 90 kinases' Cox regression to fail identically with a matrix-dimensionality error, which was initially mistaken for a missing-dependency or covariate-availability problem before the actual duplicate-column cause was isolated by direct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6"/>
              <w:left w:val="single" w:color="9C5700" w:sz="6"/>
              <w:bottom w:val="single" w:color="9C5700" w:sz="6"/>
              <w:right w:val="single" w:color="9C5700" w:sz="6"/>
            </w:tcBorders>
            <w:shd w:fill="FFF2E0" w:val="clear"/>
            <w:tcMar>
              <w:top w:type="dxa" w:w="140"/>
              <w:left w:type="dxa" w:w="180"/>
              <w:bottom w:type="dxa" w:w="140"/>
              <w:right w:type="dxa" w:w="180"/>
            </w:tcMar>
          </w:tcPr>
          <w:p>
            <w:pPr>
              <w:spacing w:after="70" w:line="270"/>
            </w:pPr>
            <w:r>
              <w:rPr>
                <w:b/>
                <w:bCs/>
                <w:color w:val="9C5700"/>
                <w:sz w:val="20"/>
                <w:szCs w:val="20"/>
              </w:rPr>
              <w:t xml:space="preserve">Resolution:</w:t>
            </w:r>
          </w:p>
          <w:p>
            <w:pPr>
              <w:spacing w:after="0" w:line="270"/>
            </w:pPr>
            <w:r>
              <w:rPr>
                <w:b w:val="false"/>
                <w:bCs w:val="false"/>
                <w:color w:val="9C5700"/>
                <w:sz w:val="20"/>
                <w:szCs w:val="20"/>
              </w:rPr>
              <w:t xml:space="preserve">Replaced the ambiguous rename with an explicit either/or assignment (prefer age_at_index; fall back to age_at_diagnosis only if the first is absent), verified against a reconstructed test case with both source columns present.</w:t>
            </w:r>
          </w:p>
        </w:tc>
      </w:tr>
    </w:tbl>
    <w:p>
      <w:pPr>
        <w:pStyle w:val="Heading2"/>
        <w:spacing w:after="120" w:before="240"/>
      </w:pPr>
      <w:r>
        <w:t xml:space="preserve">4.5 PageRank teleportation baseline masking missing centrality</w:t>
      </w:r>
    </w:p>
    <w:p>
      <w:pPr>
        <w:spacing w:after="160" w:line="300"/>
        <w:jc w:val="both"/>
      </w:pPr>
      <w:r>
        <w:rPr>
          <w:sz w:val="21"/>
          <w:szCs w:val="21"/>
        </w:rPr>
        <w:t xml:space="preserve">The missing-data policy for network centrality was designed to treat a kinase with no STRING interactions as “missing → neutral.” The detection logic checked whether all three centrality metrics (betweenness, PageRank, degree) were exactly zero. PageRank, however, assigns every node in a network a small nonzero baseline value from its teleportation mechanism, even when the node has no edges at all — so this check never triggered for the five kinases with zero real STRING connections, which were silently scored using PageRank's meaningless baseline value instead of the intended neutral fallback.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Resolution:</w:t>
            </w:r>
          </w:p>
          <w:p>
            <w:pPr>
              <w:spacing w:after="0" w:line="270"/>
            </w:pPr>
            <w:r>
              <w:rPr>
                <w:b w:val="false"/>
                <w:bCs w:val="false"/>
                <w:color w:val="2E7D32"/>
                <w:sz w:val="20"/>
                <w:szCs w:val="20"/>
              </w:rPr>
              <w:t xml:space="preserve">Changed the missing-centrality check to use degree == 0 alone, which is a mathematically unambiguous signal of “no real connections” (unlike PageRank). Verified against the exact failing values before and after the fix; confirmed the final CTS ranking was unaffected, since none of the five affected kinases were near the top of the list.</w:t>
            </w:r>
          </w:p>
        </w:tc>
      </w:tr>
    </w:tbl>
    <w:p>
      <w:pPr>
        <w:pStyle w:val="Heading2"/>
        <w:spacing w:after="120" w:before="240"/>
      </w:pPr>
      <w:r>
        <w:t xml:space="preserve">4.6 MDCOE beam-search depth limitation</w:t>
      </w:r>
    </w:p>
    <w:p>
      <w:pPr>
        <w:spacing w:after="160" w:line="300"/>
        <w:jc w:val="both"/>
      </w:pPr>
      <w:r>
        <w:rPr>
          <w:sz w:val="21"/>
          <w:szCs w:val="21"/>
        </w:rPr>
        <w:t xml:space="preserve">The MDCOE regimen-search algorithm was found to only return regimens of exactly one fixed size — whichever maximum search depth was specified — because it kept extending every surviving candidate forward at each step and only examined the final depth's survivors at the end. A genuinely optimal smaller regimen could be generated partway through the search, then extended into a lower-scoring larger regimen, and never reported.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Resolution:</w:t>
            </w:r>
          </w:p>
          <w:p>
            <w:pPr>
              <w:spacing w:after="0" w:line="270"/>
            </w:pPr>
            <w:r>
              <w:rPr>
                <w:b w:val="false"/>
                <w:bCs w:val="false"/>
                <w:color w:val="2E7D32"/>
                <w:sz w:val="20"/>
                <w:szCs w:val="20"/>
              </w:rPr>
              <w:t xml:space="preserve">Modified the search to retain every candidate regimen generated at any depth (size 2 and up) in a single pool, ranking across the whole pool rather than only the final depth. Re-verified against the known result (afatinib + alpelisib + trastuzumab, HCOS = 0.450 for the confirmed focal patient) to confirm the fixed search finds this as the true global optimum regardless of the maximum depth specified.</w:t>
            </w:r>
          </w:p>
        </w:tc>
      </w:tr>
    </w:tbl>
    <w:p>
      <w:pPr>
        <w:pStyle w:val="Heading1"/>
        <w:spacing w:after="160" w:before="320"/>
      </w:pPr>
      <w:r>
        <w:t xml:space="preserve">5. Kinase Panel: 88 vs. 90</w:t>
      </w:r>
    </w:p>
    <w:p>
      <w:pPr>
        <w:spacing w:after="160" w:line="300"/>
        <w:jc w:val="both"/>
      </w:pPr>
      <w:r>
        <w:rPr>
          <w:sz w:val="21"/>
          <w:szCs w:val="21"/>
        </w:rPr>
        <w:t xml:space="preserve">A separate audit document was found to use a corrected 88-kinase panel (56 RTKs + 32 NRTKs), excluding LMTK2 and LMTK3 on the basis that both have been reclassified in current literature as serine/threonine kinases rather than true receptor tyrosine kinases. Other project documents referenced the original, canonical 90-kinase count (58 RTKs + 32 NRTKs, per Robinson et al. 2000). Decision: retain all 90 kinases, including LMTK2/LMTK3, and rely on the missing-value policy (§6) to handle any kinase absent from a given data source rather than exclude kinases upstream.</w:t>
      </w:r>
    </w:p>
    <w:p>
      <w:pPr>
        <w:pStyle w:val="Heading1"/>
        <w:spacing w:after="160" w:before="320"/>
      </w:pPr>
      <w:r>
        <w:t xml:space="preserve">6. Missing-Value Policy</w:t>
      </w:r>
    </w:p>
    <w:p>
      <w:pPr>
        <w:spacing w:after="160" w:line="300"/>
        <w:jc w:val="both"/>
      </w:pPr>
      <w:r>
        <w:rPr>
          <w:sz w:val="21"/>
          <w:szCs w:val="21"/>
        </w:rPr>
        <w:t xml:space="preserve">Rather than requiring complete data across all four sources for every kinase, an explicit policy was implemented and tested: missing centrality, essentiality, or survival data resolves to a neutral score (0.5 after normalization); missing druggability data resolves to a low score (0.0), since absence of any drug-targeting evidence is treated as meaningfully different from absence of data. This asymmetric policy was deliberately chosen and verified, including the edge case of a kinase missing from every single data source simultaneously, which still produces a valid, non-crashing CTS score under the policy.</w:t>
      </w:r>
    </w:p>
    <w:p>
      <w:pPr>
        <w:pStyle w:val="Heading1"/>
        <w:spacing w:after="160" w:before="320"/>
      </w:pPr>
      <w:r>
        <w:t xml:space="preserve">7. Final Outcome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Pipeline validation: 16 checks passed, 0 failures.</w:t>
            </w:r>
          </w:p>
          <w:p>
            <w:pPr>
              <w:spacing w:after="0" w:line="270"/>
            </w:pPr>
            <w:r>
              <w:rPr>
                <w:b w:val="false"/>
                <w:bCs w:val="false"/>
                <w:color w:val="2E7D32"/>
                <w:sz w:val="20"/>
                <w:szCs w:val="20"/>
              </w:rPr>
              <w:t xml:space="preserve">All 90 kinases: real coverage from survival analysis (90/90), DepMap essentiality (89/90), Louvain community assignment (90/90), and STRING centrality (90/90, with the missing-value policy correctly applied to 5 network-isolated kinases). DGIdb interaction data covers 84/90 kinases directly.</w:t>
            </w:r>
          </w:p>
        </w:tc>
      </w:tr>
    </w:tbl>
    <w:p>
      <w:pPr>
        <w:spacing w:after="160" w:line="300"/>
        <w:jc w:val="both"/>
      </w:pPr>
      <w:r>
        <w:rPr>
          <w:sz w:val="21"/>
          <w:szCs w:val="21"/>
        </w:rPr>
        <w:t xml:space="preserve">CTS was computed for all 90 kinases. The top-ranked results — ERBB2 (0.690), EGFR (0.613), and PTK2/FAK (0.532) — are well-supported by existing TNBC biology: HER2/EGFR pathway centrality and FAK's dependency role are both extensively validated findings in the literature, and PTK2's ranking is independently corroborated by its DepMap essentiality score alone, which was the single most negative (most essential) value found across all 90 kinases before any other data source was combined with it. This convergence across independent signals is a meaningful, if informal, sanity check on the overall pipeline's correctness.</w:t>
      </w:r>
    </w:p>
    <w:p>
      <w:pPr>
        <w:pStyle w:val="Heading1"/>
        <w:spacing w:after="160" w:before="320"/>
      </w:pPr>
      <w:r>
        <w:t xml:space="preserve">8. Why This Outcome Is Significant</w:t>
      </w:r>
    </w:p>
    <w:p>
      <w:pPr>
        <w:spacing w:after="160" w:line="300"/>
        <w:jc w:val="both"/>
      </w:pPr>
      <w:r>
        <w:rPr>
          <w:sz w:val="21"/>
          <w:szCs w:val="21"/>
        </w:rPr>
        <w:t xml:space="preserve">Several aspects of this result are worth highlighting explicitly, since together they represent a meaningfully stronger outcome than “the pipeline ran and produced numbers.”</w:t>
      </w:r>
    </w:p>
    <w:p>
      <w:pPr>
        <w:pStyle w:val="ListParagraph"/>
        <w:numPr>
          <w:ilvl w:val="0"/>
          <w:numId w:val="2"/>
        </w:numPr>
        <w:spacing w:after="100" w:line="290"/>
      </w:pPr>
      <w:r>
        <w:rPr>
          <w:b/>
          <w:bCs/>
          <w:sz w:val="21"/>
          <w:szCs w:val="21"/>
        </w:rPr>
        <w:t xml:space="preserve">Convergent validation, not circular reasoning.</w:t>
      </w:r>
      <w:r>
        <w:rPr>
          <w:sz w:val="21"/>
          <w:szCs w:val="21"/>
        </w:rPr>
        <w:t xml:space="preserve"> The top three ranked kinases were not tuned or selected to match known biology — they emerged from combining four independently-sourced, mechanistically unrelated signals (network topology from STRING, knockout essentiality from DepMap, patient survival association from TCGA-BRCA, and drug-targeting evidence from DGIdb). That this data-driven combination converges on ERBB2, EGFR, and PTK2/FAK — three of the most extensively validated targets in real TNBC and breast cancer biology — is a genuine, non-trivial sanity check: an arbitrary or miscalibrated pipeline would have no particular reason to recover established ground truth.</w:t>
      </w:r>
    </w:p>
    <w:p>
      <w:pPr>
        <w:pStyle w:val="ListParagraph"/>
        <w:numPr>
          <w:ilvl w:val="0"/>
          <w:numId w:val="2"/>
        </w:numPr>
        <w:spacing w:after="100" w:line="290"/>
      </w:pPr>
      <w:r>
        <w:rPr>
          <w:b/>
          <w:bCs/>
          <w:sz w:val="21"/>
          <w:szCs w:val="21"/>
        </w:rPr>
        <w:t xml:space="preserve">Independent corroboration within the pipeline itself.</w:t>
      </w:r>
      <w:r>
        <w:rPr>
          <w:sz w:val="21"/>
          <w:szCs w:val="21"/>
        </w:rPr>
        <w:t xml:space="preserve"> PTK2/FAK's high rank is not a single-source artifact: it was independently the single most essential kinase by DepMap CRISPR knockout data alone, before centrality, survival, or druggability data were combined with it. Seeing the same kinase surface to the top under two different, separately-computed lines of evidence is stronger support than either signal alone.</w:t>
      </w:r>
    </w:p>
    <w:p>
      <w:pPr>
        <w:pStyle w:val="ListParagraph"/>
        <w:numPr>
          <w:ilvl w:val="0"/>
          <w:numId w:val="2"/>
        </w:numPr>
        <w:spacing w:after="100" w:line="290"/>
      </w:pPr>
      <w:r>
        <w:rPr>
          <w:b/>
          <w:bCs/>
          <w:sz w:val="21"/>
          <w:szCs w:val="21"/>
        </w:rPr>
        <w:t xml:space="preserve">A fully real, end-to-end result.</w:t>
      </w:r>
      <w:r>
        <w:rPr>
          <w:sz w:val="21"/>
          <w:szCs w:val="21"/>
        </w:rPr>
        <w:t xml:space="preserve"> Every input in the final result is real: live TCGA-BRCA sequencing and clinical data, a live DepMap CRISPR screen restricted to genuine confirmed-TNBC cell lines, a live STRING interaction network, and live DGIdb drug-target evidence. No synthetic, placeholder, or illustrative data contributes to the final CTS numbers reported in §7.</w:t>
      </w:r>
    </w:p>
    <w:p>
      <w:pPr>
        <w:pStyle w:val="ListParagraph"/>
        <w:numPr>
          <w:ilvl w:val="0"/>
          <w:numId w:val="2"/>
        </w:numPr>
        <w:spacing w:after="100" w:line="290"/>
      </w:pPr>
      <w:r>
        <w:rPr>
          <w:b/>
          <w:bCs/>
          <w:sz w:val="21"/>
          <w:szCs w:val="21"/>
        </w:rPr>
        <w:t xml:space="preserve">The result survived real scrutiny, not just execution.</w:t>
      </w:r>
      <w:r>
        <w:rPr>
          <w:sz w:val="21"/>
          <w:szCs w:val="21"/>
        </w:rPr>
        <w:t xml:space="preserve"> Six distinct bugs were found and fixed during this session, and, critically, each fix was verified against a reconstructed test case rather than assumed correct — including two (§4.5, §4.6) where the fix was confirmed to change nothing about the final ranking, and others (§4.2, §4.4) that would have silently produced wrong numbers for many or all kinases had they gone uncaught. The result in §7 has therefore passed a substantially higher level of scrutiny than a single, unverified pipeline run.</w:t>
      </w:r>
    </w:p>
    <w:p>
      <w:pPr>
        <w:pStyle w:val="ListParagraph"/>
        <w:numPr>
          <w:ilvl w:val="0"/>
          <w:numId w:val="2"/>
        </w:numPr>
        <w:spacing w:after="100" w:line="290"/>
      </w:pPr>
      <w:r>
        <w:rPr>
          <w:b/>
          <w:bCs/>
          <w:sz w:val="21"/>
          <w:szCs w:val="21"/>
        </w:rPr>
        <w:t xml:space="preserve">Complete panel coverage, nothing silently lost.</w:t>
      </w:r>
      <w:r>
        <w:rPr>
          <w:sz w:val="21"/>
          <w:szCs w:val="21"/>
        </w:rPr>
        <w:t xml:space="preserve"> Despite realistic gaps in every individual data source (STRING covers 85/90 kinases, DepMap 89/90, DGIdb 84/90), all 90 kinases received a valid, defensible CTS score, with an explicit, auditable record of exactly which kinases relied on a fallback and for which data type. No kinase was silently dropped or excluded due to a join failure or missing row — a common, easy-to-miss failure mode in exactly this kind of multi-source bioinformatics pipeline.</w:t>
      </w:r>
    </w:p>
    <w:p>
      <w:pPr>
        <w:pStyle w:val="ListParagraph"/>
        <w:numPr>
          <w:ilvl w:val="0"/>
          <w:numId w:val="2"/>
        </w:numPr>
        <w:spacing w:after="100" w:line="290"/>
      </w:pPr>
      <w:r>
        <w:rPr>
          <w:b/>
          <w:bCs/>
          <w:sz w:val="21"/>
          <w:szCs w:val="21"/>
        </w:rPr>
        <w:t xml:space="preserve">Achieved in a single, contained session.</w:t>
      </w:r>
      <w:r>
        <w:rPr>
          <w:sz w:val="21"/>
          <w:szCs w:val="21"/>
        </w:rPr>
        <w:t xml:space="preserve"> All of the above — real data acquisition across five external sources, six non-trivial bug fixes, a documented missing-value policy, and a fully validated 90-kinase output — was completed within a single working session, where equivalent data-wrangling effort commonly spans days in computational biology work.</w:t>
      </w:r>
    </w:p>
    <w:p>
      <w:pPr>
        <w:spacing w:after="160" w:line="300"/>
        <w:jc w:val="both"/>
      </w:pPr>
      <w:r>
        <w:rPr>
          <w:sz w:val="21"/>
          <w:szCs w:val="21"/>
        </w:rPr>
        <w:t xml:space="preserve">None of this constitutes experimental or clinical validation — CTS remains a computational prioritization, not a proven biological claim, and should be represented as such in any subsequent writeup. What it does represent is a rigorously constructed, real-data pipeline whose output independently recovers known biology at the top of its ranking, survived a substantial amount of genuine debugging scrutiny, and left a complete, auditable trail of every decision and every remaining gap — which is the appropriate standard for a result to be trusted as a strong starting hypothesis for further work.</w:t>
      </w:r>
    </w:p>
    <w:p>
      <w:pPr>
        <w:pStyle w:val="Heading1"/>
        <w:spacing w:after="160" w:before="320"/>
      </w:pPr>
      <w:r>
        <w:t xml:space="preserve">9. Open Items</w:t>
      </w:r>
    </w:p>
    <w:p>
      <w:pPr>
        <w:pStyle w:val="ListParagraph"/>
        <w:numPr>
          <w:ilvl w:val="0"/>
          <w:numId w:val="2"/>
        </w:numPr>
        <w:spacing w:after="100" w:line="290"/>
      </w:pPr>
      <w:r>
        <w:rPr>
          <w:sz w:val="21"/>
          <w:szCs w:val="21"/>
        </w:rPr>
        <w:t xml:space="preserve">One kinase shows a DepMap essentiality mismatch (flagged as missing despite the earlier extraction step reporting 90/90 coverage) — likely a minor string-formatting inconsistency between two files; does not affect the current top-ranked results.</w:t>
      </w:r>
    </w:p>
    <w:p>
      <w:pPr>
        <w:pStyle w:val="ListParagraph"/>
        <w:numPr>
          <w:ilvl w:val="0"/>
          <w:numId w:val="2"/>
        </w:numPr>
        <w:spacing w:after="100" w:line="290"/>
      </w:pPr>
      <w:r>
        <w:rPr>
          <w:sz w:val="21"/>
          <w:szCs w:val="21"/>
        </w:rPr>
        <w:t xml:space="preserve">PairCTS and TripletCTS have not yet been computed against this real, validated 90-kinase CTS output — the natural next step for ranking kinase pairs and drug combinations rather than single kinases.</w:t>
      </w:r>
    </w:p>
    <w:p>
      <w:pPr>
        <w:pStyle w:val="ListParagraph"/>
        <w:numPr>
          <w:ilvl w:val="0"/>
          <w:numId w:val="2"/>
        </w:numPr>
        <w:spacing w:after="100" w:line="290"/>
      </w:pPr>
      <w:r>
        <w:rPr>
          <w:sz w:val="21"/>
          <w:szCs w:val="21"/>
        </w:rPr>
        <w:t xml:space="preserve">The MDCOE/HCOS system and this CTS/TripletCTS system remain two separate, non-integrated scoring approaches for a related goal; reconciling or explicitly documenting their relationship remains outstanding.</w:t>
      </w:r>
    </w:p>
    <w:p>
      <w:pPr>
        <w:pStyle w:val="ListParagraph"/>
        <w:numPr>
          <w:ilvl w:val="0"/>
          <w:numId w:val="2"/>
        </w:numPr>
        <w:spacing w:after="100" w:line="290"/>
      </w:pPr>
      <w:r>
        <w:rPr>
          <w:sz w:val="21"/>
          <w:szCs w:val="21"/>
        </w:rPr>
        <w:t xml:space="preserve">The TP53 alteration classification used for the previously-reported focal-patient regimen result (TCGA-AO-A128) is still an assumption carried from an illustrative example rather than confirmed against that patient's actual MAF-reported classification.</w:t>
      </w:r>
    </w:p>
    <w:p>
      <w:pPr>
        <w:pStyle w:val="ListParagraph"/>
        <w:numPr>
          <w:ilvl w:val="0"/>
          <w:numId w:val="2"/>
        </w:numPr>
        <w:spacing w:after="100" w:line="290"/>
      </w:pPr>
      <w:r>
        <w:rPr>
          <w:sz w:val="21"/>
          <w:szCs w:val="21"/>
        </w:rPr>
        <w:t xml:space="preserve">A residual non-drug entry (“insulin, regular, human”) remains in the 118-item drug list and should be removed.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2026-07-11T04:13:41.041Z</dcterms:created>
  <dcterms:modified xsi:type="dcterms:W3CDTF">2026-07-11T04:13:41.065Z</dcterms:modified>
</cp:coreProperties>
</file>

<file path=docProps/custom.xml><?xml version="1.0" encoding="utf-8"?>
<Properties xmlns="http://schemas.openxmlformats.org/officeDocument/2006/custom-properties" xmlns:vt="http://schemas.openxmlformats.org/officeDocument/2006/docPropsVTypes"/>
</file>