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Campaign for selling personal loans.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department wants to build a model that will help them identify the potential customers who have higher probability of purchasing the loan. This will increase the success ratio while at the same time reduce the cost of the campaign.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Read the column description and ensure you understand each attribute well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Study the data distribution in each attribute, share your findings. (5 points)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 Get the target column distribution. Your comments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Split the data into training and test set in the ratio of 70:30 respectively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Use different classification models (Logistic, K-NN and Naïve Bayes) to predict the likelihood of a liability customer buying personal loans (15 points)</w:t>
      </w:r>
    </w:p>
    <w:p w:rsidR="00000000" w:rsidDel="00000000" w:rsidP="00000000" w:rsidRDefault="00000000" w:rsidRPr="00000000" w14:paraId="0000000B">
      <w:pPr>
        <w:rPr/>
      </w:pPr>
      <w:r w:rsidDel="00000000" w:rsidR="00000000" w:rsidRPr="00000000">
        <w:rPr>
          <w:rtl w:val="0"/>
        </w:rPr>
        <w:t xml:space="preserve">6. Print the confusion matrix for all the above models (5 points)</w:t>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7. Give your reasoning on which is the best model in this case and why it performs better? (5 points)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