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Multi-Vertical Expansion Analysis</w:t>
      </w:r>
    </w:p>
    <w:p>
      <w:pPr>
        <w:spacing w:after="240"/>
        <w:jc w:val="center"/>
      </w:pPr>
      <w:r>
        <w:rPr>
          <w:color w:val="666666"/>
          <w:sz w:val="24"/>
          <w:szCs w:val="24"/>
        </w:rPr>
        <w:t xml:space="preserve">Addendum to Market Comparison Analysis</w:t>
      </w:r>
    </w:p>
    <w:p>
      <w:pPr>
        <w:spacing w:after="360"/>
        <w:jc w:val="center"/>
      </w:pPr>
      <w:r>
        <w:rPr>
          <w:i/>
          <w:iCs/>
          <w:color w:val="888888"/>
          <w:sz w:val="22"/>
          <w:szCs w:val="22"/>
        </w:rPr>
        <w:t xml:space="preserve">Impact Assessment: Expanding Beyond National Security</w:t>
      </w:r>
    </w:p>
    <w:p>
      <w:pPr>
        <w:pStyle w:val="Heading1"/>
      </w:pPr>
      <w:r>
        <w:t xml:space="preserve">Executive Summary</w:t>
      </w:r>
    </w:p>
    <w:p>
      <w:pPr>
        <w:spacing w:after="240"/>
      </w:pPr>
      <w:r>
        <w:rPr>
          <w:b/>
          <w:bCs/>
          <w:color w:val="C0392B"/>
        </w:rPr>
        <w:t xml:space="preserve">Critical Finding: </w:t>
      </w:r>
      <w:r>
        <w:t xml:space="preserve">Expanding Event Finder beyond national security to other professional verticals (healthcare, education, etc.) would </w:t>
      </w:r>
      <w:r>
        <w:rPr>
          <w:b/>
          <w:bCs/>
        </w:rPr>
        <w:t xml:space="preserve">dramatically increase competition</w:t>
      </w:r>
      <w:r>
        <w:t xml:space="preserve"> and </w:t>
      </w:r>
      <w:r>
        <w:rPr>
          <w:b/>
          <w:bCs/>
        </w:rPr>
        <w:t xml:space="preserve">significantly reduce competitive advantage</w:t>
      </w:r>
      <w:r>
        <w:t xml:space="preserve">. The favorable competitive position identified in the primary analysis exists </w:t>
      </w:r>
      <w:r>
        <w:rPr>
          <w:i/>
          <w:iCs/>
        </w:rPr>
        <w:t xml:space="preserve">specifically because of</w:t>
      </w:r>
      <w:r>
        <w:t xml:space="preserve"> the narrow vertical focus, not in spite of it.</w:t>
      </w:r>
    </w:p>
    <w:p>
      <w:pPr>
        <w:spacing w:after="360"/>
      </w:pPr>
      <w:r>
        <w:t xml:space="preserve">Where national security has minimal established competition, both healthcare and education already have multiple well-established, specialized event aggregation platforms with strong market presence, user bases, and brand recognition.</w:t>
      </w:r>
    </w:p>
    <w:p>
      <w:pPr>
        <w:pStyle w:val="Heading1"/>
      </w:pPr>
      <w:r>
        <w:t xml:space="preserve">Healthcare: Established Competition</w:t>
      </w:r>
    </w:p>
    <w:p>
      <w:pPr>
        <w:pStyle w:val="Heading2"/>
      </w:pPr>
      <w:r>
        <w:t xml:space="preserve">Major Competitors in Healthcare Events</w:t>
      </w:r>
    </w:p>
    <w:p>
      <w:pPr>
        <w:pStyle w:val="Heading3"/>
      </w:pPr>
      <w:r>
        <w:t xml:space="preserve">eMedEvents (Direct Competitor)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FFE6E6" w:val="clear"/>
          </w:tcPr>
          <w:p>
            <w:r>
              <w:rPr>
                <w:b/>
                <w:bCs/>
              </w:rPr>
              <w:t xml:space="preserve">Platform Type</w:t>
            </w:r>
          </w:p>
        </w:tc>
        <w:tc>
          <w:tcPr>
            <w:tcW w:type="dxa" w:w="6240"/>
            <w:tcBorders>
              <w:top w:val="single" w:color="CCCCCC" w:sz="1"/>
              <w:left w:val="single" w:color="CCCCCC" w:sz="1"/>
              <w:bottom w:val="single" w:color="CCCCCC" w:sz="1"/>
              <w:right w:val="single" w:color="CCCCCC" w:sz="1"/>
            </w:tcBorders>
          </w:tcPr>
          <w:p>
            <w:r>
              <w:t xml:space="preserve">Medical conference aggregator and CME/CE marketplace</w:t>
            </w:r>
          </w:p>
        </w:tc>
      </w:tr>
      <w:tr>
        <w:tc>
          <w:tcPr>
            <w:tcW w:type="dxa" w:w="3120"/>
            <w:tcBorders>
              <w:top w:val="single" w:color="CCCCCC" w:sz="1"/>
              <w:left w:val="single" w:color="CCCCCC" w:sz="1"/>
              <w:bottom w:val="single" w:color="CCCCCC" w:sz="1"/>
              <w:right w:val="single" w:color="CCCCCC" w:sz="1"/>
            </w:tcBorders>
            <w:shd w:fill="FFE6E6" w:val="clear"/>
          </w:tcPr>
          <w:p>
            <w:r>
              <w:rPr>
                <w:b/>
                <w:bCs/>
              </w:rPr>
              <w:t xml:space="preserve">Market Position</w:t>
            </w:r>
          </w:p>
        </w:tc>
        <w:tc>
          <w:tcPr>
            <w:tcW w:type="dxa" w:w="6240"/>
            <w:tcBorders>
              <w:top w:val="single" w:color="CCCCCC" w:sz="1"/>
              <w:left w:val="single" w:color="CCCCCC" w:sz="1"/>
              <w:bottom w:val="single" w:color="CCCCCC" w:sz="1"/>
              <w:right w:val="single" w:color="CCCCCC" w:sz="1"/>
            </w:tcBorders>
          </w:tcPr>
          <w:p>
            <w:r>
              <w:rPr>
                <w:b/>
                <w:bCs/>
              </w:rPr>
              <w:t xml:space="preserve">Over 500,000 registered healthcare providers. </w:t>
            </w:r>
            <w:r>
              <w:t xml:space="preserve">Established brand positioning as 'the ultimate medical conference aggregator.' Global reach with comprehensive medical event catalog.</w:t>
            </w:r>
          </w:p>
        </w:tc>
      </w:tr>
      <w:tr>
        <w:tc>
          <w:tcPr>
            <w:tcW w:type="dxa" w:w="3120"/>
            <w:tcBorders>
              <w:top w:val="single" w:color="CCCCCC" w:sz="1"/>
              <w:left w:val="single" w:color="CCCCCC" w:sz="1"/>
              <w:bottom w:val="single" w:color="CCCCCC" w:sz="1"/>
              <w:right w:val="single" w:color="CCCCCC" w:sz="1"/>
            </w:tcBorders>
            <w:shd w:fill="FFE6E6" w:val="clear"/>
          </w:tcPr>
          <w:p>
            <w:r>
              <w:rPr>
                <w:b/>
                <w:bCs/>
              </w:rPr>
              <w:t xml:space="preserve">Key Features</w:t>
            </w:r>
          </w:p>
        </w:tc>
        <w:tc>
          <w:tcPr>
            <w:tcW w:type="dxa" w:w="6240"/>
            <w:tcBorders>
              <w:top w:val="single" w:color="CCCCCC" w:sz="1"/>
              <w:left w:val="single" w:color="CCCCCC" w:sz="1"/>
              <w:bottom w:val="single" w:color="CCCCCC" w:sz="1"/>
              <w:right w:val="single" w:color="CCCCCC" w:sz="1"/>
            </w:tcBorders>
          </w:tcPr>
          <w:p>
            <w:pPr>
              <w:pStyle w:val="ListParagraph"/>
              <w:numPr>
                <w:ilvl w:val="0"/>
                <w:numId w:val="2"/>
              </w:numPr>
            </w:pPr>
            <w:r>
              <w:t xml:space="preserve">Searchable database of medical conferences worldwide</w:t>
            </w:r>
          </w:p>
          <w:p>
            <w:pPr>
              <w:pStyle w:val="ListParagraph"/>
              <w:numPr>
                <w:ilvl w:val="0"/>
                <w:numId w:val="2"/>
              </w:numPr>
            </w:pPr>
            <w:r>
              <w:t xml:space="preserve">CME/CE credit tracking and credentialing</w:t>
            </w:r>
          </w:p>
          <w:p>
            <w:pPr>
              <w:pStyle w:val="ListParagraph"/>
              <w:numPr>
                <w:ilvl w:val="0"/>
                <w:numId w:val="2"/>
              </w:numPr>
            </w:pPr>
            <w:r>
              <w:t xml:space="preserve">Connects CME organizers with healthcare professionals</w:t>
            </w:r>
          </w:p>
          <w:p>
            <w:pPr>
              <w:pStyle w:val="ListParagraph"/>
              <w:numPr>
                <w:ilvl w:val="0"/>
                <w:numId w:val="2"/>
              </w:numPr>
            </w:pPr>
            <w:r>
              <w:t xml:space="preserve">Speaker directories and networking features</w:t>
            </w:r>
          </w:p>
          <w:p>
            <w:pPr>
              <w:pStyle w:val="ListParagraph"/>
              <w:numPr>
                <w:ilvl w:val="0"/>
                <w:numId w:val="2"/>
              </w:numPr>
            </w:pPr>
            <w:r>
              <w:t xml:space="preserve">Integration with credentialing bodies (German Medical Association, etc.)</w:t>
            </w:r>
          </w:p>
        </w:tc>
      </w:tr>
      <w:tr>
        <w:tc>
          <w:tcPr>
            <w:tcW w:type="dxa" w:w="3120"/>
            <w:tcBorders>
              <w:top w:val="single" w:color="CCCCCC" w:sz="1"/>
              <w:left w:val="single" w:color="CCCCCC" w:sz="1"/>
              <w:bottom w:val="single" w:color="CCCCCC" w:sz="1"/>
              <w:right w:val="single" w:color="CCCCCC" w:sz="1"/>
            </w:tcBorders>
            <w:shd w:fill="FFE6E6" w:val="clear"/>
          </w:tcPr>
          <w:p>
            <w:r>
              <w:rPr>
                <w:b/>
                <w:bCs/>
              </w:rPr>
              <w:t xml:space="preserve">Business Model</w:t>
            </w:r>
          </w:p>
        </w:tc>
        <w:tc>
          <w:tcPr>
            <w:tcW w:type="dxa" w:w="6240"/>
            <w:tcBorders>
              <w:top w:val="single" w:color="CCCCCC" w:sz="1"/>
              <w:left w:val="single" w:color="CCCCCC" w:sz="1"/>
              <w:bottom w:val="single" w:color="CCCCCC" w:sz="1"/>
              <w:right w:val="single" w:color="CCCCCC" w:sz="1"/>
            </w:tcBorders>
          </w:tcPr>
          <w:p>
            <w:r>
              <w:t xml:space="preserve">Marketplace model connecting providers with CME opportunities. Likely monetizes through organizer listings, premium placements, and advertising.</w:t>
            </w:r>
          </w:p>
        </w:tc>
      </w:tr>
      <w:tr>
        <w:tc>
          <w:tcPr>
            <w:tcW w:type="dxa" w:w="3120"/>
            <w:tcBorders>
              <w:top w:val="single" w:color="CCCCCC" w:sz="1"/>
              <w:left w:val="single" w:color="CCCCCC" w:sz="1"/>
              <w:bottom w:val="single" w:color="CCCCCC" w:sz="1"/>
              <w:right w:val="single" w:color="CCCCCC" w:sz="1"/>
            </w:tcBorders>
            <w:shd w:fill="FFE6E6" w:val="clear"/>
          </w:tcPr>
          <w:p>
            <w:r>
              <w:rPr>
                <w:b/>
                <w:bCs/>
              </w:rPr>
              <w:t xml:space="preserve">Competitive Threat</w:t>
            </w:r>
          </w:p>
        </w:tc>
        <w:tc>
          <w:tcPr>
            <w:tcW w:type="dxa" w:w="6240"/>
            <w:tcBorders>
              <w:top w:val="single" w:color="CCCCCC" w:sz="1"/>
              <w:left w:val="single" w:color="CCCCCC" w:sz="1"/>
              <w:bottom w:val="single" w:color="CCCCCC" w:sz="1"/>
              <w:right w:val="single" w:color="CCCCCC" w:sz="1"/>
            </w:tcBorders>
            <w:shd w:fill="FFCCCC" w:val="clear"/>
          </w:tcPr>
          <w:p>
            <w:r>
              <w:rPr>
                <w:b/>
                <w:bCs/>
                <w:color w:val="C0392B"/>
              </w:rPr>
              <w:t xml:space="preserve">VERY HIGH. </w:t>
            </w:r>
            <w:r>
              <w:t xml:space="preserve">Established player with massive user base, specialized features for healthcare professionals, and strong brand recognition. Difficult to compete without comparable scale and CME integration capabilities.</w:t>
            </w:r>
          </w:p>
        </w:tc>
      </w:tr>
    </w:tbl>
    <w:p>
      <w:pPr>
        <w:spacing w:before="240" w:after="180"/>
      </w:pPr>
      <w:r>
        <w:t xml:space="preserve"/>
      </w:r>
    </w:p>
    <w:p>
      <w:pPr>
        <w:pStyle w:val="Heading3"/>
      </w:pPr>
      <w:r>
        <w:t xml:space="preserve">Other Healthcare Event Platforms</w:t>
      </w:r>
    </w:p>
    <w:p>
      <w:pPr>
        <w:pStyle w:val="ListParagraph"/>
        <w:numPr>
          <w:ilvl w:val="0"/>
          <w:numId w:val="2"/>
        </w:numPr>
      </w:pPr>
      <w:r>
        <w:rPr>
          <w:b/>
          <w:bCs/>
        </w:rPr>
        <w:t xml:space="preserve">Physicians' Travel and Meeting Guide: </w:t>
      </w:r>
      <w:r>
        <w:t xml:space="preserve">Comprehensive databank of 2,000+ domestic, international, and online CME meetings. Updated daily. Searchable by date, specialty, location, keyword. Includes CME credits, registration fees, recreational activities.</w:t>
      </w:r>
    </w:p>
    <w:p>
      <w:pPr>
        <w:pStyle w:val="ListParagraph"/>
        <w:numPr>
          <w:ilvl w:val="0"/>
          <w:numId w:val="2"/>
        </w:numPr>
      </w:pPr>
      <w:r>
        <w:rPr>
          <w:b/>
          <w:bCs/>
        </w:rPr>
        <w:t xml:space="preserve">Conference-Service.com: </w:t>
      </w:r>
      <w:r>
        <w:t xml:space="preserve">International academic conference directory with dedicated medicine and healthcare section. Covers clinical medicine, continuing medical education (41 events), healthcare systems and hospital management, healthcare technologies, translational medicine, and veterinary medicine.</w:t>
      </w:r>
    </w:p>
    <w:p>
      <w:pPr>
        <w:pStyle w:val="ListParagraph"/>
        <w:numPr>
          <w:ilvl w:val="0"/>
          <w:numId w:val="2"/>
        </w:numPr>
      </w:pPr>
      <w:r>
        <w:rPr>
          <w:b/>
          <w:bCs/>
        </w:rPr>
        <w:t xml:space="preserve">The Conference Website: </w:t>
      </w:r>
      <w:r>
        <w:t xml:space="preserve">Over 1,500 medical conferences across all medical specialties. Provides conference dates, locations, and specialty-specific filtering. Email alert system for registered users.</w:t>
      </w:r>
    </w:p>
    <w:p>
      <w:pPr>
        <w:pStyle w:val="ListParagraph"/>
        <w:numPr>
          <w:ilvl w:val="0"/>
          <w:numId w:val="2"/>
        </w:numPr>
      </w:pPr>
      <w:r>
        <w:rPr>
          <w:b/>
          <w:bCs/>
        </w:rPr>
        <w:t xml:space="preserve">Healthcare Dive Conference Roundups: </w:t>
      </w:r>
      <w:r>
        <w:t xml:space="preserve">Annual compilation of top healthcare conferences including HIMSS, HLTH, JPMorgan Healthcare Conference, ViVE, and dozens of specialty-specific events. Editorial coverage provides credibility and reach.</w:t>
      </w:r>
    </w:p>
    <w:p>
      <w:pPr>
        <w:pStyle w:val="ListParagraph"/>
        <w:numPr>
          <w:ilvl w:val="0"/>
          <w:numId w:val="2"/>
        </w:numPr>
      </w:pPr>
      <w:r>
        <w:rPr>
          <w:b/>
          <w:bCs/>
        </w:rPr>
        <w:t xml:space="preserve">Foundation List: </w:t>
      </w:r>
      <w:r>
        <w:t xml:space="preserve">Healthcare job board that also maintains curated lists of top healthcare conferences categorized by networking opportunities, major industry events, and innovation/breakthroughs.</w:t>
      </w:r>
    </w:p>
    <w:p>
      <w:pPr>
        <w:pStyle w:val="ListParagraph"/>
        <w:numPr>
          <w:ilvl w:val="0"/>
          <w:numId w:val="2"/>
        </w:numPr>
        <w:spacing w:after="240"/>
      </w:pPr>
      <w:r>
        <w:rPr>
          <w:b/>
          <w:bCs/>
        </w:rPr>
        <w:t xml:space="preserve">OMICS International / Conference Series: </w:t>
      </w:r>
      <w:r>
        <w:t xml:space="preserve">Organizes 3,000+ conferences globally across medical and scientific fields. Self-promotion of their own events rather than pure aggregation.</w:t>
      </w:r>
    </w:p>
    <w:p>
      <w:pPr>
        <w:pStyle w:val="Heading2"/>
      </w:pPr>
      <w:r>
        <w:t xml:space="preserve">Healthcare Market Characteristics</w:t>
      </w:r>
    </w:p>
    <w:p>
      <w:pPr>
        <w:pStyle w:val="ListParagraph"/>
        <w:numPr>
          <w:ilvl w:val="0"/>
          <w:numId w:val="2"/>
        </w:numPr>
      </w:pPr>
      <w:r>
        <w:rPr>
          <w:b/>
          <w:bCs/>
        </w:rPr>
        <w:t xml:space="preserve">Mature Market: </w:t>
      </w:r>
      <w:r>
        <w:t xml:space="preserve">Healthcare conference aggregation is a well-established segment with multiple competitors operating for years.</w:t>
      </w:r>
    </w:p>
    <w:p>
      <w:pPr>
        <w:pStyle w:val="ListParagraph"/>
        <w:numPr>
          <w:ilvl w:val="0"/>
          <w:numId w:val="2"/>
        </w:numPr>
      </w:pPr>
      <w:r>
        <w:rPr>
          <w:b/>
          <w:bCs/>
        </w:rPr>
        <w:t xml:space="preserve">High User Expectations: </w:t>
      </w:r>
      <w:r>
        <w:t xml:space="preserve">Healthcare professionals expect CME credit tracking, credentialing integration, specialty filtering, and sophisticated search capabilities.</w:t>
      </w:r>
    </w:p>
    <w:p>
      <w:pPr>
        <w:pStyle w:val="ListParagraph"/>
        <w:numPr>
          <w:ilvl w:val="0"/>
          <w:numId w:val="2"/>
        </w:numPr>
      </w:pPr>
      <w:r>
        <w:rPr>
          <w:b/>
          <w:bCs/>
        </w:rPr>
        <w:t xml:space="preserve">Regulatory Complexity: </w:t>
      </w:r>
      <w:r>
        <w:t xml:space="preserve">CME/CE credit requirements vary by specialty and jurisdiction. Platforms must navigate accreditation standards from bodies like ACCME, AMA, state medical boards.</w:t>
      </w:r>
    </w:p>
    <w:p>
      <w:pPr>
        <w:pStyle w:val="ListParagraph"/>
        <w:numPr>
          <w:ilvl w:val="0"/>
          <w:numId w:val="2"/>
        </w:numPr>
      </w:pPr>
      <w:r>
        <w:rPr>
          <w:b/>
          <w:bCs/>
        </w:rPr>
        <w:t xml:space="preserve">Large Market Size: </w:t>
      </w:r>
      <w:r>
        <w:t xml:space="preserve">Millions of physicians, nurses, clinicians, dentists, and healthcare administrators need continuing education, creating significant demand but also attracting substantial competition.</w:t>
      </w:r>
    </w:p>
    <w:p>
      <w:pPr>
        <w:pStyle w:val="ListParagraph"/>
        <w:numPr>
          <w:ilvl w:val="0"/>
          <w:numId w:val="2"/>
        </w:numPr>
        <w:spacing w:after="360"/>
      </w:pPr>
      <w:r>
        <w:rPr>
          <w:b/>
          <w:bCs/>
        </w:rPr>
        <w:t xml:space="preserve">Content Volume: </w:t>
      </w:r>
      <w:r>
        <w:t xml:space="preserve">Thousands of medical conferences annually across dozens of specialties. Requires sophisticated categorization and filtering systems.</w:t>
      </w:r>
    </w:p>
    <w:p>
      <w:r>
        <w:br w:type="page"/>
      </w:r>
    </w:p>
    <w:p>
      <w:pPr>
        <w:pStyle w:val="Heading1"/>
      </w:pPr>
      <w:r>
        <w:t xml:space="preserve">Education: Fragmented but Active Competition</w:t>
      </w:r>
    </w:p>
    <w:p>
      <w:pPr>
        <w:pStyle w:val="Heading2"/>
      </w:pPr>
      <w:r>
        <w:t xml:space="preserve">Major Competitors in Education Events</w:t>
      </w:r>
    </w:p>
    <w:p>
      <w:pPr>
        <w:spacing w:after="180"/>
      </w:pPr>
      <w:r>
        <w:t xml:space="preserve">The education conference space is more fragmented than healthcare but still has established aggregators and comprehensive listing services:</w:t>
      </w:r>
    </w:p>
    <w:p>
      <w:pPr>
        <w:pStyle w:val="ListParagraph"/>
        <w:numPr>
          <w:ilvl w:val="0"/>
          <w:numId w:val="2"/>
        </w:numPr>
      </w:pPr>
      <w:r>
        <w:rPr>
          <w:b/>
          <w:bCs/>
        </w:rPr>
        <w:t xml:space="preserve">K-12 Dive: </w:t>
      </w:r>
      <w:r>
        <w:t xml:space="preserve">Annual comprehensive roundups of top K-12 conferences. Editorial platform with significant reach among school administrators and educators. Curated lists include FETC, SXSW EDU, ISTE, AASA Conference, CoSN, and dozens more.</w:t>
      </w:r>
    </w:p>
    <w:p>
      <w:pPr>
        <w:pStyle w:val="ListParagraph"/>
        <w:numPr>
          <w:ilvl w:val="0"/>
          <w:numId w:val="2"/>
        </w:numPr>
      </w:pPr>
      <w:r>
        <w:rPr>
          <w:b/>
          <w:bCs/>
        </w:rPr>
        <w:t xml:space="preserve">K-12 Tech Conference Directory: </w:t>
      </w:r>
      <w:r>
        <w:t xml:space="preserve">Comprehensive list of technology education conferences in the United States. Sortable by state. Focused specifically on EdTech segment.</w:t>
      </w:r>
    </w:p>
    <w:p>
      <w:pPr>
        <w:pStyle w:val="ListParagraph"/>
        <w:numPr>
          <w:ilvl w:val="0"/>
          <w:numId w:val="2"/>
        </w:numPr>
      </w:pPr>
      <w:r>
        <w:rPr>
          <w:b/>
          <w:bCs/>
        </w:rPr>
        <w:t xml:space="preserve">Getting Smart Education Conference Guides: </w:t>
      </w:r>
      <w:r>
        <w:t xml:space="preserve">Annual curated lists of can't-miss education conferences. Categorized by focus area (EdTech, instructional leadership, early learning, policy). Strong brand in education innovation community.</w:t>
      </w:r>
    </w:p>
    <w:p>
      <w:pPr>
        <w:pStyle w:val="ListParagraph"/>
        <w:numPr>
          <w:ilvl w:val="0"/>
          <w:numId w:val="2"/>
        </w:numPr>
      </w:pPr>
      <w:r>
        <w:rPr>
          <w:b/>
          <w:bCs/>
        </w:rPr>
        <w:t xml:space="preserve">Sched Education Conference Guide: </w:t>
      </w:r>
      <w:r>
        <w:t xml:space="preserve">Lists top 10 education conferences with detailed descriptions. Sched also provides conference management software, creating dual business model.</w:t>
      </w:r>
    </w:p>
    <w:p>
      <w:pPr>
        <w:pStyle w:val="ListParagraph"/>
        <w:numPr>
          <w:ilvl w:val="0"/>
          <w:numId w:val="2"/>
        </w:numPr>
      </w:pPr>
      <w:r>
        <w:rPr>
          <w:b/>
          <w:bCs/>
        </w:rPr>
        <w:t xml:space="preserve">All Conference Alert Education Section: </w:t>
      </w:r>
      <w:r>
        <w:t xml:space="preserve">General academic conference directory with dedicated education category. 200,000+ registered subscribers. Free event submission for organizers.</w:t>
      </w:r>
    </w:p>
    <w:p>
      <w:pPr>
        <w:pStyle w:val="ListParagraph"/>
        <w:numPr>
          <w:ilvl w:val="0"/>
          <w:numId w:val="2"/>
        </w:numPr>
      </w:pPr>
      <w:r>
        <w:rPr>
          <w:b/>
          <w:bCs/>
        </w:rPr>
        <w:t xml:space="preserve">College Board National Events: </w:t>
      </w:r>
      <w:r>
        <w:t xml:space="preserve">Promotes their own higher education conferences (AP Annual Conference, College Board Forum, Colloquium, HBCU Conference, Prepárate). Self-promotion rather than aggregation but strong brand presence.</w:t>
      </w:r>
    </w:p>
    <w:p>
      <w:pPr>
        <w:pStyle w:val="ListParagraph"/>
        <w:numPr>
          <w:ilvl w:val="0"/>
          <w:numId w:val="2"/>
        </w:numPr>
        <w:spacing w:after="240"/>
      </w:pPr>
      <w:r>
        <w:rPr>
          <w:b/>
          <w:bCs/>
        </w:rPr>
        <w:t xml:space="preserve">Innovative Schools Summit: </w:t>
      </w:r>
      <w:r>
        <w:t xml:space="preserve">Large K-12 education conference organizer. Multiple conferences per year across different cities. Focus on innovative teaching strategies, at-risk students, school leadership, AI/tech, and discipline.</w:t>
      </w:r>
    </w:p>
    <w:p>
      <w:pPr>
        <w:pStyle w:val="Heading2"/>
      </w:pPr>
      <w:r>
        <w:t xml:space="preserve">Education Market Characteristics</w:t>
      </w:r>
    </w:p>
    <w:p>
      <w:pPr>
        <w:pStyle w:val="ListParagraph"/>
        <w:numPr>
          <w:ilvl w:val="0"/>
          <w:numId w:val="2"/>
        </w:numPr>
      </w:pPr>
      <w:r>
        <w:rPr>
          <w:b/>
          <w:bCs/>
        </w:rPr>
        <w:t xml:space="preserve">Segmented Market: </w:t>
      </w:r>
      <w:r>
        <w:t xml:space="preserve">Education conferences divide into K-12, higher education, EdTech, special education, administration, instructional design, and more. Each segment has different needs and event types.</w:t>
      </w:r>
    </w:p>
    <w:p>
      <w:pPr>
        <w:pStyle w:val="ListParagraph"/>
        <w:numPr>
          <w:ilvl w:val="0"/>
          <w:numId w:val="2"/>
        </w:numPr>
      </w:pPr>
      <w:r>
        <w:rPr>
          <w:b/>
          <w:bCs/>
        </w:rPr>
        <w:t xml:space="preserve">Editorial Competition: </w:t>
      </w:r>
      <w:r>
        <w:t xml:space="preserve">Education media outlets (K-12 Dive, Getting Smart, EdSurge) provide curated conference roundups as content, competing for audience attention with editorial credibility.</w:t>
      </w:r>
    </w:p>
    <w:p>
      <w:pPr>
        <w:pStyle w:val="ListParagraph"/>
        <w:numPr>
          <w:ilvl w:val="0"/>
          <w:numId w:val="2"/>
        </w:numPr>
      </w:pPr>
      <w:r>
        <w:rPr>
          <w:b/>
          <w:bCs/>
        </w:rPr>
        <w:t xml:space="preserve">Professional Development Focus: </w:t>
      </w:r>
      <w:r>
        <w:t xml:space="preserve">Educators attend conferences for PD credits, certification requirements, and skill building. Platforms should integrate with state requirements and professional organizations.</w:t>
      </w:r>
    </w:p>
    <w:p>
      <w:pPr>
        <w:pStyle w:val="ListParagraph"/>
        <w:numPr>
          <w:ilvl w:val="0"/>
          <w:numId w:val="2"/>
        </w:numPr>
      </w:pPr>
      <w:r>
        <w:rPr>
          <w:b/>
          <w:bCs/>
        </w:rPr>
        <w:t xml:space="preserve">Budget Constraints: </w:t>
      </w:r>
      <w:r>
        <w:t xml:space="preserve">Public school districts face tight budgets for professional development. Lower willingness-to-pay for premium services compared to healthcare or corporate sectors.</w:t>
      </w:r>
    </w:p>
    <w:p>
      <w:pPr>
        <w:pStyle w:val="ListParagraph"/>
        <w:numPr>
          <w:ilvl w:val="0"/>
          <w:numId w:val="2"/>
        </w:numPr>
        <w:spacing w:after="360"/>
      </w:pPr>
      <w:r>
        <w:rPr>
          <w:b/>
          <w:bCs/>
        </w:rPr>
        <w:t xml:space="preserve">Seasonal Patterns: </w:t>
      </w:r>
      <w:r>
        <w:t xml:space="preserve">Conference attendance peaks during summer break and school year transitions. Marketing and outreach must align with academic calendar.</w:t>
      </w:r>
    </w:p>
    <w:p>
      <w:pPr>
        <w:pStyle w:val="Heading1"/>
      </w:pPr>
      <w:r>
        <w:t xml:space="preserve">Competitive Impact Analysis</w:t>
      </w:r>
    </w:p>
    <w:p>
      <w:pPr>
        <w:pStyle w:val="Heading2"/>
      </w:pPr>
      <w:r>
        <w:t xml:space="preserve">How Expansion Changes Competitive Position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4F8" w:val="clear"/>
          </w:tcPr>
          <w:p>
            <w:pPr>
              <w:jc w:val="center"/>
            </w:pPr>
            <w:r>
              <w:rPr>
                <w:b/>
                <w:bCs/>
              </w:rPr>
              <w:t xml:space="preserve">Factor</w:t>
            </w:r>
          </w:p>
        </w:tc>
        <w:tc>
          <w:tcPr>
            <w:tcW w:type="dxa" w:w="3120"/>
            <w:tcBorders>
              <w:top w:val="single" w:color="CCCCCC" w:sz="1"/>
              <w:left w:val="single" w:color="CCCCCC" w:sz="1"/>
              <w:bottom w:val="single" w:color="CCCCCC" w:sz="1"/>
              <w:right w:val="single" w:color="CCCCCC" w:sz="1"/>
            </w:tcBorders>
            <w:shd w:fill="E6F7E6" w:val="clear"/>
          </w:tcPr>
          <w:p>
            <w:pPr>
              <w:jc w:val="center"/>
            </w:pPr>
            <w:r>
              <w:rPr>
                <w:b/>
                <w:bCs/>
              </w:rPr>
              <w:t xml:space="preserve">National Security Only</w:t>
            </w:r>
          </w:p>
        </w:tc>
        <w:tc>
          <w:tcPr>
            <w:tcW w:type="dxa" w:w="3120"/>
            <w:tcBorders>
              <w:top w:val="single" w:color="CCCCCC" w:sz="1"/>
              <w:left w:val="single" w:color="CCCCCC" w:sz="1"/>
              <w:bottom w:val="single" w:color="CCCCCC" w:sz="1"/>
              <w:right w:val="single" w:color="CCCCCC" w:sz="1"/>
            </w:tcBorders>
            <w:shd w:fill="FFE6E6" w:val="clear"/>
          </w:tcPr>
          <w:p>
            <w:pPr>
              <w:jc w:val="center"/>
            </w:pPr>
            <w:r>
              <w:rPr>
                <w:b/>
                <w:bCs/>
              </w:rPr>
              <w:t xml:space="preserve">Multi-Vertical Expansion</w:t>
            </w:r>
          </w:p>
        </w:tc>
      </w:tr>
      <w:tr>
        <w:tc>
          <w:tcPr>
            <w:tcW w:type="dxa" w:w="3120"/>
            <w:tcBorders>
              <w:top w:val="single" w:color="CCCCCC" w:sz="1"/>
              <w:left w:val="single" w:color="CCCCCC" w:sz="1"/>
              <w:bottom w:val="single" w:color="CCCCCC" w:sz="1"/>
              <w:right w:val="single" w:color="CCCCCC" w:sz="1"/>
            </w:tcBorders>
          </w:tcPr>
          <w:p>
            <w:r>
              <w:rPr>
                <w:b/>
                <w:bCs/>
              </w:rPr>
              <w:t xml:space="preserve">Direct Competition</w:t>
            </w:r>
          </w:p>
        </w:tc>
        <w:tc>
          <w:tcPr>
            <w:tcW w:type="dxa" w:w="3120"/>
            <w:tcBorders>
              <w:top w:val="single" w:color="CCCCCC" w:sz="1"/>
              <w:left w:val="single" w:color="CCCCCC" w:sz="1"/>
              <w:bottom w:val="single" w:color="CCCCCC" w:sz="1"/>
              <w:right w:val="single" w:color="CCCCCC" w:sz="1"/>
            </w:tcBorders>
            <w:shd w:fill="F0F8F0" w:val="clear"/>
          </w:tcPr>
          <w:p>
            <w:r>
              <w:t xml:space="preserve">Minimal to none</w:t>
            </w:r>
          </w:p>
        </w:tc>
        <w:tc>
          <w:tcPr>
            <w:tcW w:type="dxa" w:w="3120"/>
            <w:tcBorders>
              <w:top w:val="single" w:color="CCCCCC" w:sz="1"/>
              <w:left w:val="single" w:color="CCCCCC" w:sz="1"/>
              <w:bottom w:val="single" w:color="CCCCCC" w:sz="1"/>
              <w:right w:val="single" w:color="CCCCCC" w:sz="1"/>
            </w:tcBorders>
            <w:shd w:fill="FFF0F0" w:val="clear"/>
          </w:tcPr>
          <w:p>
            <w:r>
              <w:t xml:space="preserve">Multiple established competitors per vertical</w:t>
            </w:r>
          </w:p>
        </w:tc>
      </w:tr>
      <w:tr>
        <w:tc>
          <w:tcPr>
            <w:tcW w:type="dxa" w:w="3120"/>
            <w:tcBorders>
              <w:top w:val="single" w:color="CCCCCC" w:sz="1"/>
              <w:left w:val="single" w:color="CCCCCC" w:sz="1"/>
              <w:bottom w:val="single" w:color="CCCCCC" w:sz="1"/>
              <w:right w:val="single" w:color="CCCCCC" w:sz="1"/>
            </w:tcBorders>
          </w:tcPr>
          <w:p>
            <w:r>
              <w:rPr>
                <w:b/>
                <w:bCs/>
              </w:rPr>
              <w:t xml:space="preserve">Market Maturity</w:t>
            </w:r>
          </w:p>
        </w:tc>
        <w:tc>
          <w:tcPr>
            <w:tcW w:type="dxa" w:w="3120"/>
            <w:tcBorders>
              <w:top w:val="single" w:color="CCCCCC" w:sz="1"/>
              <w:left w:val="single" w:color="CCCCCC" w:sz="1"/>
              <w:bottom w:val="single" w:color="CCCCCC" w:sz="1"/>
              <w:right w:val="single" w:color="CCCCCC" w:sz="1"/>
            </w:tcBorders>
            <w:shd w:fill="F0F8F0" w:val="clear"/>
          </w:tcPr>
          <w:p>
            <w:r>
              <w:t xml:space="preserve">Underserved / nascent</w:t>
            </w:r>
          </w:p>
        </w:tc>
        <w:tc>
          <w:tcPr>
            <w:tcW w:type="dxa" w:w="3120"/>
            <w:tcBorders>
              <w:top w:val="single" w:color="CCCCCC" w:sz="1"/>
              <w:left w:val="single" w:color="CCCCCC" w:sz="1"/>
              <w:bottom w:val="single" w:color="CCCCCC" w:sz="1"/>
              <w:right w:val="single" w:color="CCCCCC" w:sz="1"/>
            </w:tcBorders>
            <w:shd w:fill="FFF0F0" w:val="clear"/>
          </w:tcPr>
          <w:p>
            <w:r>
              <w:t xml:space="preserve">Mature markets with established platforms</w:t>
            </w:r>
          </w:p>
        </w:tc>
      </w:tr>
      <w:tr>
        <w:tc>
          <w:tcPr>
            <w:tcW w:type="dxa" w:w="3120"/>
            <w:tcBorders>
              <w:top w:val="single" w:color="CCCCCC" w:sz="1"/>
              <w:left w:val="single" w:color="CCCCCC" w:sz="1"/>
              <w:bottom w:val="single" w:color="CCCCCC" w:sz="1"/>
              <w:right w:val="single" w:color="CCCCCC" w:sz="1"/>
            </w:tcBorders>
          </w:tcPr>
          <w:p>
            <w:r>
              <w:rPr>
                <w:b/>
                <w:bCs/>
              </w:rPr>
              <w:t xml:space="preserve">User Acquisition</w:t>
            </w:r>
          </w:p>
        </w:tc>
        <w:tc>
          <w:tcPr>
            <w:tcW w:type="dxa" w:w="3120"/>
            <w:tcBorders>
              <w:top w:val="single" w:color="CCCCCC" w:sz="1"/>
              <w:left w:val="single" w:color="CCCCCC" w:sz="1"/>
              <w:bottom w:val="single" w:color="CCCCCC" w:sz="1"/>
              <w:right w:val="single" w:color="CCCCCC" w:sz="1"/>
            </w:tcBorders>
            <w:shd w:fill="F0F8F0" w:val="clear"/>
          </w:tcPr>
          <w:p>
            <w:r>
              <w:t xml:space="preserve">Word-of-mouth in tight community</w:t>
            </w:r>
          </w:p>
        </w:tc>
        <w:tc>
          <w:tcPr>
            <w:tcW w:type="dxa" w:w="3120"/>
            <w:tcBorders>
              <w:top w:val="single" w:color="CCCCCC" w:sz="1"/>
              <w:left w:val="single" w:color="CCCCCC" w:sz="1"/>
              <w:bottom w:val="single" w:color="CCCCCC" w:sz="1"/>
              <w:right w:val="single" w:color="CCCCCC" w:sz="1"/>
            </w:tcBorders>
            <w:shd w:fill="FFF0F0" w:val="clear"/>
          </w:tcPr>
          <w:p>
            <w:r>
              <w:t xml:space="preserve">Must compete against platforms with 500K+ users</w:t>
            </w:r>
          </w:p>
        </w:tc>
      </w:tr>
      <w:tr>
        <w:tc>
          <w:tcPr>
            <w:tcW w:type="dxa" w:w="3120"/>
            <w:tcBorders>
              <w:top w:val="single" w:color="CCCCCC" w:sz="1"/>
              <w:left w:val="single" w:color="CCCCCC" w:sz="1"/>
              <w:bottom w:val="single" w:color="CCCCCC" w:sz="1"/>
              <w:right w:val="single" w:color="CCCCCC" w:sz="1"/>
            </w:tcBorders>
          </w:tcPr>
          <w:p>
            <w:r>
              <w:rPr>
                <w:b/>
                <w:bCs/>
              </w:rPr>
              <w:t xml:space="preserve">Feature Requirements</w:t>
            </w:r>
          </w:p>
        </w:tc>
        <w:tc>
          <w:tcPr>
            <w:tcW w:type="dxa" w:w="3120"/>
            <w:tcBorders>
              <w:top w:val="single" w:color="CCCCCC" w:sz="1"/>
              <w:left w:val="single" w:color="CCCCCC" w:sz="1"/>
              <w:bottom w:val="single" w:color="CCCCCC" w:sz="1"/>
              <w:right w:val="single" w:color="CCCCCC" w:sz="1"/>
            </w:tcBorders>
            <w:shd w:fill="F0F8F0" w:val="clear"/>
          </w:tcPr>
          <w:p>
            <w:r>
              <w:t xml:space="preserve">Basic aggregation and search sufficient</w:t>
            </w:r>
          </w:p>
        </w:tc>
        <w:tc>
          <w:tcPr>
            <w:tcW w:type="dxa" w:w="3120"/>
            <w:tcBorders>
              <w:top w:val="single" w:color="CCCCCC" w:sz="1"/>
              <w:left w:val="single" w:color="CCCCCC" w:sz="1"/>
              <w:bottom w:val="single" w:color="CCCCCC" w:sz="1"/>
              <w:right w:val="single" w:color="CCCCCC" w:sz="1"/>
            </w:tcBorders>
            <w:shd w:fill="FFF0F0" w:val="clear"/>
          </w:tcPr>
          <w:p>
            <w:r>
              <w:t xml:space="preserve">CME tracking, certification integration, specialty filtering expected</w:t>
            </w:r>
          </w:p>
        </w:tc>
      </w:tr>
      <w:tr>
        <w:tc>
          <w:tcPr>
            <w:tcW w:type="dxa" w:w="3120"/>
            <w:tcBorders>
              <w:top w:val="single" w:color="CCCCCC" w:sz="1"/>
              <w:left w:val="single" w:color="CCCCCC" w:sz="1"/>
              <w:bottom w:val="single" w:color="CCCCCC" w:sz="1"/>
              <w:right w:val="single" w:color="CCCCCC" w:sz="1"/>
            </w:tcBorders>
          </w:tcPr>
          <w:p>
            <w:r>
              <w:rPr>
                <w:b/>
                <w:bCs/>
              </w:rPr>
              <w:t xml:space="preserve">Development Complexity</w:t>
            </w:r>
          </w:p>
        </w:tc>
        <w:tc>
          <w:tcPr>
            <w:tcW w:type="dxa" w:w="3120"/>
            <w:tcBorders>
              <w:top w:val="single" w:color="CCCCCC" w:sz="1"/>
              <w:left w:val="single" w:color="CCCCCC" w:sz="1"/>
              <w:bottom w:val="single" w:color="CCCCCC" w:sz="1"/>
              <w:right w:val="single" w:color="CCCCCC" w:sz="1"/>
            </w:tcBorders>
            <w:shd w:fill="F0F8F0" w:val="clear"/>
          </w:tcPr>
          <w:p>
            <w:r>
              <w:t xml:space="preserve">Lower - 14 source organizations</w:t>
            </w:r>
          </w:p>
        </w:tc>
        <w:tc>
          <w:tcPr>
            <w:tcW w:type="dxa" w:w="3120"/>
            <w:tcBorders>
              <w:top w:val="single" w:color="CCCCCC" w:sz="1"/>
              <w:left w:val="single" w:color="CCCCCC" w:sz="1"/>
              <w:bottom w:val="single" w:color="CCCCCC" w:sz="1"/>
              <w:right w:val="single" w:color="CCCCCC" w:sz="1"/>
            </w:tcBorders>
            <w:shd w:fill="FFF0F0" w:val="clear"/>
          </w:tcPr>
          <w:p>
            <w:r>
              <w:t xml:space="preserve">Higher - hundreds/thousands of sources per vertical</w:t>
            </w:r>
          </w:p>
        </w:tc>
      </w:tr>
      <w:tr>
        <w:tc>
          <w:tcPr>
            <w:tcW w:type="dxa" w:w="3120"/>
            <w:tcBorders>
              <w:top w:val="single" w:color="CCCCCC" w:sz="1"/>
              <w:left w:val="single" w:color="CCCCCC" w:sz="1"/>
              <w:bottom w:val="single" w:color="CCCCCC" w:sz="1"/>
              <w:right w:val="single" w:color="CCCCCC" w:sz="1"/>
            </w:tcBorders>
          </w:tcPr>
          <w:p>
            <w:r>
              <w:rPr>
                <w:b/>
                <w:bCs/>
              </w:rPr>
              <w:t xml:space="preserve">Brand Differentiation</w:t>
            </w:r>
          </w:p>
        </w:tc>
        <w:tc>
          <w:tcPr>
            <w:tcW w:type="dxa" w:w="3120"/>
            <w:tcBorders>
              <w:top w:val="single" w:color="CCCCCC" w:sz="1"/>
              <w:left w:val="single" w:color="CCCCCC" w:sz="1"/>
              <w:bottom w:val="single" w:color="CCCCCC" w:sz="1"/>
              <w:right w:val="single" w:color="CCCCCC" w:sz="1"/>
            </w:tcBorders>
            <w:shd w:fill="F0F8F0" w:val="clear"/>
          </w:tcPr>
          <w:p>
            <w:r>
              <w:t xml:space="preserve">Clear niche positioning</w:t>
            </w:r>
          </w:p>
        </w:tc>
        <w:tc>
          <w:tcPr>
            <w:tcW w:type="dxa" w:w="3120"/>
            <w:tcBorders>
              <w:top w:val="single" w:color="CCCCCC" w:sz="1"/>
              <w:left w:val="single" w:color="CCCCCC" w:sz="1"/>
              <w:bottom w:val="single" w:color="CCCCCC" w:sz="1"/>
              <w:right w:val="single" w:color="CCCCCC" w:sz="1"/>
            </w:tcBorders>
            <w:shd w:fill="FFF0F0" w:val="clear"/>
          </w:tcPr>
          <w:p>
            <w:r>
              <w:t xml:space="preserve">Generic multi-vertical platform competing with specialists</w:t>
            </w:r>
          </w:p>
        </w:tc>
      </w:tr>
      <w:tr>
        <w:tc>
          <w:tcPr>
            <w:tcW w:type="dxa" w:w="3120"/>
            <w:tcBorders>
              <w:top w:val="single" w:color="CCCCCC" w:sz="1"/>
              <w:left w:val="single" w:color="CCCCCC" w:sz="1"/>
              <w:bottom w:val="single" w:color="CCCCCC" w:sz="1"/>
              <w:right w:val="single" w:color="CCCCCC" w:sz="1"/>
            </w:tcBorders>
          </w:tcPr>
          <w:p>
            <w:r>
              <w:rPr>
                <w:b/>
                <w:bCs/>
              </w:rPr>
              <w:t xml:space="preserve">Marketing Costs</w:t>
            </w:r>
          </w:p>
        </w:tc>
        <w:tc>
          <w:tcPr>
            <w:tcW w:type="dxa" w:w="3120"/>
            <w:tcBorders>
              <w:top w:val="single" w:color="CCCCCC" w:sz="1"/>
              <w:left w:val="single" w:color="CCCCCC" w:sz="1"/>
              <w:bottom w:val="single" w:color="CCCCCC" w:sz="1"/>
              <w:right w:val="single" w:color="CCCCCC" w:sz="1"/>
            </w:tcBorders>
            <w:shd w:fill="F0F8F0" w:val="clear"/>
          </w:tcPr>
          <w:p>
            <w:r>
              <w:t xml:space="preserve">Lower - targeted community</w:t>
            </w:r>
          </w:p>
        </w:tc>
        <w:tc>
          <w:tcPr>
            <w:tcW w:type="dxa" w:w="3120"/>
            <w:tcBorders>
              <w:top w:val="single" w:color="CCCCCC" w:sz="1"/>
              <w:left w:val="single" w:color="CCCCCC" w:sz="1"/>
              <w:bottom w:val="single" w:color="CCCCCC" w:sz="1"/>
              <w:right w:val="single" w:color="CCCCCC" w:sz="1"/>
            </w:tcBorders>
            <w:shd w:fill="FFF0F0" w:val="clear"/>
          </w:tcPr>
          <w:p>
            <w:r>
              <w:t xml:space="preserve">Higher - must reach multiple diverse audiences</w:t>
            </w:r>
          </w:p>
        </w:tc>
      </w:tr>
      <w:tr>
        <w:tc>
          <w:tcPr>
            <w:tcW w:type="dxa" w:w="3120"/>
            <w:tcBorders>
              <w:top w:val="single" w:color="CCCCCC" w:sz="1"/>
              <w:left w:val="single" w:color="CCCCCC" w:sz="1"/>
              <w:bottom w:val="single" w:color="CCCCCC" w:sz="1"/>
              <w:right w:val="single" w:color="CCCCCC" w:sz="1"/>
            </w:tcBorders>
          </w:tcPr>
          <w:p>
            <w:r>
              <w:rPr>
                <w:b/>
                <w:bCs/>
              </w:rPr>
              <w:t xml:space="preserve">Content Curation</w:t>
            </w:r>
          </w:p>
        </w:tc>
        <w:tc>
          <w:tcPr>
            <w:tcW w:type="dxa" w:w="3120"/>
            <w:tcBorders>
              <w:top w:val="single" w:color="CCCCCC" w:sz="1"/>
              <w:left w:val="single" w:color="CCCCCC" w:sz="1"/>
              <w:bottom w:val="single" w:color="CCCCCC" w:sz="1"/>
              <w:right w:val="single" w:color="CCCCCC" w:sz="1"/>
            </w:tcBorders>
            <w:shd w:fill="F0F8F0" w:val="clear"/>
          </w:tcPr>
          <w:p>
            <w:r>
              <w:t xml:space="preserve">Deep expertise enables quality curation</w:t>
            </w:r>
          </w:p>
        </w:tc>
        <w:tc>
          <w:tcPr>
            <w:tcW w:type="dxa" w:w="3120"/>
            <w:tcBorders>
              <w:top w:val="single" w:color="CCCCCC" w:sz="1"/>
              <w:left w:val="single" w:color="CCCCCC" w:sz="1"/>
              <w:bottom w:val="single" w:color="CCCCCC" w:sz="1"/>
              <w:right w:val="single" w:color="CCCCCC" w:sz="1"/>
            </w:tcBorders>
            <w:shd w:fill="FFF0F0" w:val="clear"/>
          </w:tcPr>
          <w:p>
            <w:r>
              <w:t xml:space="preserve">Difficult to maintain quality across multiple specialized fields</w:t>
            </w:r>
          </w:p>
        </w:tc>
      </w:tr>
      <w:tr>
        <w:tc>
          <w:tcPr>
            <w:tcW w:type="dxa" w:w="3120"/>
            <w:tcBorders>
              <w:top w:val="single" w:color="CCCCCC" w:sz="1"/>
              <w:left w:val="single" w:color="CCCCCC" w:sz="1"/>
              <w:bottom w:val="single" w:color="CCCCCC" w:sz="1"/>
              <w:right w:val="single" w:color="CCCCCC" w:sz="1"/>
            </w:tcBorders>
          </w:tcPr>
          <w:p>
            <w:r>
              <w:rPr>
                <w:b/>
                <w:bCs/>
              </w:rPr>
              <w:t xml:space="preserve">Credibility</w:t>
            </w:r>
          </w:p>
        </w:tc>
        <w:tc>
          <w:tcPr>
            <w:tcW w:type="dxa" w:w="3120"/>
            <w:tcBorders>
              <w:top w:val="single" w:color="CCCCCC" w:sz="1"/>
              <w:left w:val="single" w:color="CCCCCC" w:sz="1"/>
              <w:bottom w:val="single" w:color="CCCCCC" w:sz="1"/>
              <w:right w:val="single" w:color="CCCCCC" w:sz="1"/>
            </w:tcBorders>
            <w:shd w:fill="F0F8F0" w:val="clear"/>
          </w:tcPr>
          <w:p>
            <w:r>
              <w:t xml:space="preserve">Specialist expertise builds trust</w:t>
            </w:r>
          </w:p>
        </w:tc>
        <w:tc>
          <w:tcPr>
            <w:tcW w:type="dxa" w:w="3120"/>
            <w:tcBorders>
              <w:top w:val="single" w:color="CCCCCC" w:sz="1"/>
              <w:left w:val="single" w:color="CCCCCC" w:sz="1"/>
              <w:bottom w:val="single" w:color="CCCCCC" w:sz="1"/>
              <w:right w:val="single" w:color="CCCCCC" w:sz="1"/>
            </w:tcBorders>
            <w:shd w:fill="FFF0F0" w:val="clear"/>
          </w:tcPr>
          <w:p>
            <w:r>
              <w:t xml:space="preserve">Generalist perceived as lacking depth</w:t>
            </w:r>
          </w:p>
        </w:tc>
      </w:tr>
      <w:tr>
        <w:tc>
          <w:tcPr>
            <w:tcW w:type="dxa" w:w="3120"/>
            <w:tcBorders>
              <w:top w:val="single" w:color="CCCCCC" w:sz="1"/>
              <w:left w:val="single" w:color="CCCCCC" w:sz="1"/>
              <w:bottom w:val="single" w:color="CCCCCC" w:sz="1"/>
              <w:right w:val="single" w:color="CCCCCC" w:sz="1"/>
            </w:tcBorders>
          </w:tcPr>
          <w:p>
            <w:r>
              <w:rPr>
                <w:b/>
                <w:bCs/>
              </w:rPr>
              <w:t xml:space="preserve">Time to Viability</w:t>
            </w:r>
          </w:p>
        </w:tc>
        <w:tc>
          <w:tcPr>
            <w:tcW w:type="dxa" w:w="3120"/>
            <w:tcBorders>
              <w:top w:val="single" w:color="CCCCCC" w:sz="1"/>
              <w:left w:val="single" w:color="CCCCCC" w:sz="1"/>
              <w:bottom w:val="single" w:color="CCCCCC" w:sz="1"/>
              <w:right w:val="single" w:color="CCCCCC" w:sz="1"/>
            </w:tcBorders>
            <w:shd w:fill="F0F8F0" w:val="clear"/>
          </w:tcPr>
          <w:p>
            <w:r>
              <w:t xml:space="preserve">6-12 months to prove concept</w:t>
            </w:r>
          </w:p>
        </w:tc>
        <w:tc>
          <w:tcPr>
            <w:tcW w:type="dxa" w:w="3120"/>
            <w:tcBorders>
              <w:top w:val="single" w:color="CCCCCC" w:sz="1"/>
              <w:left w:val="single" w:color="CCCCCC" w:sz="1"/>
              <w:bottom w:val="single" w:color="CCCCCC" w:sz="1"/>
              <w:right w:val="single" w:color="CCCCCC" w:sz="1"/>
            </w:tcBorders>
            <w:shd w:fill="FFF0F0" w:val="clear"/>
          </w:tcPr>
          <w:p>
            <w:r>
              <w:t xml:space="preserve">2-3+ years to gain traction per vertical</w:t>
            </w:r>
          </w:p>
        </w:tc>
      </w:tr>
    </w:tbl>
    <w:p>
      <w:pPr>
        <w:spacing w:before="360" w:after="240"/>
      </w:pPr>
      <w:r>
        <w:t xml:space="preserve"/>
      </w:r>
    </w:p>
    <w:p>
      <w:pPr>
        <w:pStyle w:val="Heading1"/>
      </w:pPr>
      <w:r>
        <w:t xml:space="preserve">Strategic Implications</w:t>
      </w:r>
    </w:p>
    <w:p>
      <w:pPr>
        <w:pStyle w:val="Heading2"/>
      </w:pPr>
      <w:r>
        <w:t xml:space="preserve">Why Multi-Vertical Expansion Would Be Detrimental</w:t>
      </w:r>
    </w:p>
    <w:p>
      <w:pPr>
        <w:pStyle w:val="ListParagraph"/>
        <w:numPr>
          <w:ilvl w:val="0"/>
          <w:numId w:val="2"/>
        </w:numPr>
      </w:pPr>
      <w:r>
        <w:rPr>
          <w:b/>
          <w:bCs/>
        </w:rPr>
        <w:t xml:space="preserve">Loss of Competitive Advantage: </w:t>
      </w:r>
      <w:r>
        <w:t xml:space="preserve">Event Finder's core strength is specialized expertise in the national security vertical. Expanding to healthcare or education means competing against established platforms with 500,000+ users (eMedEvents) that have been operating for years. The favorable competitive position identified in the primary analysis exists specifically because there are no established national security event aggregators.</w:t>
      </w:r>
    </w:p>
    <w:p>
      <w:pPr>
        <w:pStyle w:val="ListParagraph"/>
        <w:numPr>
          <w:ilvl w:val="0"/>
          <w:numId w:val="2"/>
        </w:numPr>
      </w:pPr>
      <w:r>
        <w:rPr>
          <w:b/>
          <w:bCs/>
        </w:rPr>
        <w:t xml:space="preserve">Diluted Brand Identity: </w:t>
      </w:r>
      <w:r>
        <w:t xml:space="preserve">A multi-vertical platform becomes a generic conference aggregator competing with All Conference Alert, which already serves 200,000+ subscribers across all fields. Event Finder's value proposition as 'the national security event platform' disappears when it tries to serve everyone.</w:t>
      </w:r>
    </w:p>
    <w:p>
      <w:pPr>
        <w:pStyle w:val="ListParagraph"/>
        <w:numPr>
          <w:ilvl w:val="0"/>
          <w:numId w:val="2"/>
        </w:numPr>
      </w:pPr>
      <w:r>
        <w:rPr>
          <w:b/>
          <w:bCs/>
        </w:rPr>
        <w:t xml:space="preserve">Resource Dispersion: </w:t>
      </w:r>
      <w:r>
        <w:t xml:space="preserve">Healthcare alone would require scraping hundreds or thousands of event sources, implementing CME credit tracking, integrating with medical credentialing bodies, and understanding complex regulatory requirements. Education adds similar complexity with PD credits and state-specific requirements. Resources spread thin across multiple verticals instead of excelling in one.</w:t>
      </w:r>
    </w:p>
    <w:p>
      <w:pPr>
        <w:pStyle w:val="ListParagraph"/>
        <w:numPr>
          <w:ilvl w:val="0"/>
          <w:numId w:val="2"/>
        </w:numPr>
      </w:pPr>
      <w:r>
        <w:rPr>
          <w:b/>
          <w:bCs/>
        </w:rPr>
        <w:t xml:space="preserve">Credibility Challenges: </w:t>
      </w:r>
      <w:r>
        <w:t xml:space="preserve">Healthcare professionals trust eMedEvents because it's run by physicians for physicians with deep healthcare expertise. Education professionals trust K-12 Dive because it's an education-focused editorial platform. Event Finder has credibility in national security but would be an unknown outsider in healthcare and education.</w:t>
      </w:r>
    </w:p>
    <w:p>
      <w:pPr>
        <w:pStyle w:val="ListParagraph"/>
        <w:numPr>
          <w:ilvl w:val="0"/>
          <w:numId w:val="2"/>
        </w:numPr>
      </w:pPr>
      <w:r>
        <w:rPr>
          <w:b/>
          <w:bCs/>
        </w:rPr>
        <w:t xml:space="preserve">Feature Complexity: </w:t>
      </w:r>
      <w:r>
        <w:t xml:space="preserve">National security events are typically free or invite-only with straightforward discovery needs. Healthcare requires CME credit tracking, specialty-specific filtering, and credentialing integrations. Education needs PD credit management and state certification alignment. Building and maintaining these specialized features across multiple verticals is exponentially more complex than serving one niche well.</w:t>
      </w:r>
    </w:p>
    <w:p>
      <w:pPr>
        <w:pStyle w:val="ListParagraph"/>
        <w:numPr>
          <w:ilvl w:val="0"/>
          <w:numId w:val="2"/>
        </w:numPr>
      </w:pPr>
      <w:r>
        <w:rPr>
          <w:b/>
          <w:bCs/>
        </w:rPr>
        <w:t xml:space="preserve">Marketing Inefficiency: </w:t>
      </w:r>
      <w:r>
        <w:t xml:space="preserve">Reaching national security professionals requires targeted outreach through think tanks, professional associations, and defense industry channels. Healthcare and education each require completely different marketing channels, messaging, and relationship building. Marketing budget would need to multiply to reach diverse audiences effectively.</w:t>
      </w:r>
    </w:p>
    <w:p>
      <w:pPr>
        <w:pStyle w:val="ListParagraph"/>
        <w:numPr>
          <w:ilvl w:val="0"/>
          <w:numId w:val="2"/>
        </w:numPr>
      </w:pPr>
      <w:r>
        <w:rPr>
          <w:b/>
          <w:bCs/>
        </w:rPr>
        <w:t xml:space="preserve">Slower Time to Market: </w:t>
      </w:r>
      <w:r>
        <w:t xml:space="preserve">Event Finder could prove concept in national security within 6-12 months. Adding healthcare and education means 2-3+ years before gaining meaningful traction in each vertical, delaying revenue and increasing burn rate.</w:t>
      </w:r>
    </w:p>
    <w:p>
      <w:pPr>
        <w:pStyle w:val="ListParagraph"/>
        <w:numPr>
          <w:ilvl w:val="0"/>
          <w:numId w:val="2"/>
        </w:numPr>
        <w:spacing w:after="360"/>
      </w:pPr>
      <w:r>
        <w:rPr>
          <w:b/>
          <w:bCs/>
        </w:rPr>
        <w:t xml:space="preserve">Quality vs. Quantity Tradeoff: </w:t>
      </w:r>
      <w:r>
        <w:t xml:space="preserve">National security professionals value highly curated, relevant events from respected organizations. A multi-vertical platform pursuing scale would sacrifice the quality curation that makes Event Finder valuable to its target audience.</w:t>
      </w:r>
    </w:p>
    <w:p>
      <w:r>
        <w:br w:type="page"/>
      </w:r>
    </w:p>
    <w:p>
      <w:pPr>
        <w:pStyle w:val="Heading2"/>
      </w:pPr>
      <w:r>
        <w:t xml:space="preserve">Alternative Expansion Strategies</w:t>
      </w:r>
    </w:p>
    <w:p>
      <w:pPr>
        <w:spacing w:after="180"/>
      </w:pPr>
      <w:r>
        <w:t xml:space="preserve">If Event Finder successfully establishes itself in national security and seeks growth, here are expansion strategies that maintain competitive advantage rather than diluting it:</w:t>
      </w:r>
    </w:p>
    <w:p>
      <w:pPr>
        <w:pStyle w:val="Heading3"/>
      </w:pPr>
      <w:r>
        <w:t xml:space="preserve">Strategy 1: Deepen National Security Coverage</w:t>
      </w:r>
    </w:p>
    <w:p>
      <w:pPr>
        <w:pStyle w:val="ListParagraph"/>
        <w:numPr>
          <w:ilvl w:val="0"/>
          <w:numId w:val="2"/>
        </w:numPr>
      </w:pPr>
      <w:r>
        <w:t xml:space="preserve">Expand from 14 to 50+ national security organizations</w:t>
      </w:r>
    </w:p>
    <w:p>
      <w:pPr>
        <w:pStyle w:val="ListParagraph"/>
        <w:numPr>
          <w:ilvl w:val="0"/>
          <w:numId w:val="2"/>
        </w:numPr>
      </w:pPr>
      <w:r>
        <w:t xml:space="preserve">Add international think tanks (UK, NATO, EU, Australia, Japan, Israel)</w:t>
      </w:r>
    </w:p>
    <w:p>
      <w:pPr>
        <w:pStyle w:val="ListParagraph"/>
        <w:numPr>
          <w:ilvl w:val="0"/>
          <w:numId w:val="2"/>
        </w:numPr>
      </w:pPr>
      <w:r>
        <w:t xml:space="preserve">Include smaller regional events and university security studies programs</w:t>
      </w:r>
    </w:p>
    <w:p>
      <w:pPr>
        <w:pStyle w:val="ListParagraph"/>
        <w:numPr>
          <w:ilvl w:val="0"/>
          <w:numId w:val="2"/>
        </w:numPr>
      </w:pPr>
      <w:r>
        <w:t xml:space="preserve">Add government agency events (State Department, DHS, FBI, NSA public events)</w:t>
      </w:r>
    </w:p>
    <w:p>
      <w:pPr>
        <w:pStyle w:val="ListParagraph"/>
        <w:numPr>
          <w:ilvl w:val="0"/>
          <w:numId w:val="2"/>
        </w:numPr>
        <w:spacing w:after="240"/>
      </w:pPr>
      <w:r>
        <w:rPr>
          <w:b/>
          <w:bCs/>
        </w:rPr>
        <w:t xml:space="preserve">Benefit: </w:t>
      </w:r>
      <w:r>
        <w:t xml:space="preserve">Strengthens position as the definitive national security event platform without facing new competition</w:t>
      </w:r>
    </w:p>
    <w:p>
      <w:pPr>
        <w:pStyle w:val="Heading3"/>
      </w:pPr>
      <w:r>
        <w:t xml:space="preserve">Strategy 2: Adjacent Security Verticals</w:t>
      </w:r>
    </w:p>
    <w:p>
      <w:pPr>
        <w:pStyle w:val="ListParagraph"/>
        <w:numPr>
          <w:ilvl w:val="0"/>
          <w:numId w:val="2"/>
        </w:numPr>
      </w:pPr>
      <w:r>
        <w:t xml:space="preserve">Cybersecurity events (overlaps with national security, distinct conference ecosystem)</w:t>
      </w:r>
    </w:p>
    <w:p>
      <w:pPr>
        <w:pStyle w:val="ListParagraph"/>
        <w:numPr>
          <w:ilvl w:val="0"/>
          <w:numId w:val="2"/>
        </w:numPr>
      </w:pPr>
      <w:r>
        <w:t xml:space="preserve">Critical infrastructure security conferences</w:t>
      </w:r>
    </w:p>
    <w:p>
      <w:pPr>
        <w:pStyle w:val="ListParagraph"/>
        <w:numPr>
          <w:ilvl w:val="0"/>
          <w:numId w:val="2"/>
        </w:numPr>
      </w:pPr>
      <w:r>
        <w:t xml:space="preserve">Emergency management and disaster response events</w:t>
      </w:r>
    </w:p>
    <w:p>
      <w:pPr>
        <w:pStyle w:val="ListParagraph"/>
        <w:numPr>
          <w:ilvl w:val="0"/>
          <w:numId w:val="2"/>
        </w:numPr>
      </w:pPr>
      <w:r>
        <w:t xml:space="preserve">Homeland security and border security conferences</w:t>
      </w:r>
    </w:p>
    <w:p>
      <w:pPr>
        <w:pStyle w:val="ListParagraph"/>
        <w:numPr>
          <w:ilvl w:val="0"/>
          <w:numId w:val="2"/>
        </w:numPr>
        <w:spacing w:after="240"/>
      </w:pPr>
      <w:r>
        <w:rPr>
          <w:b/>
          <w:bCs/>
        </w:rPr>
        <w:t xml:space="preserve">Benefit: </w:t>
      </w:r>
      <w:r>
        <w:t xml:space="preserve">Leverages existing expertise and credibility in security domain. Target audience partially overlaps with current users. Less competitive than healthcare or education.</w:t>
      </w:r>
    </w:p>
    <w:p>
      <w:pPr>
        <w:pStyle w:val="Heading3"/>
      </w:pPr>
      <w:r>
        <w:t xml:space="preserve">Strategy 3: Value-Added Services for Existing Vertical</w:t>
      </w:r>
    </w:p>
    <w:p>
      <w:pPr>
        <w:pStyle w:val="ListParagraph"/>
        <w:numPr>
          <w:ilvl w:val="0"/>
          <w:numId w:val="2"/>
        </w:numPr>
      </w:pPr>
      <w:r>
        <w:t xml:space="preserve">Personalized event recommendations based on user interests</w:t>
      </w:r>
    </w:p>
    <w:p>
      <w:pPr>
        <w:pStyle w:val="ListParagraph"/>
        <w:numPr>
          <w:ilvl w:val="0"/>
          <w:numId w:val="2"/>
        </w:numPr>
      </w:pPr>
      <w:r>
        <w:t xml:space="preserve">Email alerts and calendar sync for upcoming events</w:t>
      </w:r>
    </w:p>
    <w:p>
      <w:pPr>
        <w:pStyle w:val="ListParagraph"/>
        <w:numPr>
          <w:ilvl w:val="0"/>
          <w:numId w:val="2"/>
        </w:numPr>
      </w:pPr>
      <w:r>
        <w:t xml:space="preserve">Event summaries and recap content for users who missed events</w:t>
      </w:r>
    </w:p>
    <w:p>
      <w:pPr>
        <w:pStyle w:val="ListParagraph"/>
        <w:numPr>
          <w:ilvl w:val="0"/>
          <w:numId w:val="2"/>
        </w:numPr>
      </w:pPr>
      <w:r>
        <w:t xml:space="preserve">Networking features to connect attendees before/after events</w:t>
      </w:r>
    </w:p>
    <w:p>
      <w:pPr>
        <w:pStyle w:val="ListParagraph"/>
        <w:numPr>
          <w:ilvl w:val="0"/>
          <w:numId w:val="2"/>
        </w:numPr>
      </w:pPr>
      <w:r>
        <w:t xml:space="preserve">Premium research briefings on national security topics</w:t>
      </w:r>
    </w:p>
    <w:p>
      <w:pPr>
        <w:pStyle w:val="ListParagraph"/>
        <w:numPr>
          <w:ilvl w:val="0"/>
          <w:numId w:val="2"/>
        </w:numPr>
        <w:spacing w:after="240"/>
      </w:pPr>
      <w:r>
        <w:rPr>
          <w:b/>
          <w:bCs/>
        </w:rPr>
        <w:t xml:space="preserve">Benefit: </w:t>
      </w:r>
      <w:r>
        <w:t xml:space="preserve">Increases value for existing users and creates monetization opportunities without competing in new verticals</w:t>
      </w:r>
    </w:p>
    <w:p>
      <w:pPr>
        <w:pStyle w:val="Heading3"/>
      </w:pPr>
      <w:r>
        <w:t xml:space="preserve">Strategy 4: B2B White-Label Platform</w:t>
      </w:r>
    </w:p>
    <w:p>
      <w:pPr>
        <w:pStyle w:val="ListParagraph"/>
        <w:numPr>
          <w:ilvl w:val="0"/>
          <w:numId w:val="2"/>
        </w:numPr>
      </w:pPr>
      <w:r>
        <w:t xml:space="preserve">Offer event aggregation technology as white-label service</w:t>
      </w:r>
    </w:p>
    <w:p>
      <w:pPr>
        <w:pStyle w:val="ListParagraph"/>
        <w:numPr>
          <w:ilvl w:val="0"/>
          <w:numId w:val="2"/>
        </w:numPr>
      </w:pPr>
      <w:r>
        <w:t xml:space="preserve">Professional associations could use Event Finder's platform for their verticals</w:t>
      </w:r>
    </w:p>
    <w:p>
      <w:pPr>
        <w:pStyle w:val="ListParagraph"/>
        <w:numPr>
          <w:ilvl w:val="0"/>
          <w:numId w:val="2"/>
        </w:numPr>
      </w:pPr>
      <w:r>
        <w:t xml:space="preserve">Corporate intelligence teams could license for internal event tracking</w:t>
      </w:r>
    </w:p>
    <w:p>
      <w:pPr>
        <w:pStyle w:val="ListParagraph"/>
        <w:numPr>
          <w:ilvl w:val="0"/>
          <w:numId w:val="2"/>
        </w:numPr>
        <w:spacing w:after="240"/>
      </w:pPr>
      <w:r>
        <w:rPr>
          <w:b/>
          <w:bCs/>
        </w:rPr>
        <w:t xml:space="preserve">Benefit: </w:t>
      </w:r>
      <w:r>
        <w:t xml:space="preserve">Revenue from technology licensing without directly competing in new verticals or building domain expertise</w:t>
      </w:r>
    </w:p>
    <w:p>
      <w:pPr>
        <w:pStyle w:val="Heading3"/>
      </w:pPr>
      <w:r>
        <w:t xml:space="preserve">Strategy 5: Geographic Expansion Within National Security</w:t>
      </w:r>
    </w:p>
    <w:p>
      <w:pPr>
        <w:pStyle w:val="ListParagraph"/>
        <w:numPr>
          <w:ilvl w:val="0"/>
          <w:numId w:val="2"/>
        </w:numPr>
      </w:pPr>
      <w:r>
        <w:t xml:space="preserve">Focus on international national security events (UK, EU, Asia-Pacific)</w:t>
      </w:r>
    </w:p>
    <w:p>
      <w:pPr>
        <w:pStyle w:val="ListParagraph"/>
        <w:numPr>
          <w:ilvl w:val="0"/>
          <w:numId w:val="2"/>
        </w:numPr>
      </w:pPr>
      <w:r>
        <w:t xml:space="preserve">Partner with international think tanks and defense organizations</w:t>
      </w:r>
    </w:p>
    <w:p>
      <w:pPr>
        <w:pStyle w:val="ListParagraph"/>
        <w:numPr>
          <w:ilvl w:val="0"/>
          <w:numId w:val="2"/>
        </w:numPr>
      </w:pPr>
      <w:r>
        <w:t xml:space="preserve">Create global national security event calendar</w:t>
      </w:r>
    </w:p>
    <w:p>
      <w:pPr>
        <w:pStyle w:val="ListParagraph"/>
        <w:numPr>
          <w:ilvl w:val="0"/>
          <w:numId w:val="2"/>
        </w:numPr>
        <w:spacing w:after="360"/>
      </w:pPr>
      <w:r>
        <w:rPr>
          <w:b/>
          <w:bCs/>
        </w:rPr>
        <w:t xml:space="preserve">Benefit: </w:t>
      </w:r>
      <w:r>
        <w:t xml:space="preserve">Expands market size while maintaining competitive advantage as national security specialist</w:t>
      </w:r>
    </w:p>
    <w:p>
      <w:pPr>
        <w:pStyle w:val="Heading1"/>
      </w:pPr>
      <w:r>
        <w:t xml:space="preserve">Conclusion and Recommendation</w:t>
      </w:r>
    </w:p>
    <w:p>
      <w:pPr>
        <w:spacing w:after="240"/>
      </w:pPr>
      <w:r>
        <w:rPr>
          <w:b/>
          <w:bCs/>
          <w:color w:val="C0392B"/>
        </w:rPr>
        <w:t xml:space="preserve">Critical Finding: </w:t>
      </w:r>
      <w:r>
        <w:t xml:space="preserve">Expanding Event Finder beyond national security to healthcare, education, or other general professional verticals would be </w:t>
      </w:r>
      <w:r>
        <w:rPr>
          <w:b/>
          <w:bCs/>
        </w:rPr>
        <w:t xml:space="preserve">strategically detrimental</w:t>
      </w:r>
      <w:r>
        <w:t xml:space="preserve">. The favorable competitive position exists precisely because of the specialized vertical focus.</w:t>
      </w:r>
    </w:p>
    <w:p>
      <w:pPr>
        <w:spacing w:after="240"/>
      </w:pPr>
      <w:r>
        <w:t xml:space="preserve">Healthcare already has eMedEvents with 500,000+ registered users and comprehensive CME integration. Education has multiple established directories and editorial platforms with strong brand recognition. Entering these markets means competing as an unknown generalist against entrenched specialists.</w:t>
      </w:r>
    </w:p>
    <w:p>
      <w:pPr>
        <w:spacing w:after="240"/>
      </w:pPr>
      <w:r>
        <w:rPr>
          <w:b/>
          <w:bCs/>
        </w:rPr>
        <w:t xml:space="preserve">Recommended Strategy: </w:t>
      </w:r>
      <w:r>
        <w:t xml:space="preserve">Maintain exclusive focus on national security vertical. If expansion is desired after establishing market leadership, pursue adjacent security domains (cybersecurity, critical infrastructure, homeland security) or geographic expansion (international national security events) rather than unrelated professional verticals.</w:t>
      </w:r>
    </w:p>
    <w:p>
      <w:pPr>
        <w:spacing w:after="240"/>
      </w:pPr>
      <w:r>
        <w:t xml:space="preserve">The niche positioning is Event Finder's greatest competitive strength, not a limitation to overcome. Attempting to serve multiple verticals would transform a focused specialist with minimal competition into a generic platform competing against established market leaders with massive user bases and superior resources.</w:t>
      </w:r>
    </w:p>
    <w:p>
      <w:r>
        <w:rPr>
          <w:b/>
          <w:bCs/>
        </w:rPr>
        <w:t xml:space="preserve">Bottom Line: </w:t>
      </w:r>
      <w:r>
        <w:t xml:space="preserve">Expanding to healthcare or education would increase competition dramatically while decreasing competitive advantage substantially. The multi-vertical approach is the opposite of what makes Event Finder promising.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2C3E50"/>
      <w:sz w:val="56"/>
      <w:szCs w:val="56"/>
    </w:rPr>
  </w:style>
  <w:style w:type="paragraph" w:styleId="Heading1">
    <w:name w:val="Heading 1"/>
    <w:basedOn w:val="Normal"/>
    <w:next w:val="Normal"/>
    <w:pPr>
      <w:spacing w:before="360" w:after="240"/>
      <w:outlineLvl w:val="0"/>
    </w:pPr>
    <w:rPr>
      <w:rFonts w:ascii="Arial" w:cs="Arial" w:eastAsia="Arial" w:hAnsi="Arial"/>
      <w:b/>
      <w:bCs/>
      <w:color w:val="2C3E50"/>
      <w:sz w:val="32"/>
      <w:szCs w:val="32"/>
    </w:rPr>
  </w:style>
  <w:style w:type="paragraph" w:styleId="Heading2">
    <w:name w:val="Heading 2"/>
    <w:basedOn w:val="Normal"/>
    <w:next w:val="Normal"/>
    <w:pPr>
      <w:spacing w:before="300" w:after="180"/>
      <w:outlineLvl w:val="1"/>
    </w:pPr>
    <w:rPr>
      <w:rFonts w:ascii="Arial" w:cs="Arial" w:eastAsia="Arial" w:hAnsi="Arial"/>
      <w:b/>
      <w:bCs/>
      <w:color w:val="34495E"/>
      <w:sz w:val="28"/>
      <w:szCs w:val="28"/>
    </w:rPr>
  </w:style>
  <w:style w:type="paragraph" w:styleId="Heading3">
    <w:name w:val="Heading 3"/>
    <w:basedOn w:val="Normal"/>
    <w:next w:val="Normal"/>
    <w:pPr>
      <w:spacing w:before="240" w:after="120"/>
      <w:outlineLvl w:val="2"/>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2025-11-22T17:48:14.356Z</dcterms:created>
  <dcterms:modified xsi:type="dcterms:W3CDTF">2025-11-22T17:48:14.357Z</dcterms:modified>
</cp:coreProperties>
</file>

<file path=docProps/custom.xml><?xml version="1.0" encoding="utf-8"?>
<Properties xmlns="http://schemas.openxmlformats.org/officeDocument/2006/custom-properties" xmlns:vt="http://schemas.openxmlformats.org/officeDocument/2006/docPropsVTypes"/>
</file>