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5214" w14:textId="77777777" w:rsidR="0078134C" w:rsidRPr="0078134C" w:rsidRDefault="0078134C" w:rsidP="0078134C">
      <w:pPr>
        <w:spacing w:after="600"/>
        <w:rPr>
          <w:rFonts w:ascii="Times New Roman" w:hAnsi="Times New Roman" w:cs="Times New Roman"/>
        </w:rPr>
      </w:pPr>
    </w:p>
    <w:p w14:paraId="0465BA7C" w14:textId="77777777" w:rsidR="0078134C" w:rsidRPr="0078134C" w:rsidRDefault="0078134C" w:rsidP="0078134C">
      <w:pPr>
        <w:spacing w:after="260"/>
        <w:jc w:val="center"/>
        <w:rPr>
          <w:rFonts w:ascii="Times New Roman" w:hAnsi="Times New Roman" w:cs="Times New Roman"/>
        </w:rPr>
      </w:pPr>
      <w:r w:rsidRPr="0078134C">
        <w:rPr>
          <w:rFonts w:ascii="Times New Roman" w:eastAsia="Cambria" w:hAnsi="Times New Roman" w:cs="Times New Roman"/>
          <w:b/>
          <w:bCs/>
          <w:color w:val="555555"/>
          <w:spacing w:val="40"/>
        </w:rPr>
        <w:t>RESEARCH REPORT</w:t>
      </w:r>
    </w:p>
    <w:p w14:paraId="4DAFEC21" w14:textId="77777777" w:rsidR="0078134C" w:rsidRPr="0078134C" w:rsidRDefault="0078134C" w:rsidP="0078134C">
      <w:pPr>
        <w:spacing w:after="200"/>
        <w:jc w:val="center"/>
        <w:rPr>
          <w:rFonts w:ascii="Times New Roman" w:hAnsi="Times New Roman" w:cs="Times New Roman"/>
        </w:rPr>
      </w:pPr>
      <w:r w:rsidRPr="0078134C">
        <w:rPr>
          <w:rFonts w:ascii="Times New Roman" w:eastAsia="Cambria" w:hAnsi="Times New Roman" w:cs="Times New Roman"/>
          <w:b/>
          <w:bCs/>
          <w:sz w:val="40"/>
          <w:szCs w:val="40"/>
        </w:rPr>
        <w:t>Islamic vs Conventional Banks in Pakistan</w:t>
      </w:r>
    </w:p>
    <w:p w14:paraId="710299F5" w14:textId="77777777" w:rsidR="0078134C" w:rsidRPr="0078134C" w:rsidRDefault="0078134C" w:rsidP="0078134C">
      <w:pPr>
        <w:spacing w:after="500"/>
        <w:jc w:val="center"/>
        <w:rPr>
          <w:rFonts w:ascii="Times New Roman" w:hAnsi="Times New Roman" w:cs="Times New Roman"/>
        </w:rPr>
      </w:pPr>
      <w:r w:rsidRPr="0078134C">
        <w:rPr>
          <w:rFonts w:ascii="Times New Roman" w:eastAsia="Cambria" w:hAnsi="Times New Roman" w:cs="Times New Roman"/>
          <w:color w:val="333333"/>
          <w:sz w:val="26"/>
          <w:szCs w:val="26"/>
        </w:rPr>
        <w:t>A Comparative Cost, Liquidity and Depositor Return Analysis (2019–2024)</w:t>
      </w:r>
    </w:p>
    <w:p w14:paraId="28D4CFDF" w14:textId="77777777" w:rsidR="0078134C" w:rsidRPr="0078134C" w:rsidRDefault="0078134C" w:rsidP="0078134C">
      <w:pPr>
        <w:spacing w:after="500"/>
        <w:rPr>
          <w:rFonts w:ascii="Times New Roman" w:eastAsia="Cambria" w:hAnsi="Times New Roman" w:cs="Times New Roman"/>
          <w:color w:val="555555"/>
          <w:sz w:val="20"/>
          <w:szCs w:val="20"/>
        </w:rPr>
      </w:pPr>
    </w:p>
    <w:p w14:paraId="0BB75B1E" w14:textId="77777777" w:rsidR="0078134C" w:rsidRPr="0078134C" w:rsidRDefault="0078134C" w:rsidP="0078134C">
      <w:pPr>
        <w:spacing w:after="500"/>
        <w:rPr>
          <w:rFonts w:ascii="Times New Roman" w:eastAsia="Cambria" w:hAnsi="Times New Roman" w:cs="Times New Roman"/>
          <w:color w:val="555555"/>
          <w:sz w:val="20"/>
          <w:szCs w:val="20"/>
        </w:rPr>
      </w:pPr>
    </w:p>
    <w:p w14:paraId="74648C1D" w14:textId="77777777" w:rsidR="0078134C" w:rsidRPr="0078134C" w:rsidRDefault="0078134C" w:rsidP="0078134C">
      <w:pPr>
        <w:spacing w:after="500"/>
        <w:rPr>
          <w:rFonts w:ascii="Times New Roman" w:eastAsia="Cambria" w:hAnsi="Times New Roman" w:cs="Times New Roman"/>
          <w:color w:val="555555"/>
          <w:sz w:val="20"/>
          <w:szCs w:val="20"/>
        </w:rPr>
      </w:pPr>
    </w:p>
    <w:p w14:paraId="12D1AB12" w14:textId="77777777" w:rsidR="0078134C" w:rsidRPr="0078134C" w:rsidRDefault="0078134C" w:rsidP="0078134C">
      <w:pPr>
        <w:spacing w:after="500"/>
        <w:rPr>
          <w:rFonts w:ascii="Times New Roman" w:eastAsia="Cambria" w:hAnsi="Times New Roman" w:cs="Times New Roman"/>
          <w:color w:val="555555"/>
          <w:sz w:val="20"/>
          <w:szCs w:val="20"/>
        </w:rPr>
      </w:pPr>
    </w:p>
    <w:p w14:paraId="2BFEF11E" w14:textId="77777777" w:rsidR="00CF0D7F" w:rsidRDefault="00CF0D7F" w:rsidP="0078134C">
      <w:pPr>
        <w:spacing w:after="500"/>
        <w:rPr>
          <w:rFonts w:ascii="Times New Roman" w:hAnsi="Times New Roman" w:cs="Times New Roman"/>
        </w:rPr>
      </w:pPr>
    </w:p>
    <w:p w14:paraId="42C033AE" w14:textId="77777777" w:rsidR="00557871" w:rsidRDefault="00557871" w:rsidP="0078134C">
      <w:pPr>
        <w:spacing w:after="500"/>
        <w:rPr>
          <w:rFonts w:ascii="Times New Roman" w:hAnsi="Times New Roman" w:cs="Times New Roman"/>
        </w:rPr>
      </w:pPr>
    </w:p>
    <w:p w14:paraId="73366756" w14:textId="77777777" w:rsidR="001F5552" w:rsidRDefault="001F5552" w:rsidP="0078134C">
      <w:pPr>
        <w:spacing w:after="500"/>
        <w:rPr>
          <w:rFonts w:ascii="Times New Roman" w:hAnsi="Times New Roman" w:cs="Times New Roman"/>
        </w:rPr>
      </w:pPr>
    </w:p>
    <w:p w14:paraId="40672649" w14:textId="77777777" w:rsidR="001F5552" w:rsidRDefault="001F5552" w:rsidP="0078134C">
      <w:pPr>
        <w:spacing w:after="500"/>
        <w:rPr>
          <w:rFonts w:ascii="Times New Roman" w:hAnsi="Times New Roman" w:cs="Times New Roman"/>
        </w:rPr>
      </w:pPr>
    </w:p>
    <w:p w14:paraId="73FABD5D" w14:textId="77777777" w:rsidR="001F5552" w:rsidRPr="0078134C" w:rsidRDefault="001F5552" w:rsidP="0078134C">
      <w:pPr>
        <w:spacing w:after="500"/>
        <w:rPr>
          <w:rFonts w:ascii="Times New Roman" w:hAnsi="Times New Roman" w:cs="Times New Roman"/>
        </w:rPr>
      </w:pPr>
    </w:p>
    <w:p w14:paraId="70971612" w14:textId="77777777" w:rsidR="0078134C" w:rsidRPr="0078134C" w:rsidRDefault="0078134C" w:rsidP="0078134C">
      <w:pPr>
        <w:spacing w:after="60"/>
        <w:jc w:val="center"/>
        <w:rPr>
          <w:rFonts w:ascii="Times New Roman" w:hAnsi="Times New Roman" w:cs="Times New Roman"/>
        </w:rPr>
      </w:pPr>
      <w:r w:rsidRPr="0078134C">
        <w:rPr>
          <w:rFonts w:ascii="Times New Roman" w:eastAsia="Cambria" w:hAnsi="Times New Roman" w:cs="Times New Roman"/>
          <w:b/>
          <w:bCs/>
          <w:sz w:val="26"/>
          <w:szCs w:val="26"/>
        </w:rPr>
        <w:t>MUHAMMAD TAYYAB LATIF</w:t>
      </w:r>
    </w:p>
    <w:p w14:paraId="6F36A3A0" w14:textId="77777777" w:rsidR="0078134C" w:rsidRPr="0078134C" w:rsidRDefault="0078134C" w:rsidP="0078134C">
      <w:pPr>
        <w:spacing w:after="40"/>
        <w:jc w:val="center"/>
        <w:rPr>
          <w:rFonts w:ascii="Times New Roman" w:hAnsi="Times New Roman" w:cs="Times New Roman"/>
        </w:rPr>
      </w:pPr>
      <w:r w:rsidRPr="0078134C">
        <w:rPr>
          <w:rFonts w:ascii="Times New Roman" w:eastAsia="Cambria" w:hAnsi="Times New Roman" w:cs="Times New Roman"/>
          <w:color w:val="333333"/>
          <w:sz w:val="20"/>
          <w:szCs w:val="20"/>
        </w:rPr>
        <w:t>BS Accounting &amp; Finance (ACF)</w:t>
      </w:r>
    </w:p>
    <w:p w14:paraId="1E303154" w14:textId="77777777" w:rsidR="0078134C" w:rsidRPr="0078134C" w:rsidRDefault="0078134C" w:rsidP="0078134C">
      <w:pPr>
        <w:spacing w:after="40"/>
        <w:jc w:val="center"/>
        <w:rPr>
          <w:rFonts w:ascii="Times New Roman" w:hAnsi="Times New Roman" w:cs="Times New Roman"/>
        </w:rPr>
      </w:pPr>
      <w:r w:rsidRPr="0078134C">
        <w:rPr>
          <w:rFonts w:ascii="Times New Roman" w:eastAsia="Cambria" w:hAnsi="Times New Roman" w:cs="Times New Roman"/>
          <w:color w:val="333333"/>
          <w:sz w:val="20"/>
          <w:szCs w:val="20"/>
        </w:rPr>
        <w:t>National University of Sciences and Technology (NUST)</w:t>
      </w:r>
    </w:p>
    <w:p w14:paraId="660F0600" w14:textId="7FA00236" w:rsidR="0078134C" w:rsidRPr="0078134C" w:rsidRDefault="0078134C" w:rsidP="0078134C">
      <w:pPr>
        <w:spacing w:after="700"/>
        <w:jc w:val="center"/>
        <w:rPr>
          <w:rFonts w:ascii="Times New Roman" w:eastAsia="Cambria" w:hAnsi="Times New Roman" w:cs="Times New Roman"/>
          <w:color w:val="333333"/>
          <w:sz w:val="20"/>
          <w:szCs w:val="20"/>
        </w:rPr>
      </w:pPr>
      <w:r w:rsidRPr="0078134C">
        <w:rPr>
          <w:rFonts w:ascii="Times New Roman" w:eastAsia="Cambria" w:hAnsi="Times New Roman" w:cs="Times New Roman"/>
          <w:color w:val="333333"/>
          <w:sz w:val="20"/>
          <w:szCs w:val="20"/>
        </w:rPr>
        <w:t>m.tayyablatif1@gmail.com</w:t>
      </w:r>
    </w:p>
    <w:p w14:paraId="118244AB" w14:textId="77777777" w:rsidR="00CF0D7F" w:rsidRPr="0078134C" w:rsidRDefault="00CF0D7F" w:rsidP="0078134C">
      <w:pPr>
        <w:pBdr>
          <w:top w:val="single" w:sz="8" w:space="1" w:color="1F1F1F"/>
        </w:pBdr>
        <w:spacing w:before="400" w:after="300"/>
        <w:rPr>
          <w:rFonts w:ascii="Times New Roman" w:hAnsi="Times New Roman" w:cs="Times New Roman"/>
        </w:rPr>
      </w:pPr>
    </w:p>
    <w:p w14:paraId="631FDA5C" w14:textId="02F63F2D" w:rsidR="004132C2" w:rsidRDefault="0078134C" w:rsidP="001F5552">
      <w:pPr>
        <w:jc w:val="center"/>
        <w:rPr>
          <w:rFonts w:ascii="Times New Roman" w:eastAsia="Cambria" w:hAnsi="Times New Roman" w:cs="Times New Roman"/>
          <w:color w:val="555555"/>
          <w:sz w:val="20"/>
          <w:szCs w:val="20"/>
        </w:rPr>
      </w:pPr>
      <w:r w:rsidRPr="0078134C">
        <w:rPr>
          <w:rFonts w:ascii="Times New Roman" w:eastAsia="Cambria" w:hAnsi="Times New Roman" w:cs="Times New Roman"/>
          <w:color w:val="555555"/>
          <w:sz w:val="20"/>
          <w:szCs w:val="20"/>
        </w:rPr>
        <w:t>J</w:t>
      </w:r>
      <w:r w:rsidRPr="0078134C">
        <w:rPr>
          <w:rFonts w:ascii="Times New Roman" w:eastAsia="Cambria" w:hAnsi="Times New Roman" w:cs="Times New Roman"/>
          <w:color w:val="555555"/>
          <w:sz w:val="20"/>
          <w:szCs w:val="20"/>
        </w:rPr>
        <w:t>uly 202</w:t>
      </w:r>
      <w:r w:rsidR="000D35D4">
        <w:rPr>
          <w:rFonts w:ascii="Times New Roman" w:eastAsia="Cambria" w:hAnsi="Times New Roman" w:cs="Times New Roman"/>
          <w:color w:val="555555"/>
          <w:sz w:val="20"/>
          <w:szCs w:val="20"/>
        </w:rPr>
        <w:t>6</w:t>
      </w:r>
    </w:p>
    <w:p w14:paraId="67E7061E" w14:textId="77777777" w:rsidR="004132C2" w:rsidRDefault="004132C2" w:rsidP="000D35D4">
      <w:pPr>
        <w:jc w:val="center"/>
        <w:rPr>
          <w:rFonts w:ascii="Times New Roman" w:eastAsia="Cambria" w:hAnsi="Times New Roman" w:cs="Times New Roman"/>
          <w:color w:val="555555"/>
          <w:sz w:val="20"/>
          <w:szCs w:val="20"/>
        </w:rPr>
      </w:pPr>
    </w:p>
    <w:p w14:paraId="3BBD34CD" w14:textId="6D6E45D1" w:rsidR="00CF0D7F" w:rsidRPr="001F5552" w:rsidRDefault="004132C2" w:rsidP="001F5552">
      <w:pPr>
        <w:jc w:val="center"/>
        <w:rPr>
          <w:rFonts w:ascii="Times New Roman" w:eastAsia="Cambria" w:hAnsi="Times New Roman" w:cs="Times New Roman"/>
          <w:b/>
          <w:bCs/>
          <w:color w:val="555555"/>
          <w:sz w:val="20"/>
          <w:szCs w:val="20"/>
        </w:rPr>
      </w:pPr>
      <w:r w:rsidRPr="004132C2">
        <w:rPr>
          <w:rFonts w:ascii="Times New Roman" w:eastAsia="Cambria" w:hAnsi="Times New Roman" w:cs="Times New Roman"/>
          <w:b/>
          <w:bCs/>
          <w:color w:val="555555"/>
          <w:sz w:val="20"/>
          <w:szCs w:val="20"/>
        </w:rPr>
        <w:t>Never regret thy fall, O Icarus of the fearless flight, for the greatest tragedy of them all is never to feel the burning ligh</w:t>
      </w:r>
      <w:r w:rsidR="001F5552">
        <w:rPr>
          <w:rFonts w:ascii="Times New Roman" w:eastAsia="Cambria" w:hAnsi="Times New Roman" w:cs="Times New Roman"/>
          <w:b/>
          <w:bCs/>
          <w:color w:val="555555"/>
          <w:sz w:val="20"/>
          <w:szCs w:val="20"/>
        </w:rPr>
        <w:t>t.</w:t>
      </w:r>
    </w:p>
    <w:p w14:paraId="55E56BDB" w14:textId="77777777" w:rsidR="00EB5276" w:rsidRPr="0078134C" w:rsidRDefault="00EB5276" w:rsidP="00EB5276">
      <w:pPr>
        <w:rPr>
          <w:rFonts w:ascii="Times New Roman" w:hAnsi="Times New Roman" w:cs="Times New Roman"/>
        </w:rPr>
      </w:pPr>
    </w:p>
    <w:sdt>
      <w:sdtPr>
        <w:rPr>
          <w:rFonts w:ascii="Times New Roman" w:hAnsi="Times New Roman" w:cs="Times New Roman"/>
        </w:rPr>
        <w:id w:val="-578055880"/>
        <w:docPartObj>
          <w:docPartGallery w:val="Table of Contents"/>
          <w:docPartUnique/>
        </w:docPartObj>
      </w:sdtPr>
      <w:sdtEndPr>
        <w:rPr>
          <w:rFonts w:eastAsiaTheme="minorHAnsi"/>
          <w:b/>
          <w:bCs/>
          <w:noProof/>
          <w:color w:val="auto"/>
          <w:kern w:val="2"/>
          <w:sz w:val="22"/>
          <w:szCs w:val="22"/>
          <w:lang w:val="en-PK"/>
          <w14:ligatures w14:val="standardContextual"/>
        </w:rPr>
      </w:sdtEndPr>
      <w:sdtContent>
        <w:p w14:paraId="25ED1B43" w14:textId="2B441AD6" w:rsidR="0017403A" w:rsidRPr="0078134C" w:rsidRDefault="0017403A">
          <w:pPr>
            <w:pStyle w:val="TOCHeading"/>
            <w:rPr>
              <w:rFonts w:ascii="Times New Roman" w:hAnsi="Times New Roman" w:cs="Times New Roman"/>
            </w:rPr>
          </w:pPr>
          <w:r w:rsidRPr="0078134C">
            <w:rPr>
              <w:rFonts w:ascii="Times New Roman" w:hAnsi="Times New Roman" w:cs="Times New Roman"/>
            </w:rPr>
            <w:t>Contents</w:t>
          </w:r>
        </w:p>
        <w:p w14:paraId="4925C310" w14:textId="2D68804E" w:rsidR="009C07B5" w:rsidRPr="0078134C" w:rsidRDefault="0017403A">
          <w:pPr>
            <w:pStyle w:val="TOC1"/>
            <w:tabs>
              <w:tab w:val="right" w:leader="dot" w:pos="9016"/>
            </w:tabs>
            <w:rPr>
              <w:rFonts w:ascii="Times New Roman" w:eastAsiaTheme="minorEastAsia" w:hAnsi="Times New Roman" w:cs="Times New Roman"/>
              <w:noProof/>
              <w:sz w:val="24"/>
              <w:szCs w:val="24"/>
              <w:lang w:val="en-PK" w:eastAsia="en-PK"/>
            </w:rPr>
          </w:pPr>
          <w:r w:rsidRPr="0078134C">
            <w:rPr>
              <w:rFonts w:ascii="Times New Roman" w:hAnsi="Times New Roman" w:cs="Times New Roman"/>
            </w:rPr>
            <w:fldChar w:fldCharType="begin"/>
          </w:r>
          <w:r w:rsidRPr="0078134C">
            <w:rPr>
              <w:rFonts w:ascii="Times New Roman" w:hAnsi="Times New Roman" w:cs="Times New Roman"/>
            </w:rPr>
            <w:instrText xml:space="preserve"> TOC \o "1-3" \h \z \u </w:instrText>
          </w:r>
          <w:r w:rsidRPr="0078134C">
            <w:rPr>
              <w:rFonts w:ascii="Times New Roman" w:hAnsi="Times New Roman" w:cs="Times New Roman"/>
            </w:rPr>
            <w:fldChar w:fldCharType="separate"/>
          </w:r>
          <w:hyperlink w:anchor="_Toc234122895" w:history="1">
            <w:r w:rsidR="009C07B5" w:rsidRPr="0078134C">
              <w:rPr>
                <w:rStyle w:val="Hyperlink"/>
                <w:rFonts w:ascii="Times New Roman" w:hAnsi="Times New Roman" w:cs="Times New Roman"/>
                <w:noProof/>
              </w:rPr>
              <w:t>Research Hypothesis:</w:t>
            </w:r>
            <w:r w:rsidR="009C07B5" w:rsidRPr="0078134C">
              <w:rPr>
                <w:rFonts w:ascii="Times New Roman" w:hAnsi="Times New Roman" w:cs="Times New Roman"/>
                <w:noProof/>
                <w:webHidden/>
              </w:rPr>
              <w:tab/>
            </w:r>
            <w:r w:rsidR="009C07B5" w:rsidRPr="0078134C">
              <w:rPr>
                <w:rFonts w:ascii="Times New Roman" w:hAnsi="Times New Roman" w:cs="Times New Roman"/>
                <w:noProof/>
                <w:webHidden/>
              </w:rPr>
              <w:fldChar w:fldCharType="begin"/>
            </w:r>
            <w:r w:rsidR="009C07B5" w:rsidRPr="0078134C">
              <w:rPr>
                <w:rFonts w:ascii="Times New Roman" w:hAnsi="Times New Roman" w:cs="Times New Roman"/>
                <w:noProof/>
                <w:webHidden/>
              </w:rPr>
              <w:instrText xml:space="preserve"> PAGEREF _Toc234122895 \h </w:instrText>
            </w:r>
            <w:r w:rsidR="009C07B5" w:rsidRPr="0078134C">
              <w:rPr>
                <w:rFonts w:ascii="Times New Roman" w:hAnsi="Times New Roman" w:cs="Times New Roman"/>
                <w:noProof/>
                <w:webHidden/>
              </w:rPr>
            </w:r>
            <w:r w:rsidR="009C07B5" w:rsidRPr="0078134C">
              <w:rPr>
                <w:rFonts w:ascii="Times New Roman" w:hAnsi="Times New Roman" w:cs="Times New Roman"/>
                <w:noProof/>
                <w:webHidden/>
              </w:rPr>
              <w:fldChar w:fldCharType="separate"/>
            </w:r>
            <w:r w:rsidR="009C07B5" w:rsidRPr="0078134C">
              <w:rPr>
                <w:rFonts w:ascii="Times New Roman" w:hAnsi="Times New Roman" w:cs="Times New Roman"/>
                <w:noProof/>
                <w:webHidden/>
              </w:rPr>
              <w:t>4</w:t>
            </w:r>
            <w:r w:rsidR="009C07B5" w:rsidRPr="0078134C">
              <w:rPr>
                <w:rFonts w:ascii="Times New Roman" w:hAnsi="Times New Roman" w:cs="Times New Roman"/>
                <w:noProof/>
                <w:webHidden/>
              </w:rPr>
              <w:fldChar w:fldCharType="end"/>
            </w:r>
          </w:hyperlink>
        </w:p>
        <w:p w14:paraId="48B9098A" w14:textId="65622DE1" w:rsidR="009C07B5" w:rsidRPr="0078134C" w:rsidRDefault="009C07B5">
          <w:pPr>
            <w:pStyle w:val="TOC1"/>
            <w:tabs>
              <w:tab w:val="right" w:leader="dot" w:pos="9016"/>
            </w:tabs>
            <w:rPr>
              <w:rFonts w:ascii="Times New Roman" w:eastAsiaTheme="minorEastAsia" w:hAnsi="Times New Roman" w:cs="Times New Roman"/>
              <w:noProof/>
              <w:sz w:val="24"/>
              <w:szCs w:val="24"/>
              <w:lang w:val="en-PK" w:eastAsia="en-PK"/>
            </w:rPr>
          </w:pPr>
          <w:hyperlink w:anchor="_Toc234122896" w:history="1">
            <w:r w:rsidRPr="0078134C">
              <w:rPr>
                <w:rStyle w:val="Hyperlink"/>
                <w:rFonts w:ascii="Times New Roman" w:hAnsi="Times New Roman" w:cs="Times New Roman"/>
                <w:noProof/>
              </w:rPr>
              <w:t>Objectives:</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_Toc234122896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4</w:t>
            </w:r>
            <w:r w:rsidRPr="0078134C">
              <w:rPr>
                <w:rFonts w:ascii="Times New Roman" w:hAnsi="Times New Roman" w:cs="Times New Roman"/>
                <w:noProof/>
                <w:webHidden/>
              </w:rPr>
              <w:fldChar w:fldCharType="end"/>
            </w:r>
          </w:hyperlink>
        </w:p>
        <w:p w14:paraId="7DAFCCF8" w14:textId="100C9CF9" w:rsidR="009C07B5" w:rsidRPr="0078134C" w:rsidRDefault="009C07B5">
          <w:pPr>
            <w:pStyle w:val="TOC1"/>
            <w:tabs>
              <w:tab w:val="right" w:leader="dot" w:pos="9016"/>
            </w:tabs>
            <w:rPr>
              <w:rFonts w:ascii="Times New Roman" w:eastAsiaTheme="minorEastAsia" w:hAnsi="Times New Roman" w:cs="Times New Roman"/>
              <w:noProof/>
              <w:sz w:val="24"/>
              <w:szCs w:val="24"/>
              <w:lang w:val="en-PK" w:eastAsia="en-PK"/>
            </w:rPr>
          </w:pPr>
          <w:hyperlink w:anchor="_Toc234122897" w:history="1">
            <w:r w:rsidRPr="0078134C">
              <w:rPr>
                <w:rStyle w:val="Hyperlink"/>
                <w:rFonts w:ascii="Times New Roman" w:hAnsi="Times New Roman" w:cs="Times New Roman"/>
                <w:noProof/>
              </w:rPr>
              <w:t>Scope:</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_Toc234122897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4</w:t>
            </w:r>
            <w:r w:rsidRPr="0078134C">
              <w:rPr>
                <w:rFonts w:ascii="Times New Roman" w:hAnsi="Times New Roman" w:cs="Times New Roman"/>
                <w:noProof/>
                <w:webHidden/>
              </w:rPr>
              <w:fldChar w:fldCharType="end"/>
            </w:r>
          </w:hyperlink>
        </w:p>
        <w:p w14:paraId="5C573E21" w14:textId="341FE0AD" w:rsidR="009C07B5" w:rsidRPr="0078134C" w:rsidRDefault="009C07B5">
          <w:pPr>
            <w:pStyle w:val="TOC1"/>
            <w:tabs>
              <w:tab w:val="right" w:leader="dot" w:pos="9016"/>
            </w:tabs>
            <w:rPr>
              <w:rFonts w:ascii="Times New Roman" w:eastAsiaTheme="minorEastAsia" w:hAnsi="Times New Roman" w:cs="Times New Roman"/>
              <w:noProof/>
              <w:sz w:val="24"/>
              <w:szCs w:val="24"/>
              <w:lang w:val="en-PK" w:eastAsia="en-PK"/>
            </w:rPr>
          </w:pPr>
          <w:hyperlink w:anchor="_Toc234122898" w:history="1">
            <w:r w:rsidRPr="0078134C">
              <w:rPr>
                <w:rStyle w:val="Hyperlink"/>
                <w:rFonts w:ascii="Times New Roman" w:hAnsi="Times New Roman" w:cs="Times New Roman"/>
                <w:noProof/>
              </w:rPr>
              <w:t>Literature Review:</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_Toc234122898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4</w:t>
            </w:r>
            <w:r w:rsidRPr="0078134C">
              <w:rPr>
                <w:rFonts w:ascii="Times New Roman" w:hAnsi="Times New Roman" w:cs="Times New Roman"/>
                <w:noProof/>
                <w:webHidden/>
              </w:rPr>
              <w:fldChar w:fldCharType="end"/>
            </w:r>
          </w:hyperlink>
        </w:p>
        <w:p w14:paraId="19F75188" w14:textId="4C368012"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899" w:history="1">
            <w:r w:rsidRPr="0078134C">
              <w:rPr>
                <w:rStyle w:val="Hyperlink"/>
                <w:rFonts w:ascii="Times New Roman" w:hAnsi="Times New Roman" w:cs="Times New Roman"/>
                <w:noProof/>
              </w:rPr>
              <w:t>A comparison of Islamic banks and Conventional banks based on cost efficiency</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_Toc234122899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4</w:t>
            </w:r>
            <w:r w:rsidRPr="0078134C">
              <w:rPr>
                <w:rFonts w:ascii="Times New Roman" w:hAnsi="Times New Roman" w:cs="Times New Roman"/>
                <w:noProof/>
                <w:webHidden/>
              </w:rPr>
              <w:fldChar w:fldCharType="end"/>
            </w:r>
          </w:hyperlink>
        </w:p>
        <w:p w14:paraId="3FFF8435" w14:textId="518BDA24"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00" w:history="1">
            <w:r w:rsidRPr="0078134C">
              <w:rPr>
                <w:rStyle w:val="Hyperlink"/>
                <w:rFonts w:ascii="Times New Roman" w:hAnsi="Times New Roman" w:cs="Times New Roman"/>
                <w:noProof/>
              </w:rPr>
              <w:t>Cross country and global efficiency studies</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_Toc234122900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4</w:t>
            </w:r>
            <w:r w:rsidRPr="0078134C">
              <w:rPr>
                <w:rFonts w:ascii="Times New Roman" w:hAnsi="Times New Roman" w:cs="Times New Roman"/>
                <w:noProof/>
                <w:webHidden/>
              </w:rPr>
              <w:fldChar w:fldCharType="end"/>
            </w:r>
          </w:hyperlink>
        </w:p>
        <w:p w14:paraId="487FA8C4" w14:textId="16A46C6E"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01" w:history="1">
            <w:r w:rsidRPr="0078134C">
              <w:rPr>
                <w:rStyle w:val="Hyperlink"/>
                <w:rFonts w:ascii="Times New Roman" w:hAnsi="Times New Roman" w:cs="Times New Roman"/>
                <w:noProof/>
              </w:rPr>
              <w:t>Profitability determinants</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_Toc234122901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5</w:t>
            </w:r>
            <w:r w:rsidRPr="0078134C">
              <w:rPr>
                <w:rFonts w:ascii="Times New Roman" w:hAnsi="Times New Roman" w:cs="Times New Roman"/>
                <w:noProof/>
                <w:webHidden/>
              </w:rPr>
              <w:fldChar w:fldCharType="end"/>
            </w:r>
          </w:hyperlink>
        </w:p>
        <w:p w14:paraId="647A33EE" w14:textId="081EFE05"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02" w:history="1">
            <w:r w:rsidRPr="0078134C">
              <w:rPr>
                <w:rStyle w:val="Hyperlink"/>
                <w:rFonts w:ascii="Times New Roman" w:hAnsi="Times New Roman" w:cs="Times New Roman"/>
                <w:noProof/>
              </w:rPr>
              <w:t>Liquidity and Overall performance comparisons</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_Toc234122902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5</w:t>
            </w:r>
            <w:r w:rsidRPr="0078134C">
              <w:rPr>
                <w:rFonts w:ascii="Times New Roman" w:hAnsi="Times New Roman" w:cs="Times New Roman"/>
                <w:noProof/>
                <w:webHidden/>
              </w:rPr>
              <w:fldChar w:fldCharType="end"/>
            </w:r>
          </w:hyperlink>
        </w:p>
        <w:p w14:paraId="3F270B4D" w14:textId="31138D7D" w:rsidR="009C07B5" w:rsidRPr="0078134C" w:rsidRDefault="009C07B5">
          <w:pPr>
            <w:pStyle w:val="TOC1"/>
            <w:tabs>
              <w:tab w:val="right" w:leader="dot" w:pos="9016"/>
            </w:tabs>
            <w:rPr>
              <w:rFonts w:ascii="Times New Roman" w:eastAsiaTheme="minorEastAsia" w:hAnsi="Times New Roman" w:cs="Times New Roman"/>
              <w:noProof/>
              <w:sz w:val="24"/>
              <w:szCs w:val="24"/>
              <w:lang w:val="en-PK" w:eastAsia="en-PK"/>
            </w:rPr>
          </w:pPr>
          <w:hyperlink w:anchor="_Toc234122903" w:history="1">
            <w:r w:rsidRPr="0078134C">
              <w:rPr>
                <w:rStyle w:val="Hyperlink"/>
                <w:rFonts w:ascii="Times New Roman" w:hAnsi="Times New Roman" w:cs="Times New Roman"/>
                <w:noProof/>
              </w:rPr>
              <w:t>Research Methodology:</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_Toc234122903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6</w:t>
            </w:r>
            <w:r w:rsidRPr="0078134C">
              <w:rPr>
                <w:rFonts w:ascii="Times New Roman" w:hAnsi="Times New Roman" w:cs="Times New Roman"/>
                <w:noProof/>
                <w:webHidden/>
              </w:rPr>
              <w:fldChar w:fldCharType="end"/>
            </w:r>
          </w:hyperlink>
        </w:p>
        <w:p w14:paraId="57E95AA5" w14:textId="4FC4430F"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04" w:history="1">
            <w:r w:rsidRPr="0078134C">
              <w:rPr>
                <w:rStyle w:val="Hyperlink"/>
                <w:rFonts w:ascii="Times New Roman" w:hAnsi="Times New Roman" w:cs="Times New Roman"/>
                <w:noProof/>
              </w:rPr>
              <w:t>Research Design</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_Toc234122904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6</w:t>
            </w:r>
            <w:r w:rsidRPr="0078134C">
              <w:rPr>
                <w:rFonts w:ascii="Times New Roman" w:hAnsi="Times New Roman" w:cs="Times New Roman"/>
                <w:noProof/>
                <w:webHidden/>
              </w:rPr>
              <w:fldChar w:fldCharType="end"/>
            </w:r>
          </w:hyperlink>
        </w:p>
        <w:p w14:paraId="2E474555" w14:textId="334C3C5D"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05" w:history="1">
            <w:r w:rsidRPr="0078134C">
              <w:rPr>
                <w:rStyle w:val="Hyperlink"/>
                <w:rFonts w:ascii="Times New Roman" w:hAnsi="Times New Roman" w:cs="Times New Roman"/>
                <w:noProof/>
              </w:rPr>
              <w:t>Sample Selection</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_Toc234122905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6</w:t>
            </w:r>
            <w:r w:rsidRPr="0078134C">
              <w:rPr>
                <w:rFonts w:ascii="Times New Roman" w:hAnsi="Times New Roman" w:cs="Times New Roman"/>
                <w:noProof/>
                <w:webHidden/>
              </w:rPr>
              <w:fldChar w:fldCharType="end"/>
            </w:r>
          </w:hyperlink>
        </w:p>
        <w:p w14:paraId="7F3B9C1A" w14:textId="3E648940"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06" w:history="1">
            <w:r w:rsidRPr="0078134C">
              <w:rPr>
                <w:rStyle w:val="Hyperlink"/>
                <w:rFonts w:ascii="Times New Roman" w:hAnsi="Times New Roman" w:cs="Times New Roman"/>
                <w:noProof/>
              </w:rPr>
              <w:t>Study Period</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_Toc234122906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6</w:t>
            </w:r>
            <w:r w:rsidRPr="0078134C">
              <w:rPr>
                <w:rFonts w:ascii="Times New Roman" w:hAnsi="Times New Roman" w:cs="Times New Roman"/>
                <w:noProof/>
                <w:webHidden/>
              </w:rPr>
              <w:fldChar w:fldCharType="end"/>
            </w:r>
          </w:hyperlink>
        </w:p>
        <w:p w14:paraId="2CE08390" w14:textId="31E43B1E"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07" w:history="1">
            <w:r w:rsidRPr="0078134C">
              <w:rPr>
                <w:rStyle w:val="Hyperlink"/>
                <w:rFonts w:ascii="Times New Roman" w:hAnsi="Times New Roman" w:cs="Times New Roman"/>
                <w:noProof/>
              </w:rPr>
              <w:t>Data Sources</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_Toc234122907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7</w:t>
            </w:r>
            <w:r w:rsidRPr="0078134C">
              <w:rPr>
                <w:rFonts w:ascii="Times New Roman" w:hAnsi="Times New Roman" w:cs="Times New Roman"/>
                <w:noProof/>
                <w:webHidden/>
              </w:rPr>
              <w:fldChar w:fldCharType="end"/>
            </w:r>
          </w:hyperlink>
        </w:p>
        <w:p w14:paraId="3C23F75E" w14:textId="334A7AB7"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08" w:history="1">
            <w:r w:rsidRPr="0078134C">
              <w:rPr>
                <w:rStyle w:val="Hyperlink"/>
                <w:rFonts w:ascii="Times New Roman" w:hAnsi="Times New Roman" w:cs="Times New Roman"/>
                <w:noProof/>
              </w:rPr>
              <w:t>Data Collection Procedure</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_Toc234122908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7</w:t>
            </w:r>
            <w:r w:rsidRPr="0078134C">
              <w:rPr>
                <w:rFonts w:ascii="Times New Roman" w:hAnsi="Times New Roman" w:cs="Times New Roman"/>
                <w:noProof/>
                <w:webHidden/>
              </w:rPr>
              <w:fldChar w:fldCharType="end"/>
            </w:r>
          </w:hyperlink>
        </w:p>
        <w:p w14:paraId="4AD592A3" w14:textId="37743873"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09" w:history="1">
            <w:r w:rsidRPr="0078134C">
              <w:rPr>
                <w:rStyle w:val="Hyperlink"/>
                <w:rFonts w:ascii="Times New Roman" w:hAnsi="Times New Roman" w:cs="Times New Roman"/>
                <w:noProof/>
              </w:rPr>
              <w:t>Variables used in the study.</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_Toc234122909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7</w:t>
            </w:r>
            <w:r w:rsidRPr="0078134C">
              <w:rPr>
                <w:rFonts w:ascii="Times New Roman" w:hAnsi="Times New Roman" w:cs="Times New Roman"/>
                <w:noProof/>
                <w:webHidden/>
              </w:rPr>
              <w:fldChar w:fldCharType="end"/>
            </w:r>
          </w:hyperlink>
        </w:p>
        <w:p w14:paraId="7E67479C" w14:textId="0A1EAB37"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10" w:history="1">
            <w:r w:rsidRPr="0078134C">
              <w:rPr>
                <w:rStyle w:val="Hyperlink"/>
                <w:rFonts w:ascii="Times New Roman" w:hAnsi="Times New Roman" w:cs="Times New Roman"/>
                <w:noProof/>
              </w:rPr>
              <w:t>Data Analysis</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_Toc234122910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8</w:t>
            </w:r>
            <w:r w:rsidRPr="0078134C">
              <w:rPr>
                <w:rFonts w:ascii="Times New Roman" w:hAnsi="Times New Roman" w:cs="Times New Roman"/>
                <w:noProof/>
                <w:webHidden/>
              </w:rPr>
              <w:fldChar w:fldCharType="end"/>
            </w:r>
          </w:hyperlink>
        </w:p>
        <w:p w14:paraId="5B33280D" w14:textId="382C7D2E"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11" w:history="1">
            <w:r w:rsidRPr="0078134C">
              <w:rPr>
                <w:rStyle w:val="Hyperlink"/>
                <w:rFonts w:ascii="Times New Roman" w:hAnsi="Times New Roman" w:cs="Times New Roman"/>
                <w:noProof/>
              </w:rPr>
              <w:t>Scope of the Study</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_Toc234122911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8</w:t>
            </w:r>
            <w:r w:rsidRPr="0078134C">
              <w:rPr>
                <w:rFonts w:ascii="Times New Roman" w:hAnsi="Times New Roman" w:cs="Times New Roman"/>
                <w:noProof/>
                <w:webHidden/>
              </w:rPr>
              <w:fldChar w:fldCharType="end"/>
            </w:r>
          </w:hyperlink>
        </w:p>
        <w:p w14:paraId="549468A4" w14:textId="136BD869" w:rsidR="009C07B5" w:rsidRPr="0078134C" w:rsidRDefault="009C07B5">
          <w:pPr>
            <w:pStyle w:val="TOC1"/>
            <w:tabs>
              <w:tab w:val="right" w:leader="dot" w:pos="9016"/>
            </w:tabs>
            <w:rPr>
              <w:rFonts w:ascii="Times New Roman" w:eastAsiaTheme="minorEastAsia" w:hAnsi="Times New Roman" w:cs="Times New Roman"/>
              <w:noProof/>
              <w:sz w:val="24"/>
              <w:szCs w:val="24"/>
              <w:lang w:val="en-PK" w:eastAsia="en-PK"/>
            </w:rPr>
          </w:pPr>
          <w:hyperlink w:anchor="_Toc234122912" w:history="1">
            <w:r w:rsidRPr="0078134C">
              <w:rPr>
                <w:rStyle w:val="Hyperlink"/>
                <w:rFonts w:ascii="Times New Roman" w:hAnsi="Times New Roman" w:cs="Times New Roman"/>
                <w:noProof/>
              </w:rPr>
              <w:t>Comparative Analysis</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_Toc234122912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9</w:t>
            </w:r>
            <w:r w:rsidRPr="0078134C">
              <w:rPr>
                <w:rFonts w:ascii="Times New Roman" w:hAnsi="Times New Roman" w:cs="Times New Roman"/>
                <w:noProof/>
                <w:webHidden/>
              </w:rPr>
              <w:fldChar w:fldCharType="end"/>
            </w:r>
          </w:hyperlink>
        </w:p>
        <w:p w14:paraId="5C7F4753" w14:textId="3325EFCA"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13" w:history="1">
            <w:r w:rsidRPr="0078134C">
              <w:rPr>
                <w:rStyle w:val="Hyperlink"/>
                <w:rFonts w:ascii="Times New Roman" w:hAnsi="Times New Roman" w:cs="Times New Roman"/>
                <w:noProof/>
              </w:rPr>
              <w:t>Sample and Descriptive Profile</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_Toc234122913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9</w:t>
            </w:r>
            <w:r w:rsidRPr="0078134C">
              <w:rPr>
                <w:rFonts w:ascii="Times New Roman" w:hAnsi="Times New Roman" w:cs="Times New Roman"/>
                <w:noProof/>
                <w:webHidden/>
              </w:rPr>
              <w:fldChar w:fldCharType="end"/>
            </w:r>
          </w:hyperlink>
        </w:p>
        <w:p w14:paraId="19E01CA3" w14:textId="586D8AB8"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14" w:history="1">
            <w:r w:rsidRPr="0078134C">
              <w:rPr>
                <w:rStyle w:val="Hyperlink"/>
                <w:rFonts w:ascii="Times New Roman" w:hAnsi="Times New Roman" w:cs="Times New Roman"/>
                <w:noProof/>
              </w:rPr>
              <w:t>Trend Analysis, 2019–2024</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_Toc234122914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10</w:t>
            </w:r>
            <w:r w:rsidRPr="0078134C">
              <w:rPr>
                <w:rFonts w:ascii="Times New Roman" w:hAnsi="Times New Roman" w:cs="Times New Roman"/>
                <w:noProof/>
                <w:webHidden/>
              </w:rPr>
              <w:fldChar w:fldCharType="end"/>
            </w:r>
          </w:hyperlink>
        </w:p>
        <w:p w14:paraId="45B758C1" w14:textId="3CC175BD"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15" w:history="1">
            <w:r w:rsidRPr="0078134C">
              <w:rPr>
                <w:rStyle w:val="Hyperlink"/>
                <w:rFonts w:ascii="Times New Roman" w:hAnsi="Times New Roman" w:cs="Times New Roman"/>
                <w:noProof/>
              </w:rPr>
              <w:t>Comparative Averages by Bank Type</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_Toc234122915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11</w:t>
            </w:r>
            <w:r w:rsidRPr="0078134C">
              <w:rPr>
                <w:rFonts w:ascii="Times New Roman" w:hAnsi="Times New Roman" w:cs="Times New Roman"/>
                <w:noProof/>
                <w:webHidden/>
              </w:rPr>
              <w:fldChar w:fldCharType="end"/>
            </w:r>
          </w:hyperlink>
        </w:p>
        <w:p w14:paraId="25D4BF27" w14:textId="649B7EEF" w:rsidR="009C07B5" w:rsidRPr="0078134C" w:rsidRDefault="009C07B5">
          <w:pPr>
            <w:pStyle w:val="TOC3"/>
            <w:tabs>
              <w:tab w:val="right" w:leader="dot" w:pos="9016"/>
            </w:tabs>
            <w:rPr>
              <w:rFonts w:ascii="Times New Roman" w:eastAsiaTheme="minorEastAsia" w:hAnsi="Times New Roman" w:cs="Times New Roman"/>
              <w:noProof/>
              <w:sz w:val="24"/>
              <w:szCs w:val="24"/>
              <w:lang w:val="en-PK" w:eastAsia="en-PK"/>
            </w:rPr>
          </w:pPr>
          <w:hyperlink w:anchor="_Toc234122916" w:history="1">
            <w:r w:rsidRPr="0078134C">
              <w:rPr>
                <w:rStyle w:val="Hyperlink"/>
                <w:rFonts w:ascii="Times New Roman" w:hAnsi="Times New Roman" w:cs="Times New Roman"/>
                <w:noProof/>
              </w:rPr>
              <w:t>Operating Expense Ratio</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_Toc234122916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11</w:t>
            </w:r>
            <w:r w:rsidRPr="0078134C">
              <w:rPr>
                <w:rFonts w:ascii="Times New Roman" w:hAnsi="Times New Roman" w:cs="Times New Roman"/>
                <w:noProof/>
                <w:webHidden/>
              </w:rPr>
              <w:fldChar w:fldCharType="end"/>
            </w:r>
          </w:hyperlink>
        </w:p>
        <w:p w14:paraId="6DB6093E" w14:textId="033723E5" w:rsidR="009C07B5" w:rsidRPr="0078134C" w:rsidRDefault="009C07B5">
          <w:pPr>
            <w:pStyle w:val="TOC3"/>
            <w:tabs>
              <w:tab w:val="right" w:leader="dot" w:pos="9016"/>
            </w:tabs>
            <w:rPr>
              <w:rFonts w:ascii="Times New Roman" w:eastAsiaTheme="minorEastAsia" w:hAnsi="Times New Roman" w:cs="Times New Roman"/>
              <w:noProof/>
              <w:sz w:val="24"/>
              <w:szCs w:val="24"/>
              <w:lang w:val="en-PK" w:eastAsia="en-PK"/>
            </w:rPr>
          </w:pPr>
          <w:hyperlink w:anchor="_Toc234122917" w:history="1">
            <w:r w:rsidRPr="0078134C">
              <w:rPr>
                <w:rStyle w:val="Hyperlink"/>
                <w:rFonts w:ascii="Times New Roman" w:hAnsi="Times New Roman" w:cs="Times New Roman"/>
                <w:noProof/>
              </w:rPr>
              <w:t>Cost-to-Income Ratio</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_Toc234122917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12</w:t>
            </w:r>
            <w:r w:rsidRPr="0078134C">
              <w:rPr>
                <w:rFonts w:ascii="Times New Roman" w:hAnsi="Times New Roman" w:cs="Times New Roman"/>
                <w:noProof/>
                <w:webHidden/>
              </w:rPr>
              <w:fldChar w:fldCharType="end"/>
            </w:r>
          </w:hyperlink>
        </w:p>
        <w:p w14:paraId="7B8D73B3" w14:textId="507843D3" w:rsidR="009C07B5" w:rsidRPr="0078134C" w:rsidRDefault="009C07B5">
          <w:pPr>
            <w:pStyle w:val="TOC3"/>
            <w:tabs>
              <w:tab w:val="right" w:leader="dot" w:pos="9016"/>
            </w:tabs>
            <w:rPr>
              <w:rFonts w:ascii="Times New Roman" w:eastAsiaTheme="minorEastAsia" w:hAnsi="Times New Roman" w:cs="Times New Roman"/>
              <w:noProof/>
              <w:sz w:val="24"/>
              <w:szCs w:val="24"/>
              <w:lang w:val="en-PK" w:eastAsia="en-PK"/>
            </w:rPr>
          </w:pPr>
          <w:hyperlink w:anchor="_Toc234122918" w:history="1">
            <w:r w:rsidRPr="0078134C">
              <w:rPr>
                <w:rStyle w:val="Hyperlink"/>
                <w:rFonts w:ascii="Times New Roman" w:hAnsi="Times New Roman" w:cs="Times New Roman"/>
                <w:noProof/>
              </w:rPr>
              <w:t>Return on Assets (ROA)</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_Toc234122918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13</w:t>
            </w:r>
            <w:r w:rsidRPr="0078134C">
              <w:rPr>
                <w:rFonts w:ascii="Times New Roman" w:hAnsi="Times New Roman" w:cs="Times New Roman"/>
                <w:noProof/>
                <w:webHidden/>
              </w:rPr>
              <w:fldChar w:fldCharType="end"/>
            </w:r>
          </w:hyperlink>
        </w:p>
        <w:p w14:paraId="7C9C94AE" w14:textId="0C030388" w:rsidR="009C07B5" w:rsidRPr="0078134C" w:rsidRDefault="009C07B5">
          <w:pPr>
            <w:pStyle w:val="TOC3"/>
            <w:tabs>
              <w:tab w:val="right" w:leader="dot" w:pos="9016"/>
            </w:tabs>
            <w:rPr>
              <w:rFonts w:ascii="Times New Roman" w:eastAsiaTheme="minorEastAsia" w:hAnsi="Times New Roman" w:cs="Times New Roman"/>
              <w:noProof/>
              <w:sz w:val="24"/>
              <w:szCs w:val="24"/>
              <w:lang w:val="en-PK" w:eastAsia="en-PK"/>
            </w:rPr>
          </w:pPr>
          <w:hyperlink w:anchor="_Toc234122919" w:history="1">
            <w:r w:rsidRPr="0078134C">
              <w:rPr>
                <w:rStyle w:val="Hyperlink"/>
                <w:rFonts w:ascii="Times New Roman" w:hAnsi="Times New Roman" w:cs="Times New Roman"/>
                <w:noProof/>
              </w:rPr>
              <w:t>Return on Equity (ROE)</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_Toc234122919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13</w:t>
            </w:r>
            <w:r w:rsidRPr="0078134C">
              <w:rPr>
                <w:rFonts w:ascii="Times New Roman" w:hAnsi="Times New Roman" w:cs="Times New Roman"/>
                <w:noProof/>
                <w:webHidden/>
              </w:rPr>
              <w:fldChar w:fldCharType="end"/>
            </w:r>
          </w:hyperlink>
        </w:p>
        <w:p w14:paraId="1E00E4C1" w14:textId="43A84FCF" w:rsidR="009C07B5" w:rsidRPr="0078134C" w:rsidRDefault="009C07B5">
          <w:pPr>
            <w:pStyle w:val="TOC3"/>
            <w:tabs>
              <w:tab w:val="right" w:leader="dot" w:pos="9016"/>
            </w:tabs>
            <w:rPr>
              <w:rFonts w:ascii="Times New Roman" w:eastAsiaTheme="minorEastAsia" w:hAnsi="Times New Roman" w:cs="Times New Roman"/>
              <w:noProof/>
              <w:sz w:val="24"/>
              <w:szCs w:val="24"/>
              <w:lang w:val="en-PK" w:eastAsia="en-PK"/>
            </w:rPr>
          </w:pPr>
          <w:hyperlink w:anchor="_Toc234122920" w:history="1">
            <w:r w:rsidRPr="0078134C">
              <w:rPr>
                <w:rStyle w:val="Hyperlink"/>
                <w:rFonts w:ascii="Times New Roman" w:hAnsi="Times New Roman" w:cs="Times New Roman"/>
                <w:noProof/>
              </w:rPr>
              <w:t>Cash-to-Assets Ratio</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_Toc234122920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13</w:t>
            </w:r>
            <w:r w:rsidRPr="0078134C">
              <w:rPr>
                <w:rFonts w:ascii="Times New Roman" w:hAnsi="Times New Roman" w:cs="Times New Roman"/>
                <w:noProof/>
                <w:webHidden/>
              </w:rPr>
              <w:fldChar w:fldCharType="end"/>
            </w:r>
          </w:hyperlink>
        </w:p>
        <w:p w14:paraId="2354783D" w14:textId="4EB12564" w:rsidR="009C07B5" w:rsidRPr="0078134C" w:rsidRDefault="009C07B5">
          <w:pPr>
            <w:pStyle w:val="TOC3"/>
            <w:tabs>
              <w:tab w:val="right" w:leader="dot" w:pos="9016"/>
            </w:tabs>
            <w:rPr>
              <w:rFonts w:ascii="Times New Roman" w:eastAsiaTheme="minorEastAsia" w:hAnsi="Times New Roman" w:cs="Times New Roman"/>
              <w:noProof/>
              <w:sz w:val="24"/>
              <w:szCs w:val="24"/>
              <w:lang w:val="en-PK" w:eastAsia="en-PK"/>
            </w:rPr>
          </w:pPr>
          <w:hyperlink w:anchor="_Toc234122921" w:history="1">
            <w:r w:rsidRPr="0078134C">
              <w:rPr>
                <w:rStyle w:val="Hyperlink"/>
                <w:rFonts w:ascii="Times New Roman" w:hAnsi="Times New Roman" w:cs="Times New Roman"/>
                <w:noProof/>
              </w:rPr>
              <w:t>Financing/Loans-to-Assets Ratio</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_Toc234122921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14</w:t>
            </w:r>
            <w:r w:rsidRPr="0078134C">
              <w:rPr>
                <w:rFonts w:ascii="Times New Roman" w:hAnsi="Times New Roman" w:cs="Times New Roman"/>
                <w:noProof/>
                <w:webHidden/>
              </w:rPr>
              <w:fldChar w:fldCharType="end"/>
            </w:r>
          </w:hyperlink>
        </w:p>
        <w:p w14:paraId="7A957181" w14:textId="447775FB"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22" w:history="1">
            <w:r w:rsidRPr="0078134C">
              <w:rPr>
                <w:rStyle w:val="Hyperlink"/>
                <w:rFonts w:ascii="Times New Roman" w:hAnsi="Times New Roman" w:cs="Times New Roman"/>
                <w:noProof/>
              </w:rPr>
              <w:t>Deposit Utilisation and Financing Structure</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_Toc234122922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14</w:t>
            </w:r>
            <w:r w:rsidRPr="0078134C">
              <w:rPr>
                <w:rFonts w:ascii="Times New Roman" w:hAnsi="Times New Roman" w:cs="Times New Roman"/>
                <w:noProof/>
                <w:webHidden/>
              </w:rPr>
              <w:fldChar w:fldCharType="end"/>
            </w:r>
          </w:hyperlink>
        </w:p>
        <w:p w14:paraId="52306EA7" w14:textId="370DDD4D"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23" w:history="1">
            <w:r w:rsidRPr="0078134C">
              <w:rPr>
                <w:rStyle w:val="Hyperlink"/>
                <w:rFonts w:ascii="Times New Roman" w:hAnsi="Times New Roman" w:cs="Times New Roman"/>
                <w:noProof/>
              </w:rPr>
              <w:t>Why the Data Diverges from the Popular Belief</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_Toc234122923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14</w:t>
            </w:r>
            <w:r w:rsidRPr="0078134C">
              <w:rPr>
                <w:rFonts w:ascii="Times New Roman" w:hAnsi="Times New Roman" w:cs="Times New Roman"/>
                <w:noProof/>
                <w:webHidden/>
              </w:rPr>
              <w:fldChar w:fldCharType="end"/>
            </w:r>
          </w:hyperlink>
        </w:p>
        <w:p w14:paraId="2711E233" w14:textId="6BB12EA1"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24" w:history="1">
            <w:r w:rsidRPr="0078134C">
              <w:rPr>
                <w:rStyle w:val="Hyperlink"/>
                <w:rFonts w:ascii="Times New Roman" w:hAnsi="Times New Roman" w:cs="Times New Roman"/>
                <w:noProof/>
              </w:rPr>
              <w:t>Reconciling with the Prior Literature</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_Toc234122924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15</w:t>
            </w:r>
            <w:r w:rsidRPr="0078134C">
              <w:rPr>
                <w:rFonts w:ascii="Times New Roman" w:hAnsi="Times New Roman" w:cs="Times New Roman"/>
                <w:noProof/>
                <w:webHidden/>
              </w:rPr>
              <w:fldChar w:fldCharType="end"/>
            </w:r>
          </w:hyperlink>
        </w:p>
        <w:p w14:paraId="741F76B9" w14:textId="24BFCC5E"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25" w:history="1">
            <w:r w:rsidRPr="0078134C">
              <w:rPr>
                <w:rStyle w:val="Hyperlink"/>
                <w:rFonts w:ascii="Times New Roman" w:hAnsi="Times New Roman" w:cs="Times New Roman"/>
                <w:noProof/>
              </w:rPr>
              <w:t>Limitations</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_Toc234122925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16</w:t>
            </w:r>
            <w:r w:rsidRPr="0078134C">
              <w:rPr>
                <w:rFonts w:ascii="Times New Roman" w:hAnsi="Times New Roman" w:cs="Times New Roman"/>
                <w:noProof/>
                <w:webHidden/>
              </w:rPr>
              <w:fldChar w:fldCharType="end"/>
            </w:r>
          </w:hyperlink>
        </w:p>
        <w:p w14:paraId="761A79E2" w14:textId="178F89CA" w:rsidR="009C07B5" w:rsidRPr="0078134C" w:rsidRDefault="009C07B5">
          <w:pPr>
            <w:pStyle w:val="TOC1"/>
            <w:tabs>
              <w:tab w:val="right" w:leader="dot" w:pos="9016"/>
            </w:tabs>
            <w:rPr>
              <w:rFonts w:ascii="Times New Roman" w:eastAsiaTheme="minorEastAsia" w:hAnsi="Times New Roman" w:cs="Times New Roman"/>
              <w:noProof/>
              <w:sz w:val="24"/>
              <w:szCs w:val="24"/>
              <w:lang w:val="en-PK" w:eastAsia="en-PK"/>
            </w:rPr>
          </w:pPr>
          <w:hyperlink w:anchor="_Toc234122926" w:history="1">
            <w:r w:rsidRPr="0078134C">
              <w:rPr>
                <w:rStyle w:val="Hyperlink"/>
                <w:rFonts w:ascii="Times New Roman" w:hAnsi="Times New Roman" w:cs="Times New Roman"/>
                <w:noProof/>
                <w:lang w:val="en-PK"/>
              </w:rPr>
              <w:t>Hypothesis Testing and Regression Results</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_Toc234122926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16</w:t>
            </w:r>
            <w:r w:rsidRPr="0078134C">
              <w:rPr>
                <w:rFonts w:ascii="Times New Roman" w:hAnsi="Times New Roman" w:cs="Times New Roman"/>
                <w:noProof/>
                <w:webHidden/>
              </w:rPr>
              <w:fldChar w:fldCharType="end"/>
            </w:r>
          </w:hyperlink>
        </w:p>
        <w:p w14:paraId="70C2DBD8" w14:textId="0A96A568"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27" w:history="1">
            <w:r w:rsidRPr="0078134C">
              <w:rPr>
                <w:rStyle w:val="Hyperlink"/>
                <w:rFonts w:ascii="Times New Roman" w:hAnsi="Times New Roman" w:cs="Times New Roman"/>
                <w:noProof/>
                <w:lang w:val="en-PK"/>
              </w:rPr>
              <w:t>Hypotheses</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_Toc234122927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16</w:t>
            </w:r>
            <w:r w:rsidRPr="0078134C">
              <w:rPr>
                <w:rFonts w:ascii="Times New Roman" w:hAnsi="Times New Roman" w:cs="Times New Roman"/>
                <w:noProof/>
                <w:webHidden/>
              </w:rPr>
              <w:fldChar w:fldCharType="end"/>
            </w:r>
          </w:hyperlink>
        </w:p>
        <w:p w14:paraId="7E78DA56" w14:textId="4A79C594"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28" w:history="1">
            <w:r w:rsidRPr="0078134C">
              <w:rPr>
                <w:rStyle w:val="Hyperlink"/>
                <w:rFonts w:ascii="Times New Roman" w:hAnsi="Times New Roman" w:cs="Times New Roman"/>
                <w:noProof/>
                <w:lang w:val="en-PK"/>
              </w:rPr>
              <w:t>Overall Model Significance</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_Toc234122928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16</w:t>
            </w:r>
            <w:r w:rsidRPr="0078134C">
              <w:rPr>
                <w:rFonts w:ascii="Times New Roman" w:hAnsi="Times New Roman" w:cs="Times New Roman"/>
                <w:noProof/>
                <w:webHidden/>
              </w:rPr>
              <w:fldChar w:fldCharType="end"/>
            </w:r>
          </w:hyperlink>
        </w:p>
        <w:p w14:paraId="7D5D1298" w14:textId="0680F223"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29" w:history="1">
            <w:r w:rsidRPr="0078134C">
              <w:rPr>
                <w:rStyle w:val="Hyperlink"/>
                <w:rFonts w:ascii="Times New Roman" w:hAnsi="Times New Roman" w:cs="Times New Roman"/>
                <w:noProof/>
                <w:lang w:val="en-PK"/>
              </w:rPr>
              <w:t>Explanatory Power</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_Toc234122929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17</w:t>
            </w:r>
            <w:r w:rsidRPr="0078134C">
              <w:rPr>
                <w:rFonts w:ascii="Times New Roman" w:hAnsi="Times New Roman" w:cs="Times New Roman"/>
                <w:noProof/>
                <w:webHidden/>
              </w:rPr>
              <w:fldChar w:fldCharType="end"/>
            </w:r>
          </w:hyperlink>
        </w:p>
        <w:p w14:paraId="769F4D12" w14:textId="775E8A9B"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30" w:history="1">
            <w:r w:rsidRPr="0078134C">
              <w:rPr>
                <w:rStyle w:val="Hyperlink"/>
                <w:rFonts w:ascii="Times New Roman" w:hAnsi="Times New Roman" w:cs="Times New Roman"/>
                <w:noProof/>
                <w:lang w:val="en-PK"/>
              </w:rPr>
              <w:t>Individual Coefficients</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_Toc234122930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17</w:t>
            </w:r>
            <w:r w:rsidRPr="0078134C">
              <w:rPr>
                <w:rFonts w:ascii="Times New Roman" w:hAnsi="Times New Roman" w:cs="Times New Roman"/>
                <w:noProof/>
                <w:webHidden/>
              </w:rPr>
              <w:fldChar w:fldCharType="end"/>
            </w:r>
          </w:hyperlink>
        </w:p>
        <w:p w14:paraId="585CB57B" w14:textId="52CE21AA" w:rsidR="009C07B5" w:rsidRPr="0078134C" w:rsidRDefault="009C07B5">
          <w:pPr>
            <w:pStyle w:val="TOC2"/>
            <w:tabs>
              <w:tab w:val="right" w:leader="dot" w:pos="9016"/>
            </w:tabs>
            <w:rPr>
              <w:rFonts w:ascii="Times New Roman" w:eastAsiaTheme="minorEastAsia" w:hAnsi="Times New Roman" w:cs="Times New Roman"/>
              <w:noProof/>
              <w:sz w:val="24"/>
              <w:szCs w:val="24"/>
              <w:lang w:val="en-PK" w:eastAsia="en-PK"/>
            </w:rPr>
          </w:pPr>
          <w:hyperlink w:anchor="_Toc234122931" w:history="1">
            <w:r w:rsidRPr="0078134C">
              <w:rPr>
                <w:rStyle w:val="Hyperlink"/>
                <w:rFonts w:ascii="Times New Roman" w:hAnsi="Times New Roman" w:cs="Times New Roman"/>
                <w:noProof/>
                <w:lang w:val="en-PK"/>
              </w:rPr>
              <w:t>Interpretation of the Islamic Dummy Result</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_Toc234122931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17</w:t>
            </w:r>
            <w:r w:rsidRPr="0078134C">
              <w:rPr>
                <w:rFonts w:ascii="Times New Roman" w:hAnsi="Times New Roman" w:cs="Times New Roman"/>
                <w:noProof/>
                <w:webHidden/>
              </w:rPr>
              <w:fldChar w:fldCharType="end"/>
            </w:r>
          </w:hyperlink>
        </w:p>
        <w:p w14:paraId="77AB18F4" w14:textId="7A2F33DC" w:rsidR="009C07B5" w:rsidRPr="0078134C" w:rsidRDefault="009C07B5">
          <w:pPr>
            <w:pStyle w:val="TOC1"/>
            <w:tabs>
              <w:tab w:val="right" w:leader="dot" w:pos="9016"/>
            </w:tabs>
            <w:rPr>
              <w:rFonts w:ascii="Times New Roman" w:eastAsiaTheme="minorEastAsia" w:hAnsi="Times New Roman" w:cs="Times New Roman"/>
              <w:noProof/>
              <w:sz w:val="24"/>
              <w:szCs w:val="24"/>
              <w:lang w:val="en-PK" w:eastAsia="en-PK"/>
            </w:rPr>
          </w:pPr>
          <w:hyperlink w:anchor="_Toc234122932" w:history="1">
            <w:r w:rsidRPr="0078134C">
              <w:rPr>
                <w:rStyle w:val="Hyperlink"/>
                <w:rFonts w:ascii="Times New Roman" w:hAnsi="Times New Roman" w:cs="Times New Roman"/>
                <w:noProof/>
              </w:rPr>
              <w:t>References</w:t>
            </w:r>
            <w:r w:rsidRPr="0078134C">
              <w:rPr>
                <w:rFonts w:ascii="Times New Roman" w:hAnsi="Times New Roman" w:cs="Times New Roman"/>
                <w:noProof/>
                <w:webHidden/>
              </w:rPr>
              <w:tab/>
            </w:r>
            <w:r w:rsidRPr="0078134C">
              <w:rPr>
                <w:rFonts w:ascii="Times New Roman" w:hAnsi="Times New Roman" w:cs="Times New Roman"/>
                <w:noProof/>
                <w:webHidden/>
              </w:rPr>
              <w:fldChar w:fldCharType="begin"/>
            </w:r>
            <w:r w:rsidRPr="0078134C">
              <w:rPr>
                <w:rFonts w:ascii="Times New Roman" w:hAnsi="Times New Roman" w:cs="Times New Roman"/>
                <w:noProof/>
                <w:webHidden/>
              </w:rPr>
              <w:instrText xml:space="preserve"> PAGEREF _Toc234122932 \h </w:instrText>
            </w:r>
            <w:r w:rsidRPr="0078134C">
              <w:rPr>
                <w:rFonts w:ascii="Times New Roman" w:hAnsi="Times New Roman" w:cs="Times New Roman"/>
                <w:noProof/>
                <w:webHidden/>
              </w:rPr>
            </w:r>
            <w:r w:rsidRPr="0078134C">
              <w:rPr>
                <w:rFonts w:ascii="Times New Roman" w:hAnsi="Times New Roman" w:cs="Times New Roman"/>
                <w:noProof/>
                <w:webHidden/>
              </w:rPr>
              <w:fldChar w:fldCharType="separate"/>
            </w:r>
            <w:r w:rsidRPr="0078134C">
              <w:rPr>
                <w:rFonts w:ascii="Times New Roman" w:hAnsi="Times New Roman" w:cs="Times New Roman"/>
                <w:noProof/>
                <w:webHidden/>
              </w:rPr>
              <w:t>19</w:t>
            </w:r>
            <w:r w:rsidRPr="0078134C">
              <w:rPr>
                <w:rFonts w:ascii="Times New Roman" w:hAnsi="Times New Roman" w:cs="Times New Roman"/>
                <w:noProof/>
                <w:webHidden/>
              </w:rPr>
              <w:fldChar w:fldCharType="end"/>
            </w:r>
          </w:hyperlink>
        </w:p>
        <w:p w14:paraId="143BA10D" w14:textId="79E950B5" w:rsidR="0017403A" w:rsidRPr="0078134C" w:rsidRDefault="0017403A">
          <w:pPr>
            <w:rPr>
              <w:rFonts w:ascii="Times New Roman" w:hAnsi="Times New Roman" w:cs="Times New Roman"/>
            </w:rPr>
          </w:pPr>
          <w:r w:rsidRPr="0078134C">
            <w:rPr>
              <w:rFonts w:ascii="Times New Roman" w:hAnsi="Times New Roman" w:cs="Times New Roman"/>
              <w:b/>
              <w:bCs/>
              <w:noProof/>
            </w:rPr>
            <w:fldChar w:fldCharType="end"/>
          </w:r>
        </w:p>
      </w:sdtContent>
    </w:sdt>
    <w:p w14:paraId="6D91452A" w14:textId="77777777" w:rsidR="00DA527F" w:rsidRPr="0078134C" w:rsidRDefault="00DA527F" w:rsidP="00D470D9">
      <w:pPr>
        <w:pStyle w:val="Heading1"/>
        <w:jc w:val="both"/>
        <w:rPr>
          <w:rFonts w:ascii="Times New Roman" w:hAnsi="Times New Roman" w:cs="Times New Roman"/>
        </w:rPr>
      </w:pPr>
    </w:p>
    <w:p w14:paraId="587C9C31" w14:textId="77777777" w:rsidR="0017403A" w:rsidRPr="0078134C" w:rsidRDefault="0017403A" w:rsidP="0017403A">
      <w:pPr>
        <w:rPr>
          <w:rFonts w:ascii="Times New Roman" w:hAnsi="Times New Roman" w:cs="Times New Roman"/>
        </w:rPr>
      </w:pPr>
    </w:p>
    <w:p w14:paraId="4E36A914" w14:textId="77777777" w:rsidR="0017403A" w:rsidRPr="0078134C" w:rsidRDefault="0017403A" w:rsidP="0017403A">
      <w:pPr>
        <w:rPr>
          <w:rFonts w:ascii="Times New Roman" w:hAnsi="Times New Roman" w:cs="Times New Roman"/>
        </w:rPr>
      </w:pPr>
    </w:p>
    <w:p w14:paraId="265A7CBF" w14:textId="77777777" w:rsidR="0017403A" w:rsidRPr="0078134C" w:rsidRDefault="0017403A" w:rsidP="0017403A">
      <w:pPr>
        <w:rPr>
          <w:rFonts w:ascii="Times New Roman" w:hAnsi="Times New Roman" w:cs="Times New Roman"/>
        </w:rPr>
      </w:pPr>
    </w:p>
    <w:p w14:paraId="23320EAA" w14:textId="77777777" w:rsidR="0017403A" w:rsidRPr="0078134C" w:rsidRDefault="0017403A" w:rsidP="0017403A">
      <w:pPr>
        <w:rPr>
          <w:rFonts w:ascii="Times New Roman" w:hAnsi="Times New Roman" w:cs="Times New Roman"/>
        </w:rPr>
      </w:pPr>
    </w:p>
    <w:p w14:paraId="155937BB" w14:textId="77777777" w:rsidR="0017403A" w:rsidRPr="0078134C" w:rsidRDefault="0017403A" w:rsidP="0017403A">
      <w:pPr>
        <w:rPr>
          <w:rFonts w:ascii="Times New Roman" w:hAnsi="Times New Roman" w:cs="Times New Roman"/>
        </w:rPr>
      </w:pPr>
    </w:p>
    <w:p w14:paraId="70DA0DB6" w14:textId="77777777" w:rsidR="0017403A" w:rsidRPr="0078134C" w:rsidRDefault="0017403A" w:rsidP="0017403A">
      <w:pPr>
        <w:rPr>
          <w:rFonts w:ascii="Times New Roman" w:hAnsi="Times New Roman" w:cs="Times New Roman"/>
        </w:rPr>
      </w:pPr>
    </w:p>
    <w:p w14:paraId="7A0D1070" w14:textId="77777777" w:rsidR="0017403A" w:rsidRPr="0078134C" w:rsidRDefault="0017403A" w:rsidP="0017403A">
      <w:pPr>
        <w:rPr>
          <w:rFonts w:ascii="Times New Roman" w:hAnsi="Times New Roman" w:cs="Times New Roman"/>
        </w:rPr>
      </w:pPr>
    </w:p>
    <w:p w14:paraId="2DEAD724" w14:textId="77777777" w:rsidR="0017403A" w:rsidRPr="0078134C" w:rsidRDefault="0017403A" w:rsidP="0017403A">
      <w:pPr>
        <w:rPr>
          <w:rFonts w:ascii="Times New Roman" w:hAnsi="Times New Roman" w:cs="Times New Roman"/>
        </w:rPr>
      </w:pPr>
    </w:p>
    <w:p w14:paraId="6C54FBA6" w14:textId="77777777" w:rsidR="0017403A" w:rsidRPr="0078134C" w:rsidRDefault="0017403A" w:rsidP="0017403A">
      <w:pPr>
        <w:rPr>
          <w:rFonts w:ascii="Times New Roman" w:hAnsi="Times New Roman" w:cs="Times New Roman"/>
        </w:rPr>
      </w:pPr>
    </w:p>
    <w:p w14:paraId="4F63F610" w14:textId="77777777" w:rsidR="0017403A" w:rsidRPr="0078134C" w:rsidRDefault="0017403A" w:rsidP="0017403A">
      <w:pPr>
        <w:rPr>
          <w:rFonts w:ascii="Times New Roman" w:hAnsi="Times New Roman" w:cs="Times New Roman"/>
        </w:rPr>
      </w:pPr>
    </w:p>
    <w:p w14:paraId="59A57CA2" w14:textId="77777777" w:rsidR="0017403A" w:rsidRPr="0078134C" w:rsidRDefault="0017403A" w:rsidP="0017403A">
      <w:pPr>
        <w:rPr>
          <w:rFonts w:ascii="Times New Roman" w:hAnsi="Times New Roman" w:cs="Times New Roman"/>
        </w:rPr>
      </w:pPr>
    </w:p>
    <w:p w14:paraId="2D4BD804" w14:textId="77777777" w:rsidR="0017403A" w:rsidRPr="0078134C" w:rsidRDefault="0017403A" w:rsidP="0017403A">
      <w:pPr>
        <w:rPr>
          <w:rFonts w:ascii="Times New Roman" w:hAnsi="Times New Roman" w:cs="Times New Roman"/>
        </w:rPr>
      </w:pPr>
    </w:p>
    <w:p w14:paraId="310C9327" w14:textId="77777777" w:rsidR="0017403A" w:rsidRPr="0078134C" w:rsidRDefault="0017403A" w:rsidP="0017403A">
      <w:pPr>
        <w:rPr>
          <w:rFonts w:ascii="Times New Roman" w:hAnsi="Times New Roman" w:cs="Times New Roman"/>
        </w:rPr>
      </w:pPr>
    </w:p>
    <w:p w14:paraId="23D3EBA1" w14:textId="77777777" w:rsidR="0017403A" w:rsidRPr="0078134C" w:rsidRDefault="0017403A" w:rsidP="0017403A">
      <w:pPr>
        <w:rPr>
          <w:rFonts w:ascii="Times New Roman" w:hAnsi="Times New Roman" w:cs="Times New Roman"/>
        </w:rPr>
      </w:pPr>
    </w:p>
    <w:p w14:paraId="4A5CA66C" w14:textId="77777777" w:rsidR="0017403A" w:rsidRPr="0078134C" w:rsidRDefault="0017403A" w:rsidP="0017403A">
      <w:pPr>
        <w:rPr>
          <w:rFonts w:ascii="Times New Roman" w:hAnsi="Times New Roman" w:cs="Times New Roman"/>
        </w:rPr>
      </w:pPr>
    </w:p>
    <w:p w14:paraId="0F8AE8F9" w14:textId="77777777" w:rsidR="0017403A" w:rsidRPr="0078134C" w:rsidRDefault="0017403A" w:rsidP="0017403A">
      <w:pPr>
        <w:rPr>
          <w:rFonts w:ascii="Times New Roman" w:hAnsi="Times New Roman" w:cs="Times New Roman"/>
        </w:rPr>
      </w:pPr>
    </w:p>
    <w:p w14:paraId="7F1E428A" w14:textId="77777777" w:rsidR="0017403A" w:rsidRPr="0078134C" w:rsidRDefault="0017403A" w:rsidP="0017403A">
      <w:pPr>
        <w:rPr>
          <w:rFonts w:ascii="Times New Roman" w:hAnsi="Times New Roman" w:cs="Times New Roman"/>
        </w:rPr>
      </w:pPr>
    </w:p>
    <w:p w14:paraId="5CF7C1BE" w14:textId="77777777" w:rsidR="0017403A" w:rsidRPr="0078134C" w:rsidRDefault="0017403A" w:rsidP="0017403A">
      <w:pPr>
        <w:rPr>
          <w:rFonts w:ascii="Times New Roman" w:hAnsi="Times New Roman" w:cs="Times New Roman"/>
        </w:rPr>
      </w:pPr>
    </w:p>
    <w:p w14:paraId="067A6916" w14:textId="77777777" w:rsidR="0017403A" w:rsidRPr="0078134C" w:rsidRDefault="0017403A" w:rsidP="0017403A">
      <w:pPr>
        <w:rPr>
          <w:rFonts w:ascii="Times New Roman" w:hAnsi="Times New Roman" w:cs="Times New Roman"/>
        </w:rPr>
      </w:pPr>
    </w:p>
    <w:p w14:paraId="12EF3595" w14:textId="77777777" w:rsidR="001F0FAE" w:rsidRPr="0078134C" w:rsidRDefault="001F0FAE" w:rsidP="0017403A">
      <w:pPr>
        <w:rPr>
          <w:rFonts w:ascii="Times New Roman" w:hAnsi="Times New Roman" w:cs="Times New Roman"/>
        </w:rPr>
      </w:pPr>
    </w:p>
    <w:p w14:paraId="2B3B469B" w14:textId="77777777" w:rsidR="001F0FAE" w:rsidRPr="0078134C" w:rsidRDefault="001F0FAE" w:rsidP="0017403A">
      <w:pPr>
        <w:rPr>
          <w:rFonts w:ascii="Times New Roman" w:hAnsi="Times New Roman" w:cs="Times New Roman"/>
        </w:rPr>
      </w:pPr>
    </w:p>
    <w:p w14:paraId="3D44612C" w14:textId="77777777" w:rsidR="001F0FAE" w:rsidRPr="0078134C" w:rsidRDefault="001F0FAE" w:rsidP="0017403A">
      <w:pPr>
        <w:rPr>
          <w:rFonts w:ascii="Times New Roman" w:hAnsi="Times New Roman" w:cs="Times New Roman"/>
        </w:rPr>
      </w:pPr>
    </w:p>
    <w:p w14:paraId="0B07A089" w14:textId="77777777" w:rsidR="0017403A" w:rsidRPr="0078134C" w:rsidRDefault="0017403A" w:rsidP="0017403A">
      <w:pPr>
        <w:rPr>
          <w:rFonts w:ascii="Times New Roman" w:hAnsi="Times New Roman" w:cs="Times New Roman"/>
        </w:rPr>
      </w:pPr>
    </w:p>
    <w:p w14:paraId="12BBFE92" w14:textId="77777777" w:rsidR="0017403A" w:rsidRDefault="0017403A" w:rsidP="0017403A">
      <w:pPr>
        <w:rPr>
          <w:rFonts w:ascii="Times New Roman" w:hAnsi="Times New Roman" w:cs="Times New Roman"/>
        </w:rPr>
      </w:pPr>
    </w:p>
    <w:p w14:paraId="04B5123D" w14:textId="77777777" w:rsidR="00E65891" w:rsidRPr="0078134C" w:rsidRDefault="00E65891" w:rsidP="0017403A">
      <w:pPr>
        <w:rPr>
          <w:rFonts w:ascii="Times New Roman" w:hAnsi="Times New Roman" w:cs="Times New Roman"/>
        </w:rPr>
      </w:pPr>
    </w:p>
    <w:p w14:paraId="3528DDF5" w14:textId="6427FFE8" w:rsidR="006277CE" w:rsidRPr="0078134C" w:rsidRDefault="00703565" w:rsidP="00D470D9">
      <w:pPr>
        <w:pStyle w:val="Heading1"/>
        <w:jc w:val="both"/>
        <w:rPr>
          <w:rFonts w:ascii="Times New Roman" w:hAnsi="Times New Roman" w:cs="Times New Roman"/>
        </w:rPr>
      </w:pPr>
      <w:bookmarkStart w:id="0" w:name="_Toc234122895"/>
      <w:r w:rsidRPr="0078134C">
        <w:rPr>
          <w:rFonts w:ascii="Times New Roman" w:hAnsi="Times New Roman" w:cs="Times New Roman"/>
        </w:rPr>
        <w:lastRenderedPageBreak/>
        <w:t xml:space="preserve">Research </w:t>
      </w:r>
      <w:r w:rsidR="006277CE" w:rsidRPr="0078134C">
        <w:rPr>
          <w:rFonts w:ascii="Times New Roman" w:hAnsi="Times New Roman" w:cs="Times New Roman"/>
        </w:rPr>
        <w:t>Hypothesis</w:t>
      </w:r>
      <w:r w:rsidR="006E3E90" w:rsidRPr="0078134C">
        <w:rPr>
          <w:rFonts w:ascii="Times New Roman" w:hAnsi="Times New Roman" w:cs="Times New Roman"/>
        </w:rPr>
        <w:t>:</w:t>
      </w:r>
      <w:bookmarkEnd w:id="0"/>
    </w:p>
    <w:p w14:paraId="2B735563" w14:textId="3D245049" w:rsidR="006277CE" w:rsidRPr="0078134C" w:rsidRDefault="006277CE" w:rsidP="00E210C5">
      <w:pPr>
        <w:rPr>
          <w:rFonts w:ascii="Times New Roman" w:eastAsiaTheme="majorEastAsia" w:hAnsi="Times New Roman" w:cs="Times New Roman"/>
          <w:color w:val="2F5496" w:themeColor="accent1" w:themeShade="BF"/>
          <w:sz w:val="40"/>
          <w:szCs w:val="40"/>
        </w:rPr>
      </w:pPr>
      <w:r w:rsidRPr="0078134C">
        <w:rPr>
          <w:rFonts w:ascii="Times New Roman" w:hAnsi="Times New Roman" w:cs="Times New Roman"/>
        </w:rPr>
        <w:t>Based on prior literature, this study hypothesises that Islamic banks face higher structural operating costs due to Shariah governance and compliance requirements, and that these additional costs contribute to lower depositor returns compared with comparable conventional banks.</w:t>
      </w:r>
    </w:p>
    <w:p w14:paraId="6F9E102D" w14:textId="5BA6DCD9" w:rsidR="00703565" w:rsidRPr="0078134C" w:rsidRDefault="00703565" w:rsidP="00D470D9">
      <w:pPr>
        <w:pStyle w:val="Heading1"/>
        <w:jc w:val="both"/>
        <w:rPr>
          <w:rFonts w:ascii="Times New Roman" w:hAnsi="Times New Roman" w:cs="Times New Roman"/>
        </w:rPr>
      </w:pPr>
      <w:bookmarkStart w:id="1" w:name="_Toc234122896"/>
      <w:r w:rsidRPr="0078134C">
        <w:rPr>
          <w:rFonts w:ascii="Times New Roman" w:hAnsi="Times New Roman" w:cs="Times New Roman"/>
        </w:rPr>
        <w:t>Objectives:</w:t>
      </w:r>
      <w:bookmarkEnd w:id="1"/>
    </w:p>
    <w:p w14:paraId="1DDF8C88" w14:textId="0663F6CE" w:rsidR="00703565" w:rsidRPr="0078134C" w:rsidRDefault="00703565" w:rsidP="00D470D9">
      <w:pPr>
        <w:pStyle w:val="ListParagraph"/>
        <w:numPr>
          <w:ilvl w:val="0"/>
          <w:numId w:val="1"/>
        </w:numPr>
        <w:jc w:val="both"/>
        <w:rPr>
          <w:rFonts w:ascii="Times New Roman" w:hAnsi="Times New Roman" w:cs="Times New Roman"/>
        </w:rPr>
      </w:pPr>
      <w:r w:rsidRPr="0078134C">
        <w:rPr>
          <w:rFonts w:ascii="Times New Roman" w:hAnsi="Times New Roman" w:cs="Times New Roman"/>
        </w:rPr>
        <w:t xml:space="preserve">Make a comparison between the cost-to-income ratio and the operating expense ratios of the three Islamic banks and </w:t>
      </w:r>
      <w:r w:rsidR="00F51D0D" w:rsidRPr="0078134C">
        <w:rPr>
          <w:rFonts w:ascii="Times New Roman" w:hAnsi="Times New Roman" w:cs="Times New Roman"/>
        </w:rPr>
        <w:t xml:space="preserve">three </w:t>
      </w:r>
      <w:r w:rsidRPr="0078134C">
        <w:rPr>
          <w:rFonts w:ascii="Times New Roman" w:hAnsi="Times New Roman" w:cs="Times New Roman"/>
        </w:rPr>
        <w:t>conventional banks during 2019-2024.</w:t>
      </w:r>
    </w:p>
    <w:p w14:paraId="515F6788" w14:textId="77777777" w:rsidR="00703565" w:rsidRPr="0078134C" w:rsidRDefault="00703565" w:rsidP="00D470D9">
      <w:pPr>
        <w:pStyle w:val="ListParagraph"/>
        <w:numPr>
          <w:ilvl w:val="0"/>
          <w:numId w:val="1"/>
        </w:numPr>
        <w:jc w:val="both"/>
        <w:rPr>
          <w:rFonts w:ascii="Times New Roman" w:hAnsi="Times New Roman" w:cs="Times New Roman"/>
        </w:rPr>
      </w:pPr>
      <w:r w:rsidRPr="0078134C">
        <w:rPr>
          <w:rFonts w:ascii="Times New Roman" w:hAnsi="Times New Roman" w:cs="Times New Roman"/>
        </w:rPr>
        <w:t>Determine if the difference in Operating Cost Ratios and Depositor returns between the two groups is statistically significant, and if not simply an average difference by eye.</w:t>
      </w:r>
    </w:p>
    <w:p w14:paraId="5413B6E1" w14:textId="77777777" w:rsidR="00703565" w:rsidRPr="0078134C" w:rsidRDefault="00703565" w:rsidP="00D470D9">
      <w:pPr>
        <w:pStyle w:val="ListParagraph"/>
        <w:numPr>
          <w:ilvl w:val="0"/>
          <w:numId w:val="1"/>
        </w:numPr>
        <w:jc w:val="both"/>
        <w:rPr>
          <w:rFonts w:ascii="Times New Roman" w:hAnsi="Times New Roman" w:cs="Times New Roman"/>
        </w:rPr>
      </w:pPr>
      <w:r w:rsidRPr="0078134C">
        <w:rPr>
          <w:rFonts w:ascii="Times New Roman" w:hAnsi="Times New Roman" w:cs="Times New Roman"/>
        </w:rPr>
        <w:t>Do document, Shariah compliance and dual-window overheads result in a real cost-disadvantage for depositors?</w:t>
      </w:r>
    </w:p>
    <w:p w14:paraId="135BB3DA" w14:textId="2511AE3C" w:rsidR="00703565" w:rsidRPr="0078134C" w:rsidRDefault="006E3E90" w:rsidP="00D470D9">
      <w:pPr>
        <w:pStyle w:val="Heading1"/>
        <w:jc w:val="both"/>
        <w:rPr>
          <w:rFonts w:ascii="Times New Roman" w:hAnsi="Times New Roman" w:cs="Times New Roman"/>
        </w:rPr>
      </w:pPr>
      <w:bookmarkStart w:id="2" w:name="_Toc234122897"/>
      <w:r w:rsidRPr="0078134C">
        <w:rPr>
          <w:rFonts w:ascii="Times New Roman" w:hAnsi="Times New Roman" w:cs="Times New Roman"/>
        </w:rPr>
        <w:t>Scope:</w:t>
      </w:r>
      <w:bookmarkEnd w:id="2"/>
    </w:p>
    <w:p w14:paraId="400F6B11" w14:textId="1F82192D" w:rsidR="00703565" w:rsidRPr="0078134C" w:rsidRDefault="00703565" w:rsidP="00D470D9">
      <w:pPr>
        <w:jc w:val="both"/>
        <w:rPr>
          <w:rFonts w:ascii="Times New Roman" w:hAnsi="Times New Roman" w:cs="Times New Roman"/>
        </w:rPr>
      </w:pPr>
      <w:r w:rsidRPr="0078134C">
        <w:rPr>
          <w:rFonts w:ascii="Times New Roman" w:hAnsi="Times New Roman" w:cs="Times New Roman"/>
        </w:rPr>
        <w:t xml:space="preserve">The scope is six banks in Pakistan, Meezan Bank, BankIslami Pakistan and </w:t>
      </w:r>
      <w:r w:rsidR="00942A73" w:rsidRPr="0078134C">
        <w:rPr>
          <w:rFonts w:ascii="Times New Roman" w:hAnsi="Times New Roman" w:cs="Times New Roman"/>
        </w:rPr>
        <w:t>Dubai Islamic</w:t>
      </w:r>
      <w:r w:rsidRPr="0078134C">
        <w:rPr>
          <w:rFonts w:ascii="Times New Roman" w:hAnsi="Times New Roman" w:cs="Times New Roman"/>
        </w:rPr>
        <w:t xml:space="preserve"> Bank Pakistan (Islamic) versus </w:t>
      </w:r>
      <w:r w:rsidR="00942A73" w:rsidRPr="0078134C">
        <w:rPr>
          <w:rFonts w:ascii="Times New Roman" w:hAnsi="Times New Roman" w:cs="Times New Roman"/>
        </w:rPr>
        <w:t>JS</w:t>
      </w:r>
      <w:r w:rsidRPr="0078134C">
        <w:rPr>
          <w:rFonts w:ascii="Times New Roman" w:hAnsi="Times New Roman" w:cs="Times New Roman"/>
        </w:rPr>
        <w:t xml:space="preserve">, Askari Bank, and </w:t>
      </w:r>
      <w:r w:rsidR="00942A73" w:rsidRPr="0078134C">
        <w:rPr>
          <w:rFonts w:ascii="Times New Roman" w:hAnsi="Times New Roman" w:cs="Times New Roman"/>
        </w:rPr>
        <w:t>HBL</w:t>
      </w:r>
      <w:r w:rsidRPr="0078134C">
        <w:rPr>
          <w:rFonts w:ascii="Times New Roman" w:hAnsi="Times New Roman" w:cs="Times New Roman"/>
        </w:rPr>
        <w:t xml:space="preserve"> (conventional) over the five years 2019-2024.</w:t>
      </w:r>
    </w:p>
    <w:p w14:paraId="42CB8ADD" w14:textId="45003183" w:rsidR="00796868" w:rsidRPr="0078134C" w:rsidRDefault="00796868" w:rsidP="00D470D9">
      <w:pPr>
        <w:pStyle w:val="Heading1"/>
        <w:jc w:val="both"/>
        <w:rPr>
          <w:rFonts w:ascii="Times New Roman" w:hAnsi="Times New Roman" w:cs="Times New Roman"/>
        </w:rPr>
      </w:pPr>
      <w:bookmarkStart w:id="3" w:name="_Toc234122898"/>
      <w:r w:rsidRPr="0078134C">
        <w:rPr>
          <w:rFonts w:ascii="Times New Roman" w:hAnsi="Times New Roman" w:cs="Times New Roman"/>
        </w:rPr>
        <w:t>Literature Review:</w:t>
      </w:r>
      <w:bookmarkEnd w:id="3"/>
    </w:p>
    <w:p w14:paraId="4D045594" w14:textId="0DEFE750" w:rsidR="00796868" w:rsidRPr="0078134C" w:rsidRDefault="00DA527F" w:rsidP="00D470D9">
      <w:pPr>
        <w:pStyle w:val="Heading2"/>
        <w:jc w:val="both"/>
        <w:rPr>
          <w:rFonts w:ascii="Times New Roman" w:hAnsi="Times New Roman" w:cs="Times New Roman"/>
        </w:rPr>
      </w:pPr>
      <w:bookmarkStart w:id="4" w:name="_Toc234122899"/>
      <w:r w:rsidRPr="0078134C">
        <w:rPr>
          <w:rFonts w:ascii="Times New Roman" w:hAnsi="Times New Roman" w:cs="Times New Roman"/>
        </w:rPr>
        <w:t>A</w:t>
      </w:r>
      <w:r w:rsidR="00796868" w:rsidRPr="0078134C">
        <w:rPr>
          <w:rFonts w:ascii="Times New Roman" w:hAnsi="Times New Roman" w:cs="Times New Roman"/>
        </w:rPr>
        <w:t xml:space="preserve"> comparison of I</w:t>
      </w:r>
      <w:r w:rsidR="007241E5" w:rsidRPr="0078134C">
        <w:rPr>
          <w:rFonts w:ascii="Times New Roman" w:hAnsi="Times New Roman" w:cs="Times New Roman"/>
        </w:rPr>
        <w:t>slamic</w:t>
      </w:r>
      <w:r w:rsidR="00796868" w:rsidRPr="0078134C">
        <w:rPr>
          <w:rFonts w:ascii="Times New Roman" w:hAnsi="Times New Roman" w:cs="Times New Roman"/>
        </w:rPr>
        <w:t xml:space="preserve"> banks and Conventional banks </w:t>
      </w:r>
      <w:r w:rsidR="006451BA" w:rsidRPr="0078134C">
        <w:rPr>
          <w:rFonts w:ascii="Times New Roman" w:hAnsi="Times New Roman" w:cs="Times New Roman"/>
        </w:rPr>
        <w:t>based on</w:t>
      </w:r>
      <w:r w:rsidR="00796868" w:rsidRPr="0078134C">
        <w:rPr>
          <w:rFonts w:ascii="Times New Roman" w:hAnsi="Times New Roman" w:cs="Times New Roman"/>
        </w:rPr>
        <w:t xml:space="preserve"> cost efficiency</w:t>
      </w:r>
      <w:bookmarkEnd w:id="4"/>
    </w:p>
    <w:p w14:paraId="3A53E682" w14:textId="6F068132" w:rsidR="00796868" w:rsidRPr="0078134C" w:rsidRDefault="00796868" w:rsidP="00D470D9">
      <w:pPr>
        <w:jc w:val="both"/>
        <w:rPr>
          <w:rFonts w:ascii="Times New Roman" w:hAnsi="Times New Roman" w:cs="Times New Roman"/>
        </w:rPr>
      </w:pPr>
      <w:r w:rsidRPr="0078134C">
        <w:rPr>
          <w:rFonts w:ascii="Times New Roman" w:hAnsi="Times New Roman" w:cs="Times New Roman"/>
        </w:rPr>
        <w:t>The examples that can be found in Pakistan literature on cost efficiency are more homogenous as it might seem at the first sight but is sampling from a small window. The researchers, Qureshi and Shaikh (2012), found this conventional institution to be the most cost effective throughout the period 2003-2008, as compared to its Islamic counterpart, which they indicated was due directly to the mantle of a Shariah board and increased legal complexity of Islamic contracts. At broader-level economic setting Khan and Shah (2015), conducted the DEA, using five Islamic and conventional banks for each of the three categories in the period 2007-2011 and concluded that the overall total factor productivity growth of Islamic banks was highest, but their cost efficiency was about 35% less than Islamic banks, a significant gap. Majeed and Zanib (2016) further compared these results to those for 2007-2014 and reiterated that Islamic banks were in technical inefficiency position compared to conventional banks, while declaring that conventional bank's (full-fledged) Islamic branches were highly scale efficient. Combined, the three studies suggest that indeed there is a cost disadvantage for Islamic banks in Pakistan; each was small and dated (a max of five banks in each, ending in 2014) with none asking the downstream question of whether this cost gap is being absorbed by the bank or passed on to its depositors in the form of lower returns. This project starts by answering that question.</w:t>
      </w:r>
    </w:p>
    <w:p w14:paraId="3FBED79A" w14:textId="51003A6C" w:rsidR="00796868" w:rsidRPr="0078134C" w:rsidRDefault="00796868" w:rsidP="00D470D9">
      <w:pPr>
        <w:jc w:val="both"/>
        <w:rPr>
          <w:rFonts w:ascii="Times New Roman" w:hAnsi="Times New Roman" w:cs="Times New Roman"/>
        </w:rPr>
      </w:pPr>
      <w:bookmarkStart w:id="5" w:name="_Toc234122900"/>
      <w:r w:rsidRPr="0078134C">
        <w:rPr>
          <w:rStyle w:val="Heading2Char"/>
          <w:rFonts w:ascii="Times New Roman" w:hAnsi="Times New Roman" w:cs="Times New Roman"/>
        </w:rPr>
        <w:t>Cross country and global efficiency studies</w:t>
      </w:r>
      <w:bookmarkEnd w:id="5"/>
      <w:r w:rsidRPr="0078134C">
        <w:rPr>
          <w:rFonts w:ascii="Times New Roman" w:hAnsi="Times New Roman" w:cs="Times New Roman"/>
        </w:rPr>
        <w:t xml:space="preserve"> </w:t>
      </w:r>
    </w:p>
    <w:p w14:paraId="176208A3" w14:textId="3020EA5E" w:rsidR="00796868" w:rsidRPr="0078134C" w:rsidRDefault="00796868" w:rsidP="00D470D9">
      <w:pPr>
        <w:jc w:val="both"/>
        <w:rPr>
          <w:rFonts w:ascii="Times New Roman" w:hAnsi="Times New Roman" w:cs="Times New Roman"/>
        </w:rPr>
      </w:pPr>
      <w:r w:rsidRPr="0078134C">
        <w:rPr>
          <w:rFonts w:ascii="Times New Roman" w:hAnsi="Times New Roman" w:cs="Times New Roman"/>
        </w:rPr>
        <w:t xml:space="preserve">A second body of literature muddies the waters and concludes that there is no reduction in cost. While dividing banks into four categories of size, age and region, their cross-country study of 1,807 banks in 21 OIC countries revealed that there was no statistically significant difference between the cost efficiency, the revenue efficiency and profit efficiency of Islamic and conventional banks. Albeit without a comparator of any kind, Hassan's global study of 43 Islamic banks across 21 nations reported that Islamic banks were relatively more efficient at profiting than in controlling costs (84% compared </w:t>
      </w:r>
      <w:r w:rsidRPr="0078134C">
        <w:rPr>
          <w:rFonts w:ascii="Times New Roman" w:hAnsi="Times New Roman" w:cs="Times New Roman"/>
        </w:rPr>
        <w:lastRenderedPageBreak/>
        <w:t>to 74%) and that management failures to control costs were not a particularly significant factor, being more often of an allocative or regulatory nature. The above exclusion of Pakistan-specific evidence indicates considerable tension between the global evidence and the Pakistan specific, which could be interpreted as a possible cost driver particular to Pakistan with the SBP having a separate department for Islamic banking, the requirements for Islamic banking under the Shariah legislations, and the documentation requirements. This is a direct reason why the present study is limited to the Pakistani context without generalizing based on samples from various countries.</w:t>
      </w:r>
    </w:p>
    <w:p w14:paraId="26F218F4" w14:textId="77777777" w:rsidR="00796868" w:rsidRPr="0078134C" w:rsidRDefault="00796868" w:rsidP="00D470D9">
      <w:pPr>
        <w:pStyle w:val="Heading2"/>
        <w:jc w:val="both"/>
        <w:rPr>
          <w:rFonts w:ascii="Times New Roman" w:hAnsi="Times New Roman" w:cs="Times New Roman"/>
        </w:rPr>
      </w:pPr>
      <w:bookmarkStart w:id="6" w:name="_Toc234122901"/>
      <w:r w:rsidRPr="0078134C">
        <w:rPr>
          <w:rFonts w:ascii="Times New Roman" w:hAnsi="Times New Roman" w:cs="Times New Roman"/>
        </w:rPr>
        <w:t>Profitability determinants</w:t>
      </w:r>
      <w:bookmarkEnd w:id="6"/>
    </w:p>
    <w:p w14:paraId="30B403E9" w14:textId="001743C1" w:rsidR="00796868" w:rsidRPr="0078134C" w:rsidRDefault="00796868" w:rsidP="00D470D9">
      <w:pPr>
        <w:jc w:val="both"/>
        <w:rPr>
          <w:rFonts w:ascii="Times New Roman" w:hAnsi="Times New Roman" w:cs="Times New Roman"/>
        </w:rPr>
      </w:pPr>
      <w:r w:rsidRPr="0078134C">
        <w:rPr>
          <w:rFonts w:ascii="Times New Roman" w:hAnsi="Times New Roman" w:cs="Times New Roman"/>
        </w:rPr>
        <w:t>The usefulness of the Akhtar, Ali &amp; Sadaqat's profitability study on Islamic banks in Pakistan, 2006-2009 is being found in offering an internal mechanism, that is a Bank's operating efficiency ratio has a significant negative relationship with its ROA and ROE, which implies that as the operating cost of a Bank increases with assets, its profitability decreases sharply. This establishes that cost is a significant factor in Islamic bank performance at least in the Pakistan context, but the paper never introduces a conventional comparator measure and so does not draw conclusions on the extent to which Islamic banks have an inherent cost disadvantage relative to other conventionally sized banks; it only shows that when it is high, it hurts Islamic bank profitability. This paper poses a comparative question that is inherently answered by this project's size-matched, two-group design.</w:t>
      </w:r>
    </w:p>
    <w:p w14:paraId="0506CF20" w14:textId="77777777" w:rsidR="00796868" w:rsidRPr="0078134C" w:rsidRDefault="00796868" w:rsidP="00D470D9">
      <w:pPr>
        <w:pStyle w:val="Heading2"/>
        <w:jc w:val="both"/>
        <w:rPr>
          <w:rFonts w:ascii="Times New Roman" w:hAnsi="Times New Roman" w:cs="Times New Roman"/>
        </w:rPr>
      </w:pPr>
      <w:bookmarkStart w:id="7" w:name="_Toc234122902"/>
      <w:r w:rsidRPr="0078134C">
        <w:rPr>
          <w:rFonts w:ascii="Times New Roman" w:hAnsi="Times New Roman" w:cs="Times New Roman"/>
        </w:rPr>
        <w:t>Liquidity and Overall performance comparisons</w:t>
      </w:r>
      <w:bookmarkEnd w:id="7"/>
    </w:p>
    <w:p w14:paraId="3E6B7AD4" w14:textId="6043CB4C" w:rsidR="00796868" w:rsidRPr="0078134C" w:rsidRDefault="00796868" w:rsidP="00D470D9">
      <w:pPr>
        <w:jc w:val="both"/>
        <w:rPr>
          <w:rFonts w:ascii="Times New Roman" w:hAnsi="Times New Roman" w:cs="Times New Roman"/>
        </w:rPr>
      </w:pPr>
      <w:r w:rsidRPr="0078134C">
        <w:rPr>
          <w:rFonts w:ascii="Times New Roman" w:hAnsi="Times New Roman" w:cs="Times New Roman"/>
        </w:rPr>
        <w:t>The two studies showing direct comparison with the span of time this project proposed are in opposition. Conventional banks were believed to be stronger on profitability and liquidity management than Islamic banks over the past three years as evidenced by their study on liquidity risk by Akhtar, Ali and Sadaqat (2006-2009). Ten years later (2007-2014), when participating conventional and Islamic banks came to a comparison on their profitability, efficiency, risk and liquidity management, things turned out quite the opposite, -- Islamic banks were superior on all sides except on asset quality, which Islamic banks did not fare strongly, in the financial crisis sub-sample. The authors point to this finding as a leap against previous Pakistan-based studies, which is also revealing in itself -- since it demonstrates that the relative status of the Islamic and conventional banks in Pakistan is not an established empirical truth but a fluid one – dependent on the sample period as well as the type of bank chosen and perhaps even the development of the Islamic banking industry per se. The existing literature is limited by the absence of a new test following only available data up to 2014, the time in which the field's own results revoke in the time periods. Then a new test using the 2019-2024 data (the time of more mature Islamic banking sector and a full post-pandemic period as well as the specific 6 banks from this project scope) which compensates the limited available data is not just missing, but also actively contested.</w:t>
      </w:r>
    </w:p>
    <w:p w14:paraId="16E2114F" w14:textId="77777777" w:rsidR="006451BA" w:rsidRPr="0078134C" w:rsidRDefault="006451BA" w:rsidP="00D470D9">
      <w:pPr>
        <w:jc w:val="both"/>
        <w:rPr>
          <w:rFonts w:ascii="Times New Roman" w:hAnsi="Times New Roman" w:cs="Times New Roman"/>
        </w:rPr>
      </w:pPr>
    </w:p>
    <w:p w14:paraId="28827D1C" w14:textId="60E98488" w:rsidR="006451BA" w:rsidRPr="0078134C" w:rsidRDefault="006451BA" w:rsidP="00D470D9">
      <w:pPr>
        <w:pStyle w:val="Heading1"/>
        <w:jc w:val="both"/>
        <w:rPr>
          <w:rFonts w:ascii="Times New Roman" w:hAnsi="Times New Roman" w:cs="Times New Roman"/>
        </w:rPr>
      </w:pPr>
      <w:bookmarkStart w:id="8" w:name="_Toc234122903"/>
      <w:r w:rsidRPr="0078134C">
        <w:rPr>
          <w:rFonts w:ascii="Times New Roman" w:hAnsi="Times New Roman" w:cs="Times New Roman"/>
        </w:rPr>
        <w:t>Research Methodology:</w:t>
      </w:r>
      <w:bookmarkEnd w:id="8"/>
    </w:p>
    <w:p w14:paraId="25648A04" w14:textId="6B1F7E15" w:rsidR="006451BA" w:rsidRPr="0078134C" w:rsidRDefault="006451BA" w:rsidP="004A24AE">
      <w:pPr>
        <w:pStyle w:val="Heading2"/>
        <w:rPr>
          <w:rFonts w:ascii="Times New Roman" w:hAnsi="Times New Roman" w:cs="Times New Roman"/>
        </w:rPr>
      </w:pPr>
      <w:bookmarkStart w:id="9" w:name="_Toc234122904"/>
      <w:r w:rsidRPr="0078134C">
        <w:rPr>
          <w:rFonts w:ascii="Times New Roman" w:hAnsi="Times New Roman" w:cs="Times New Roman"/>
        </w:rPr>
        <w:t>Research Design</w:t>
      </w:r>
      <w:bookmarkEnd w:id="9"/>
    </w:p>
    <w:p w14:paraId="78CB3C54" w14:textId="3800DB34" w:rsidR="006451BA" w:rsidRPr="0078134C" w:rsidRDefault="006451BA" w:rsidP="00D470D9">
      <w:pPr>
        <w:jc w:val="both"/>
        <w:rPr>
          <w:rFonts w:ascii="Times New Roman" w:hAnsi="Times New Roman" w:cs="Times New Roman"/>
        </w:rPr>
      </w:pPr>
      <w:r w:rsidRPr="0078134C">
        <w:rPr>
          <w:rFonts w:ascii="Times New Roman" w:hAnsi="Times New Roman" w:cs="Times New Roman"/>
        </w:rPr>
        <w:t>In relation to the aims of the present study, I decided to use a quantitative and exploratory comparative research design to see if Islamic banks have higher structural and operating costs than the conventional banks and if there are differences between the two in returns to the depositors and whether there is any relationship between these differences and the costs of banks. The analysis is made exclusively based on public data available in the annual reports, which make the study transparent, replicable and reliable, based on the verifiable data of the annual reports.</w:t>
      </w:r>
    </w:p>
    <w:p w14:paraId="27D66E42"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lastRenderedPageBreak/>
        <w:t>This investigation will be in two parts. The descriptive part of this study compares some important ratios of the financial performances of Islamic and conventional banks to each other in the first stage. The second step uses regression analysis to explore whether operating costs, liquidity holdings, profitability, and a variety of financial attributes assist in elucidating any variation in deposit returns.</w:t>
      </w:r>
    </w:p>
    <w:p w14:paraId="5B20CE05" w14:textId="77777777" w:rsidR="006451BA" w:rsidRPr="0078134C" w:rsidRDefault="006451BA" w:rsidP="00D470D9">
      <w:pPr>
        <w:jc w:val="both"/>
        <w:rPr>
          <w:rFonts w:ascii="Times New Roman" w:hAnsi="Times New Roman" w:cs="Times New Roman"/>
        </w:rPr>
      </w:pPr>
    </w:p>
    <w:p w14:paraId="148C702F" w14:textId="1589A26C" w:rsidR="006451BA" w:rsidRPr="0078134C" w:rsidRDefault="006451BA" w:rsidP="004A24AE">
      <w:pPr>
        <w:pStyle w:val="Heading2"/>
        <w:rPr>
          <w:rFonts w:ascii="Times New Roman" w:hAnsi="Times New Roman" w:cs="Times New Roman"/>
        </w:rPr>
      </w:pPr>
      <w:bookmarkStart w:id="10" w:name="_Toc234122905"/>
      <w:r w:rsidRPr="0078134C">
        <w:rPr>
          <w:rFonts w:ascii="Times New Roman" w:hAnsi="Times New Roman" w:cs="Times New Roman"/>
        </w:rPr>
        <w:t>Sample Selection</w:t>
      </w:r>
      <w:bookmarkEnd w:id="10"/>
    </w:p>
    <w:p w14:paraId="1D49A4EA"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t>The sample sizes include 6 commercial banks, half of which are Islamic and half conventional bank.</w:t>
      </w:r>
    </w:p>
    <w:p w14:paraId="7F3CCE29" w14:textId="2D1BD8B4" w:rsidR="006451BA" w:rsidRPr="0078134C" w:rsidRDefault="006451BA" w:rsidP="00D470D9">
      <w:pPr>
        <w:jc w:val="both"/>
        <w:rPr>
          <w:rFonts w:ascii="Times New Roman" w:hAnsi="Times New Roman" w:cs="Times New Roman"/>
          <w:b/>
          <w:bCs/>
        </w:rPr>
      </w:pPr>
      <w:r w:rsidRPr="0078134C">
        <w:rPr>
          <w:rFonts w:ascii="Times New Roman" w:hAnsi="Times New Roman" w:cs="Times New Roman"/>
          <w:b/>
          <w:bCs/>
        </w:rPr>
        <w:t>Islamic Banks</w:t>
      </w:r>
    </w:p>
    <w:p w14:paraId="5ABDED02" w14:textId="21CE1B71" w:rsidR="006451BA" w:rsidRPr="0078134C" w:rsidRDefault="006451BA" w:rsidP="00D470D9">
      <w:pPr>
        <w:pStyle w:val="ListParagraph"/>
        <w:numPr>
          <w:ilvl w:val="0"/>
          <w:numId w:val="2"/>
        </w:numPr>
        <w:jc w:val="both"/>
        <w:rPr>
          <w:rFonts w:ascii="Times New Roman" w:hAnsi="Times New Roman" w:cs="Times New Roman"/>
        </w:rPr>
      </w:pPr>
      <w:r w:rsidRPr="0078134C">
        <w:rPr>
          <w:rFonts w:ascii="Times New Roman" w:hAnsi="Times New Roman" w:cs="Times New Roman"/>
        </w:rPr>
        <w:t>Meezan Bank Limited</w:t>
      </w:r>
    </w:p>
    <w:p w14:paraId="433A5824" w14:textId="41FCC445" w:rsidR="006451BA" w:rsidRPr="0078134C" w:rsidRDefault="006451BA" w:rsidP="00D470D9">
      <w:pPr>
        <w:pStyle w:val="ListParagraph"/>
        <w:numPr>
          <w:ilvl w:val="0"/>
          <w:numId w:val="2"/>
        </w:numPr>
        <w:jc w:val="both"/>
        <w:rPr>
          <w:rFonts w:ascii="Times New Roman" w:hAnsi="Times New Roman" w:cs="Times New Roman"/>
        </w:rPr>
      </w:pPr>
      <w:r w:rsidRPr="0078134C">
        <w:rPr>
          <w:rFonts w:ascii="Times New Roman" w:hAnsi="Times New Roman" w:cs="Times New Roman"/>
        </w:rPr>
        <w:t>Bank</w:t>
      </w:r>
      <w:r w:rsidR="00B83494" w:rsidRPr="0078134C">
        <w:rPr>
          <w:rFonts w:ascii="Times New Roman" w:hAnsi="Times New Roman" w:cs="Times New Roman"/>
        </w:rPr>
        <w:t xml:space="preserve"> </w:t>
      </w:r>
      <w:r w:rsidRPr="0078134C">
        <w:rPr>
          <w:rFonts w:ascii="Times New Roman" w:hAnsi="Times New Roman" w:cs="Times New Roman"/>
        </w:rPr>
        <w:t>Islami Pakistan Limited</w:t>
      </w:r>
    </w:p>
    <w:p w14:paraId="6CCF1A2D" w14:textId="532B72D9" w:rsidR="00B83494" w:rsidRPr="0078134C" w:rsidRDefault="0004336B" w:rsidP="00D470D9">
      <w:pPr>
        <w:pStyle w:val="ListParagraph"/>
        <w:numPr>
          <w:ilvl w:val="0"/>
          <w:numId w:val="2"/>
        </w:numPr>
        <w:jc w:val="both"/>
        <w:rPr>
          <w:rFonts w:ascii="Times New Roman" w:hAnsi="Times New Roman" w:cs="Times New Roman"/>
        </w:rPr>
      </w:pPr>
      <w:r w:rsidRPr="0078134C">
        <w:rPr>
          <w:rFonts w:ascii="Times New Roman" w:hAnsi="Times New Roman" w:cs="Times New Roman"/>
        </w:rPr>
        <w:t>Dubai Islamic Bank</w:t>
      </w:r>
    </w:p>
    <w:p w14:paraId="124383F1" w14:textId="38B9B41D" w:rsidR="006451BA" w:rsidRPr="0078134C" w:rsidRDefault="006451BA" w:rsidP="00D470D9">
      <w:pPr>
        <w:jc w:val="both"/>
        <w:rPr>
          <w:rFonts w:ascii="Times New Roman" w:hAnsi="Times New Roman" w:cs="Times New Roman"/>
          <w:b/>
          <w:bCs/>
        </w:rPr>
      </w:pPr>
      <w:r w:rsidRPr="0078134C">
        <w:rPr>
          <w:rFonts w:ascii="Times New Roman" w:hAnsi="Times New Roman" w:cs="Times New Roman"/>
          <w:b/>
          <w:bCs/>
        </w:rPr>
        <w:t>Conventional Banks</w:t>
      </w:r>
    </w:p>
    <w:p w14:paraId="19B64DEB" w14:textId="77777777" w:rsidR="00D340D7" w:rsidRPr="0078134C" w:rsidRDefault="006451BA" w:rsidP="00D340D7">
      <w:pPr>
        <w:pStyle w:val="ListParagraph"/>
        <w:numPr>
          <w:ilvl w:val="0"/>
          <w:numId w:val="3"/>
        </w:numPr>
        <w:jc w:val="both"/>
        <w:rPr>
          <w:rFonts w:ascii="Times New Roman" w:hAnsi="Times New Roman" w:cs="Times New Roman"/>
        </w:rPr>
      </w:pPr>
      <w:r w:rsidRPr="0078134C">
        <w:rPr>
          <w:rFonts w:ascii="Times New Roman" w:hAnsi="Times New Roman" w:cs="Times New Roman"/>
        </w:rPr>
        <w:t>Askari Bank</w:t>
      </w:r>
    </w:p>
    <w:p w14:paraId="3ABE844E" w14:textId="79785DE0" w:rsidR="006451BA" w:rsidRPr="0078134C" w:rsidRDefault="006451BA" w:rsidP="00D340D7">
      <w:pPr>
        <w:pStyle w:val="ListParagraph"/>
        <w:numPr>
          <w:ilvl w:val="0"/>
          <w:numId w:val="3"/>
        </w:numPr>
        <w:jc w:val="both"/>
        <w:rPr>
          <w:rFonts w:ascii="Times New Roman" w:hAnsi="Times New Roman" w:cs="Times New Roman"/>
        </w:rPr>
      </w:pPr>
      <w:r w:rsidRPr="0078134C">
        <w:rPr>
          <w:rFonts w:ascii="Times New Roman" w:hAnsi="Times New Roman" w:cs="Times New Roman"/>
        </w:rPr>
        <w:t>JS</w:t>
      </w:r>
      <w:r w:rsidR="00DD039A" w:rsidRPr="0078134C">
        <w:rPr>
          <w:rFonts w:ascii="Times New Roman" w:hAnsi="Times New Roman" w:cs="Times New Roman"/>
        </w:rPr>
        <w:t xml:space="preserve"> Bank</w:t>
      </w:r>
    </w:p>
    <w:p w14:paraId="52D6C74C" w14:textId="29C969C4" w:rsidR="00D340D7" w:rsidRPr="0078134C" w:rsidRDefault="00D340D7" w:rsidP="00D340D7">
      <w:pPr>
        <w:pStyle w:val="ListParagraph"/>
        <w:numPr>
          <w:ilvl w:val="0"/>
          <w:numId w:val="3"/>
        </w:numPr>
        <w:jc w:val="both"/>
        <w:rPr>
          <w:rFonts w:ascii="Times New Roman" w:hAnsi="Times New Roman" w:cs="Times New Roman"/>
        </w:rPr>
      </w:pPr>
      <w:r w:rsidRPr="0078134C">
        <w:rPr>
          <w:rFonts w:ascii="Times New Roman" w:hAnsi="Times New Roman" w:cs="Times New Roman"/>
        </w:rPr>
        <w:t>Habib Bank Limited (HBL)</w:t>
      </w:r>
    </w:p>
    <w:p w14:paraId="39E67269"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t>The following criterion were used in selecting the banks:</w:t>
      </w:r>
    </w:p>
    <w:p w14:paraId="5A58E65F" w14:textId="773A29D6" w:rsidR="006451BA" w:rsidRPr="0078134C" w:rsidRDefault="006451BA" w:rsidP="00D470D9">
      <w:pPr>
        <w:pStyle w:val="ListParagraph"/>
        <w:numPr>
          <w:ilvl w:val="0"/>
          <w:numId w:val="4"/>
        </w:numPr>
        <w:jc w:val="both"/>
        <w:rPr>
          <w:rFonts w:ascii="Times New Roman" w:hAnsi="Times New Roman" w:cs="Times New Roman"/>
        </w:rPr>
      </w:pPr>
      <w:r w:rsidRPr="0078134C">
        <w:rPr>
          <w:rFonts w:ascii="Times New Roman" w:hAnsi="Times New Roman" w:cs="Times New Roman"/>
        </w:rPr>
        <w:t>All annual reports were available over the study period.</w:t>
      </w:r>
    </w:p>
    <w:p w14:paraId="1F8AAAA6" w14:textId="50168773" w:rsidR="006451BA" w:rsidRPr="0078134C" w:rsidRDefault="006451BA" w:rsidP="00D470D9">
      <w:pPr>
        <w:pStyle w:val="ListParagraph"/>
        <w:numPr>
          <w:ilvl w:val="0"/>
          <w:numId w:val="4"/>
        </w:numPr>
        <w:jc w:val="both"/>
        <w:rPr>
          <w:rFonts w:ascii="Times New Roman" w:hAnsi="Times New Roman" w:cs="Times New Roman"/>
        </w:rPr>
      </w:pPr>
      <w:r w:rsidRPr="0078134C">
        <w:rPr>
          <w:rFonts w:ascii="Times New Roman" w:hAnsi="Times New Roman" w:cs="Times New Roman"/>
        </w:rPr>
        <w:t>Having significant market share in Pakistan's banking sector.</w:t>
      </w:r>
    </w:p>
    <w:p w14:paraId="25C15781" w14:textId="77777777" w:rsidR="006451BA" w:rsidRPr="0078134C" w:rsidRDefault="006451BA" w:rsidP="00D470D9">
      <w:pPr>
        <w:pStyle w:val="ListParagraph"/>
        <w:numPr>
          <w:ilvl w:val="0"/>
          <w:numId w:val="4"/>
        </w:numPr>
        <w:jc w:val="both"/>
        <w:rPr>
          <w:rFonts w:ascii="Times New Roman" w:hAnsi="Times New Roman" w:cs="Times New Roman"/>
        </w:rPr>
      </w:pPr>
      <w:r w:rsidRPr="0078134C">
        <w:rPr>
          <w:rFonts w:ascii="Times New Roman" w:hAnsi="Times New Roman" w:cs="Times New Roman"/>
        </w:rPr>
        <w:t>Business operations and financial reporting that are comparable.</w:t>
      </w:r>
    </w:p>
    <w:p w14:paraId="07811265" w14:textId="4CFE0667" w:rsidR="006451BA" w:rsidRPr="0078134C" w:rsidRDefault="006451BA" w:rsidP="00D470D9">
      <w:pPr>
        <w:pStyle w:val="ListParagraph"/>
        <w:numPr>
          <w:ilvl w:val="0"/>
          <w:numId w:val="4"/>
        </w:numPr>
        <w:jc w:val="both"/>
        <w:rPr>
          <w:rFonts w:ascii="Times New Roman" w:hAnsi="Times New Roman" w:cs="Times New Roman"/>
        </w:rPr>
      </w:pPr>
      <w:r w:rsidRPr="0078134C">
        <w:rPr>
          <w:rFonts w:ascii="Times New Roman" w:hAnsi="Times New Roman" w:cs="Times New Roman"/>
        </w:rPr>
        <w:t>Representation of Islamic Banking Model and Conventional Banking Model.</w:t>
      </w:r>
    </w:p>
    <w:p w14:paraId="7DAB5D2B"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t>Use of three banks per category means that meaningful comparisons can be made within each group and the data collection procedure is more manageable for an exploratory study.</w:t>
      </w:r>
    </w:p>
    <w:p w14:paraId="7131EC11" w14:textId="55D3A8D4" w:rsidR="006451BA" w:rsidRPr="0078134C" w:rsidRDefault="006451BA" w:rsidP="004A24AE">
      <w:pPr>
        <w:pStyle w:val="Heading2"/>
        <w:rPr>
          <w:rFonts w:ascii="Times New Roman" w:hAnsi="Times New Roman" w:cs="Times New Roman"/>
        </w:rPr>
      </w:pPr>
      <w:bookmarkStart w:id="11" w:name="_Toc234122906"/>
      <w:r w:rsidRPr="0078134C">
        <w:rPr>
          <w:rFonts w:ascii="Times New Roman" w:hAnsi="Times New Roman" w:cs="Times New Roman"/>
        </w:rPr>
        <w:t>Study Period</w:t>
      </w:r>
      <w:bookmarkEnd w:id="11"/>
    </w:p>
    <w:p w14:paraId="48CC40B6" w14:textId="1A04FA9A" w:rsidR="006451BA" w:rsidRPr="0078134C" w:rsidRDefault="006451BA" w:rsidP="00D470D9">
      <w:pPr>
        <w:jc w:val="both"/>
        <w:rPr>
          <w:rFonts w:ascii="Times New Roman" w:hAnsi="Times New Roman" w:cs="Times New Roman"/>
        </w:rPr>
      </w:pPr>
      <w:r w:rsidRPr="0078134C">
        <w:rPr>
          <w:rFonts w:ascii="Times New Roman" w:hAnsi="Times New Roman" w:cs="Times New Roman"/>
        </w:rPr>
        <w:t>The study examines the next 6 financial years (2019-2024).</w:t>
      </w:r>
      <w:r w:rsidR="00C75047" w:rsidRPr="0078134C">
        <w:rPr>
          <w:rFonts w:ascii="Times New Roman" w:hAnsi="Times New Roman" w:cs="Times New Roman"/>
        </w:rPr>
        <w:t xml:space="preserve"> </w:t>
      </w:r>
      <w:r w:rsidRPr="0078134C">
        <w:rPr>
          <w:rFonts w:ascii="Times New Roman" w:hAnsi="Times New Roman" w:cs="Times New Roman"/>
        </w:rPr>
        <w:t>This time frame was chosen because:</w:t>
      </w:r>
    </w:p>
    <w:p w14:paraId="23670FDF" w14:textId="77777777" w:rsidR="006451BA" w:rsidRPr="0078134C" w:rsidRDefault="006451BA" w:rsidP="00D470D9">
      <w:pPr>
        <w:pStyle w:val="ListParagraph"/>
        <w:numPr>
          <w:ilvl w:val="0"/>
          <w:numId w:val="5"/>
        </w:numPr>
        <w:jc w:val="both"/>
        <w:rPr>
          <w:rFonts w:ascii="Times New Roman" w:hAnsi="Times New Roman" w:cs="Times New Roman"/>
        </w:rPr>
      </w:pPr>
      <w:r w:rsidRPr="0078134C">
        <w:rPr>
          <w:rFonts w:ascii="Times New Roman" w:hAnsi="Times New Roman" w:cs="Times New Roman"/>
        </w:rPr>
        <w:t>All selected banks complete and publish an annual report which is publicly available.</w:t>
      </w:r>
    </w:p>
    <w:p w14:paraId="43D8B3BB" w14:textId="77777777" w:rsidR="006451BA" w:rsidRPr="0078134C" w:rsidRDefault="006451BA" w:rsidP="00D470D9">
      <w:pPr>
        <w:pStyle w:val="ListParagraph"/>
        <w:numPr>
          <w:ilvl w:val="0"/>
          <w:numId w:val="5"/>
        </w:numPr>
        <w:jc w:val="both"/>
        <w:rPr>
          <w:rFonts w:ascii="Times New Roman" w:hAnsi="Times New Roman" w:cs="Times New Roman"/>
        </w:rPr>
      </w:pPr>
      <w:r w:rsidRPr="0078134C">
        <w:rPr>
          <w:rFonts w:ascii="Times New Roman" w:hAnsi="Times New Roman" w:cs="Times New Roman"/>
        </w:rPr>
        <w:t>It is reflective of normal operation and significant economic events, such as the Covid-19 pandemic and recovery phase.</w:t>
      </w:r>
    </w:p>
    <w:p w14:paraId="6B73DEFA" w14:textId="6837695C" w:rsidR="006451BA" w:rsidRPr="0078134C" w:rsidRDefault="006451BA" w:rsidP="00D470D9">
      <w:pPr>
        <w:pStyle w:val="ListParagraph"/>
        <w:numPr>
          <w:ilvl w:val="0"/>
          <w:numId w:val="5"/>
        </w:numPr>
        <w:jc w:val="both"/>
        <w:rPr>
          <w:rFonts w:ascii="Times New Roman" w:hAnsi="Times New Roman" w:cs="Times New Roman"/>
        </w:rPr>
      </w:pPr>
      <w:r w:rsidRPr="0078134C">
        <w:rPr>
          <w:rFonts w:ascii="Times New Roman" w:hAnsi="Times New Roman" w:cs="Times New Roman"/>
        </w:rPr>
        <w:t xml:space="preserve">Six years is enough to observe </w:t>
      </w:r>
      <w:r w:rsidR="00C75047" w:rsidRPr="0078134C">
        <w:rPr>
          <w:rFonts w:ascii="Times New Roman" w:hAnsi="Times New Roman" w:cs="Times New Roman"/>
        </w:rPr>
        <w:t>trends yet</w:t>
      </w:r>
      <w:r w:rsidRPr="0078134C">
        <w:rPr>
          <w:rFonts w:ascii="Times New Roman" w:hAnsi="Times New Roman" w:cs="Times New Roman"/>
        </w:rPr>
        <w:t xml:space="preserve"> is not too long to be manually collected.</w:t>
      </w:r>
    </w:p>
    <w:p w14:paraId="0453E7DC"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t>The final data set represents:</w:t>
      </w:r>
    </w:p>
    <w:p w14:paraId="03537DAA" w14:textId="77777777" w:rsidR="00C75047" w:rsidRPr="0078134C" w:rsidRDefault="006451BA" w:rsidP="00D470D9">
      <w:pPr>
        <w:pStyle w:val="ListParagraph"/>
        <w:numPr>
          <w:ilvl w:val="0"/>
          <w:numId w:val="6"/>
        </w:numPr>
        <w:jc w:val="both"/>
        <w:rPr>
          <w:rFonts w:ascii="Times New Roman" w:hAnsi="Times New Roman" w:cs="Times New Roman"/>
        </w:rPr>
      </w:pPr>
      <w:r w:rsidRPr="0078134C">
        <w:rPr>
          <w:rFonts w:ascii="Times New Roman" w:hAnsi="Times New Roman" w:cs="Times New Roman"/>
        </w:rPr>
        <w:t>6 banks</w:t>
      </w:r>
    </w:p>
    <w:p w14:paraId="0F571042" w14:textId="645B4165" w:rsidR="006451BA" w:rsidRPr="0078134C" w:rsidRDefault="006451BA" w:rsidP="00D470D9">
      <w:pPr>
        <w:pStyle w:val="ListParagraph"/>
        <w:numPr>
          <w:ilvl w:val="0"/>
          <w:numId w:val="6"/>
        </w:numPr>
        <w:jc w:val="both"/>
        <w:rPr>
          <w:rFonts w:ascii="Times New Roman" w:hAnsi="Times New Roman" w:cs="Times New Roman"/>
        </w:rPr>
      </w:pPr>
      <w:r w:rsidRPr="0078134C">
        <w:rPr>
          <w:rFonts w:ascii="Times New Roman" w:hAnsi="Times New Roman" w:cs="Times New Roman"/>
        </w:rPr>
        <w:t>6 financial years</w:t>
      </w:r>
    </w:p>
    <w:p w14:paraId="46A88701" w14:textId="0063E591" w:rsidR="006451BA" w:rsidRPr="0078134C" w:rsidRDefault="006451BA" w:rsidP="00D470D9">
      <w:pPr>
        <w:jc w:val="both"/>
        <w:rPr>
          <w:rFonts w:ascii="Times New Roman" w:hAnsi="Times New Roman" w:cs="Times New Roman"/>
        </w:rPr>
      </w:pPr>
      <w:r w:rsidRPr="0078134C">
        <w:rPr>
          <w:rFonts w:ascii="Times New Roman" w:hAnsi="Times New Roman" w:cs="Times New Roman"/>
        </w:rPr>
        <w:t>This gave a total of 36 bank-years of observations.</w:t>
      </w:r>
    </w:p>
    <w:p w14:paraId="4A500FEC" w14:textId="06F38785" w:rsidR="006451BA" w:rsidRPr="0078134C" w:rsidRDefault="006451BA" w:rsidP="004A24AE">
      <w:pPr>
        <w:pStyle w:val="Heading2"/>
        <w:rPr>
          <w:rFonts w:ascii="Times New Roman" w:hAnsi="Times New Roman" w:cs="Times New Roman"/>
        </w:rPr>
      </w:pPr>
      <w:bookmarkStart w:id="12" w:name="_Toc234122907"/>
      <w:r w:rsidRPr="0078134C">
        <w:rPr>
          <w:rFonts w:ascii="Times New Roman" w:hAnsi="Times New Roman" w:cs="Times New Roman"/>
        </w:rPr>
        <w:t>Data Sources</w:t>
      </w:r>
      <w:bookmarkEnd w:id="12"/>
    </w:p>
    <w:p w14:paraId="02446067" w14:textId="49583C10" w:rsidR="006451BA" w:rsidRPr="0078134C" w:rsidRDefault="006451BA" w:rsidP="00D470D9">
      <w:pPr>
        <w:jc w:val="both"/>
        <w:rPr>
          <w:rFonts w:ascii="Times New Roman" w:hAnsi="Times New Roman" w:cs="Times New Roman"/>
        </w:rPr>
      </w:pPr>
      <w:r w:rsidRPr="0078134C">
        <w:rPr>
          <w:rFonts w:ascii="Times New Roman" w:hAnsi="Times New Roman" w:cs="Times New Roman"/>
        </w:rPr>
        <w:t>This study uses publicly available, audited financial data.</w:t>
      </w:r>
      <w:r w:rsidR="00C75047" w:rsidRPr="0078134C">
        <w:rPr>
          <w:rFonts w:ascii="Times New Roman" w:hAnsi="Times New Roman" w:cs="Times New Roman"/>
        </w:rPr>
        <w:t xml:space="preserve"> </w:t>
      </w:r>
      <w:r w:rsidRPr="0078134C">
        <w:rPr>
          <w:rFonts w:ascii="Times New Roman" w:hAnsi="Times New Roman" w:cs="Times New Roman"/>
        </w:rPr>
        <w:t>The annual reports made by each selected bank are the main source of data. Financial information is taken from:</w:t>
      </w:r>
    </w:p>
    <w:p w14:paraId="02DDAA10" w14:textId="3C6324BB" w:rsidR="006451BA" w:rsidRPr="0078134C" w:rsidRDefault="006451BA" w:rsidP="00D470D9">
      <w:pPr>
        <w:pStyle w:val="ListParagraph"/>
        <w:numPr>
          <w:ilvl w:val="0"/>
          <w:numId w:val="7"/>
        </w:numPr>
        <w:jc w:val="both"/>
        <w:rPr>
          <w:rFonts w:ascii="Times New Roman" w:hAnsi="Times New Roman" w:cs="Times New Roman"/>
        </w:rPr>
      </w:pPr>
      <w:r w:rsidRPr="0078134C">
        <w:rPr>
          <w:rFonts w:ascii="Times New Roman" w:hAnsi="Times New Roman" w:cs="Times New Roman"/>
        </w:rPr>
        <w:t xml:space="preserve">A balance </w:t>
      </w:r>
      <w:r w:rsidR="00BF37D0" w:rsidRPr="0078134C">
        <w:rPr>
          <w:rFonts w:ascii="Times New Roman" w:hAnsi="Times New Roman" w:cs="Times New Roman"/>
        </w:rPr>
        <w:t>sheet or</w:t>
      </w:r>
      <w:r w:rsidR="00A0247B" w:rsidRPr="0078134C">
        <w:rPr>
          <w:rFonts w:ascii="Times New Roman" w:hAnsi="Times New Roman" w:cs="Times New Roman"/>
        </w:rPr>
        <w:t xml:space="preserve"> Statement of Financial Position</w:t>
      </w:r>
    </w:p>
    <w:p w14:paraId="0CD1C9D5" w14:textId="77777777" w:rsidR="006451BA" w:rsidRPr="0078134C" w:rsidRDefault="006451BA" w:rsidP="00D470D9">
      <w:pPr>
        <w:pStyle w:val="ListParagraph"/>
        <w:numPr>
          <w:ilvl w:val="0"/>
          <w:numId w:val="7"/>
        </w:numPr>
        <w:jc w:val="both"/>
        <w:rPr>
          <w:rFonts w:ascii="Times New Roman" w:hAnsi="Times New Roman" w:cs="Times New Roman"/>
        </w:rPr>
      </w:pPr>
      <w:r w:rsidRPr="0078134C">
        <w:rPr>
          <w:rFonts w:ascii="Times New Roman" w:hAnsi="Times New Roman" w:cs="Times New Roman"/>
        </w:rPr>
        <w:t>The Statement of Profit or Loss is also known as Income Statement.</w:t>
      </w:r>
    </w:p>
    <w:p w14:paraId="6738B5B0" w14:textId="558254B3" w:rsidR="006451BA" w:rsidRPr="0078134C" w:rsidRDefault="006451BA" w:rsidP="00D470D9">
      <w:pPr>
        <w:pStyle w:val="ListParagraph"/>
        <w:numPr>
          <w:ilvl w:val="0"/>
          <w:numId w:val="7"/>
        </w:numPr>
        <w:jc w:val="both"/>
        <w:rPr>
          <w:rFonts w:ascii="Times New Roman" w:hAnsi="Times New Roman" w:cs="Times New Roman"/>
        </w:rPr>
      </w:pPr>
      <w:r w:rsidRPr="0078134C">
        <w:rPr>
          <w:rFonts w:ascii="Times New Roman" w:hAnsi="Times New Roman" w:cs="Times New Roman"/>
        </w:rPr>
        <w:t>Notes to the Financial Statements</w:t>
      </w:r>
    </w:p>
    <w:p w14:paraId="059F1273" w14:textId="6A0E0B5B" w:rsidR="006451BA" w:rsidRPr="0078134C" w:rsidRDefault="006451BA" w:rsidP="00D470D9">
      <w:pPr>
        <w:pStyle w:val="ListParagraph"/>
        <w:numPr>
          <w:ilvl w:val="0"/>
          <w:numId w:val="7"/>
        </w:numPr>
        <w:jc w:val="both"/>
        <w:rPr>
          <w:rFonts w:ascii="Times New Roman" w:hAnsi="Times New Roman" w:cs="Times New Roman"/>
        </w:rPr>
      </w:pPr>
      <w:r w:rsidRPr="0078134C">
        <w:rPr>
          <w:rFonts w:ascii="Times New Roman" w:hAnsi="Times New Roman" w:cs="Times New Roman"/>
        </w:rPr>
        <w:lastRenderedPageBreak/>
        <w:t>Miscellaneous</w:t>
      </w:r>
      <w:r w:rsidR="00C75047" w:rsidRPr="0078134C">
        <w:rPr>
          <w:rFonts w:ascii="Times New Roman" w:hAnsi="Times New Roman" w:cs="Times New Roman"/>
        </w:rPr>
        <w:t xml:space="preserve"> </w:t>
      </w:r>
      <w:r w:rsidRPr="0078134C">
        <w:rPr>
          <w:rFonts w:ascii="Times New Roman" w:hAnsi="Times New Roman" w:cs="Times New Roman"/>
        </w:rPr>
        <w:t>disclosures</w:t>
      </w:r>
    </w:p>
    <w:p w14:paraId="6EDE3BC4"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t>Not using proprietary databases or confidential information.</w:t>
      </w:r>
    </w:p>
    <w:p w14:paraId="61B39E7F" w14:textId="5F0E53BA" w:rsidR="006451BA" w:rsidRPr="0078134C" w:rsidRDefault="006451BA" w:rsidP="004A24AE">
      <w:pPr>
        <w:pStyle w:val="Heading2"/>
        <w:rPr>
          <w:rFonts w:ascii="Times New Roman" w:hAnsi="Times New Roman" w:cs="Times New Roman"/>
        </w:rPr>
      </w:pPr>
      <w:bookmarkStart w:id="13" w:name="_Toc234122908"/>
      <w:r w:rsidRPr="0078134C">
        <w:rPr>
          <w:rFonts w:ascii="Times New Roman" w:hAnsi="Times New Roman" w:cs="Times New Roman"/>
        </w:rPr>
        <w:t>Data Collection Procedure</w:t>
      </w:r>
      <w:bookmarkEnd w:id="13"/>
    </w:p>
    <w:p w14:paraId="68BCA6BE" w14:textId="10C9ECFF" w:rsidR="006451BA" w:rsidRPr="0078134C" w:rsidRDefault="006451BA" w:rsidP="00D470D9">
      <w:pPr>
        <w:pStyle w:val="ListParagraph"/>
        <w:numPr>
          <w:ilvl w:val="0"/>
          <w:numId w:val="8"/>
        </w:numPr>
        <w:jc w:val="both"/>
        <w:rPr>
          <w:rFonts w:ascii="Times New Roman" w:hAnsi="Times New Roman" w:cs="Times New Roman"/>
        </w:rPr>
      </w:pPr>
      <w:r w:rsidRPr="0078134C">
        <w:rPr>
          <w:rFonts w:ascii="Times New Roman" w:hAnsi="Times New Roman" w:cs="Times New Roman"/>
        </w:rPr>
        <w:t xml:space="preserve">Each annual report is manually </w:t>
      </w:r>
      <w:r w:rsidR="00C75047" w:rsidRPr="0078134C">
        <w:rPr>
          <w:rFonts w:ascii="Times New Roman" w:hAnsi="Times New Roman" w:cs="Times New Roman"/>
        </w:rPr>
        <w:t>downloaded,</w:t>
      </w:r>
      <w:r w:rsidRPr="0078134C">
        <w:rPr>
          <w:rFonts w:ascii="Times New Roman" w:hAnsi="Times New Roman" w:cs="Times New Roman"/>
        </w:rPr>
        <w:t xml:space="preserve"> and the financial statement information is keyed into a look-up table structured in a financial statement Microsoft Excel Workbook.</w:t>
      </w:r>
    </w:p>
    <w:p w14:paraId="7CC059A3" w14:textId="77777777" w:rsidR="006451BA" w:rsidRPr="0078134C" w:rsidRDefault="006451BA" w:rsidP="00D470D9">
      <w:pPr>
        <w:pStyle w:val="ListParagraph"/>
        <w:numPr>
          <w:ilvl w:val="0"/>
          <w:numId w:val="8"/>
        </w:numPr>
        <w:jc w:val="both"/>
        <w:rPr>
          <w:rFonts w:ascii="Times New Roman" w:hAnsi="Times New Roman" w:cs="Times New Roman"/>
        </w:rPr>
      </w:pPr>
      <w:r w:rsidRPr="0078134C">
        <w:rPr>
          <w:rFonts w:ascii="Times New Roman" w:hAnsi="Times New Roman" w:cs="Times New Roman"/>
        </w:rPr>
        <w:t>Raw money data represents data before any maths has been done to it. After the raw numbers are gathered, they are automatically computed via standardized formulas shown in the project's Variable Dictionary.</w:t>
      </w:r>
    </w:p>
    <w:p w14:paraId="60E09D27" w14:textId="77777777" w:rsidR="006451BA" w:rsidRPr="0078134C" w:rsidRDefault="006451BA" w:rsidP="00D470D9">
      <w:pPr>
        <w:pStyle w:val="ListParagraph"/>
        <w:numPr>
          <w:ilvl w:val="0"/>
          <w:numId w:val="8"/>
        </w:numPr>
        <w:jc w:val="both"/>
        <w:rPr>
          <w:rFonts w:ascii="Times New Roman" w:hAnsi="Times New Roman" w:cs="Times New Roman"/>
        </w:rPr>
      </w:pPr>
      <w:r w:rsidRPr="0078134C">
        <w:rPr>
          <w:rFonts w:ascii="Times New Roman" w:hAnsi="Times New Roman" w:cs="Times New Roman"/>
        </w:rPr>
        <w:t>This will help to standardise the data for each bank and each year, as well as make it more likely data is not calculated incorrectly.</w:t>
      </w:r>
    </w:p>
    <w:p w14:paraId="40093C12" w14:textId="77777777" w:rsidR="006451BA" w:rsidRPr="0078134C" w:rsidRDefault="006451BA" w:rsidP="00D470D9">
      <w:pPr>
        <w:pStyle w:val="ListParagraph"/>
        <w:numPr>
          <w:ilvl w:val="0"/>
          <w:numId w:val="8"/>
        </w:numPr>
        <w:jc w:val="both"/>
        <w:rPr>
          <w:rFonts w:ascii="Times New Roman" w:hAnsi="Times New Roman" w:cs="Times New Roman"/>
        </w:rPr>
      </w:pPr>
      <w:r w:rsidRPr="0078134C">
        <w:rPr>
          <w:rFonts w:ascii="Times New Roman" w:hAnsi="Times New Roman" w:cs="Times New Roman"/>
        </w:rPr>
        <w:t>The data set is then exported for statistical analysis.</w:t>
      </w:r>
    </w:p>
    <w:p w14:paraId="13C69353" w14:textId="53FA02BE" w:rsidR="006451BA" w:rsidRPr="0078134C" w:rsidRDefault="006451BA" w:rsidP="004A24AE">
      <w:pPr>
        <w:pStyle w:val="Heading2"/>
        <w:rPr>
          <w:rFonts w:ascii="Times New Roman" w:hAnsi="Times New Roman" w:cs="Times New Roman"/>
        </w:rPr>
      </w:pPr>
      <w:bookmarkStart w:id="14" w:name="_Toc234122909"/>
      <w:r w:rsidRPr="0078134C">
        <w:rPr>
          <w:rFonts w:ascii="Times New Roman" w:hAnsi="Times New Roman" w:cs="Times New Roman"/>
        </w:rPr>
        <w:t>Variables used in the study.</w:t>
      </w:r>
      <w:bookmarkEnd w:id="14"/>
    </w:p>
    <w:p w14:paraId="7B56BD44"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t>Financial ratios reflecting operating efficiency, bank profitability, liquidity and bank characteristics are used to assess the operating efficiency, profitability, liquidity and bank characteristics.</w:t>
      </w:r>
    </w:p>
    <w:p w14:paraId="76CF889E" w14:textId="1C9826A8" w:rsidR="006451BA" w:rsidRPr="0078134C" w:rsidRDefault="006451BA" w:rsidP="00D470D9">
      <w:pPr>
        <w:jc w:val="both"/>
        <w:rPr>
          <w:rFonts w:ascii="Times New Roman" w:hAnsi="Times New Roman" w:cs="Times New Roman"/>
          <w:b/>
          <w:bCs/>
        </w:rPr>
      </w:pPr>
      <w:r w:rsidRPr="0078134C">
        <w:rPr>
          <w:rFonts w:ascii="Times New Roman" w:hAnsi="Times New Roman" w:cs="Times New Roman"/>
          <w:b/>
          <w:bCs/>
        </w:rPr>
        <w:t>Dependent Variable</w:t>
      </w:r>
      <w:r w:rsidR="00C75047" w:rsidRPr="0078134C">
        <w:rPr>
          <w:rFonts w:ascii="Times New Roman" w:hAnsi="Times New Roman" w:cs="Times New Roman"/>
          <w:b/>
          <w:bCs/>
        </w:rPr>
        <w:t>s</w:t>
      </w:r>
    </w:p>
    <w:p w14:paraId="70D8D6F6" w14:textId="61EB211F" w:rsidR="006451BA" w:rsidRPr="0078134C" w:rsidRDefault="006451BA" w:rsidP="00D470D9">
      <w:pPr>
        <w:pStyle w:val="ListParagraph"/>
        <w:numPr>
          <w:ilvl w:val="0"/>
          <w:numId w:val="10"/>
        </w:numPr>
        <w:jc w:val="both"/>
        <w:rPr>
          <w:rFonts w:ascii="Times New Roman" w:hAnsi="Times New Roman" w:cs="Times New Roman"/>
        </w:rPr>
      </w:pPr>
      <w:r w:rsidRPr="0078134C">
        <w:rPr>
          <w:rFonts w:ascii="Times New Roman" w:hAnsi="Times New Roman" w:cs="Times New Roman"/>
        </w:rPr>
        <w:t>Deposit Return</w:t>
      </w:r>
      <w:r w:rsidR="00C75047" w:rsidRPr="0078134C">
        <w:rPr>
          <w:rFonts w:ascii="Times New Roman" w:hAnsi="Times New Roman" w:cs="Times New Roman"/>
        </w:rPr>
        <w:t xml:space="preserve">: </w:t>
      </w:r>
      <w:r w:rsidRPr="0078134C">
        <w:rPr>
          <w:rFonts w:ascii="Times New Roman" w:hAnsi="Times New Roman" w:cs="Times New Roman"/>
        </w:rPr>
        <w:t>This variable indicates the return or profit given to the depositors based on deposits and is the main dependent variable in the regression analysis.</w:t>
      </w:r>
    </w:p>
    <w:p w14:paraId="49BB7F65" w14:textId="77777777" w:rsidR="006451BA" w:rsidRPr="0078134C" w:rsidRDefault="006451BA" w:rsidP="00D470D9">
      <w:pPr>
        <w:jc w:val="both"/>
        <w:rPr>
          <w:rFonts w:ascii="Times New Roman" w:hAnsi="Times New Roman" w:cs="Times New Roman"/>
        </w:rPr>
      </w:pPr>
    </w:p>
    <w:p w14:paraId="7A51E255" w14:textId="24D799BC" w:rsidR="006451BA" w:rsidRPr="0078134C" w:rsidRDefault="006451BA" w:rsidP="00D470D9">
      <w:pPr>
        <w:jc w:val="both"/>
        <w:rPr>
          <w:rFonts w:ascii="Times New Roman" w:hAnsi="Times New Roman" w:cs="Times New Roman"/>
          <w:b/>
          <w:bCs/>
        </w:rPr>
      </w:pPr>
      <w:r w:rsidRPr="0078134C">
        <w:rPr>
          <w:rFonts w:ascii="Times New Roman" w:hAnsi="Times New Roman" w:cs="Times New Roman"/>
          <w:b/>
          <w:bCs/>
        </w:rPr>
        <w:t>Independent Variables</w:t>
      </w:r>
    </w:p>
    <w:p w14:paraId="1438D8E4" w14:textId="17DA1716" w:rsidR="006451BA" w:rsidRPr="0078134C" w:rsidRDefault="006451BA" w:rsidP="00D470D9">
      <w:pPr>
        <w:pStyle w:val="ListParagraph"/>
        <w:numPr>
          <w:ilvl w:val="0"/>
          <w:numId w:val="9"/>
        </w:numPr>
        <w:jc w:val="both"/>
        <w:rPr>
          <w:rFonts w:ascii="Times New Roman" w:hAnsi="Times New Roman" w:cs="Times New Roman"/>
        </w:rPr>
      </w:pPr>
      <w:r w:rsidRPr="0078134C">
        <w:rPr>
          <w:rFonts w:ascii="Times New Roman" w:hAnsi="Times New Roman" w:cs="Times New Roman"/>
        </w:rPr>
        <w:t>Operating Expense Ratio</w:t>
      </w:r>
      <w:r w:rsidR="00C75047" w:rsidRPr="0078134C">
        <w:rPr>
          <w:rFonts w:ascii="Times New Roman" w:hAnsi="Times New Roman" w:cs="Times New Roman"/>
        </w:rPr>
        <w:t xml:space="preserve">: </w:t>
      </w:r>
      <w:r w:rsidRPr="0078134C">
        <w:rPr>
          <w:rFonts w:ascii="Times New Roman" w:hAnsi="Times New Roman" w:cs="Times New Roman"/>
        </w:rPr>
        <w:t>Operating measures relate expense to total assets and are a measure of operating efficiency.</w:t>
      </w:r>
    </w:p>
    <w:p w14:paraId="76E3A489" w14:textId="228F6074" w:rsidR="006451BA" w:rsidRPr="0078134C" w:rsidRDefault="006451BA" w:rsidP="00D470D9">
      <w:pPr>
        <w:pStyle w:val="ListParagraph"/>
        <w:numPr>
          <w:ilvl w:val="0"/>
          <w:numId w:val="9"/>
        </w:numPr>
        <w:jc w:val="both"/>
        <w:rPr>
          <w:rFonts w:ascii="Times New Roman" w:hAnsi="Times New Roman" w:cs="Times New Roman"/>
        </w:rPr>
      </w:pPr>
      <w:r w:rsidRPr="0078134C">
        <w:rPr>
          <w:rFonts w:ascii="Times New Roman" w:hAnsi="Times New Roman" w:cs="Times New Roman"/>
        </w:rPr>
        <w:t>Cost-to-Income Ratio</w:t>
      </w:r>
      <w:r w:rsidR="00C75047" w:rsidRPr="0078134C">
        <w:rPr>
          <w:rFonts w:ascii="Times New Roman" w:hAnsi="Times New Roman" w:cs="Times New Roman"/>
        </w:rPr>
        <w:t xml:space="preserve">: </w:t>
      </w:r>
      <w:r w:rsidRPr="0078134C">
        <w:rPr>
          <w:rFonts w:ascii="Times New Roman" w:hAnsi="Times New Roman" w:cs="Times New Roman"/>
        </w:rPr>
        <w:t>Calculates the ratio of operating income to operating expenses.</w:t>
      </w:r>
    </w:p>
    <w:p w14:paraId="5A7771FB" w14:textId="312AD552" w:rsidR="006451BA" w:rsidRPr="0078134C" w:rsidRDefault="006451BA" w:rsidP="00D470D9">
      <w:pPr>
        <w:pStyle w:val="ListParagraph"/>
        <w:numPr>
          <w:ilvl w:val="0"/>
          <w:numId w:val="9"/>
        </w:numPr>
        <w:jc w:val="both"/>
        <w:rPr>
          <w:rFonts w:ascii="Times New Roman" w:hAnsi="Times New Roman" w:cs="Times New Roman"/>
        </w:rPr>
      </w:pPr>
      <w:r w:rsidRPr="0078134C">
        <w:rPr>
          <w:rFonts w:ascii="Times New Roman" w:hAnsi="Times New Roman" w:cs="Times New Roman"/>
        </w:rPr>
        <w:t>Return on Assets (ROA)</w:t>
      </w:r>
      <w:r w:rsidR="00C75047" w:rsidRPr="0078134C">
        <w:rPr>
          <w:rFonts w:ascii="Times New Roman" w:hAnsi="Times New Roman" w:cs="Times New Roman"/>
        </w:rPr>
        <w:t xml:space="preserve">: </w:t>
      </w:r>
      <w:r w:rsidRPr="0078134C">
        <w:rPr>
          <w:rFonts w:ascii="Times New Roman" w:hAnsi="Times New Roman" w:cs="Times New Roman"/>
        </w:rPr>
        <w:t>Matters the earnings derived from bank's assets.</w:t>
      </w:r>
    </w:p>
    <w:p w14:paraId="6B374B34" w14:textId="67E6F1DA" w:rsidR="006451BA" w:rsidRPr="0078134C" w:rsidRDefault="006451BA" w:rsidP="00D470D9">
      <w:pPr>
        <w:pStyle w:val="ListParagraph"/>
        <w:numPr>
          <w:ilvl w:val="0"/>
          <w:numId w:val="9"/>
        </w:numPr>
        <w:jc w:val="both"/>
        <w:rPr>
          <w:rFonts w:ascii="Times New Roman" w:hAnsi="Times New Roman" w:cs="Times New Roman"/>
        </w:rPr>
      </w:pPr>
      <w:r w:rsidRPr="0078134C">
        <w:rPr>
          <w:rFonts w:ascii="Times New Roman" w:hAnsi="Times New Roman" w:cs="Times New Roman"/>
        </w:rPr>
        <w:t>Return on Equity (ROE)</w:t>
      </w:r>
      <w:r w:rsidR="00C75047" w:rsidRPr="0078134C">
        <w:rPr>
          <w:rFonts w:ascii="Times New Roman" w:hAnsi="Times New Roman" w:cs="Times New Roman"/>
        </w:rPr>
        <w:t xml:space="preserve">: </w:t>
      </w:r>
      <w:r w:rsidRPr="0078134C">
        <w:rPr>
          <w:rFonts w:ascii="Times New Roman" w:hAnsi="Times New Roman" w:cs="Times New Roman"/>
        </w:rPr>
        <w:t>Measures profitability from the point of view of the shareholders.</w:t>
      </w:r>
    </w:p>
    <w:p w14:paraId="41AAD556" w14:textId="0B517A77" w:rsidR="006451BA" w:rsidRPr="0078134C" w:rsidRDefault="006451BA" w:rsidP="00D470D9">
      <w:pPr>
        <w:pStyle w:val="ListParagraph"/>
        <w:numPr>
          <w:ilvl w:val="0"/>
          <w:numId w:val="9"/>
        </w:numPr>
        <w:jc w:val="both"/>
        <w:rPr>
          <w:rFonts w:ascii="Times New Roman" w:hAnsi="Times New Roman" w:cs="Times New Roman"/>
        </w:rPr>
      </w:pPr>
      <w:r w:rsidRPr="0078134C">
        <w:rPr>
          <w:rFonts w:ascii="Times New Roman" w:hAnsi="Times New Roman" w:cs="Times New Roman"/>
        </w:rPr>
        <w:t>Cash-to-Assets Ratio</w:t>
      </w:r>
      <w:r w:rsidR="00C75047" w:rsidRPr="0078134C">
        <w:rPr>
          <w:rFonts w:ascii="Times New Roman" w:hAnsi="Times New Roman" w:cs="Times New Roman"/>
        </w:rPr>
        <w:t xml:space="preserve">: </w:t>
      </w:r>
      <w:r w:rsidRPr="0078134C">
        <w:rPr>
          <w:rFonts w:ascii="Times New Roman" w:hAnsi="Times New Roman" w:cs="Times New Roman"/>
        </w:rPr>
        <w:t>Resembles an amount of liquid assets, including possible cash that isn't invested.</w:t>
      </w:r>
    </w:p>
    <w:p w14:paraId="0DCEE691" w14:textId="7CD6C2BD" w:rsidR="006451BA" w:rsidRPr="0078134C" w:rsidRDefault="006451BA" w:rsidP="00D470D9">
      <w:pPr>
        <w:pStyle w:val="ListParagraph"/>
        <w:numPr>
          <w:ilvl w:val="0"/>
          <w:numId w:val="9"/>
        </w:numPr>
        <w:jc w:val="both"/>
        <w:rPr>
          <w:rFonts w:ascii="Times New Roman" w:hAnsi="Times New Roman" w:cs="Times New Roman"/>
        </w:rPr>
      </w:pPr>
      <w:r w:rsidRPr="0078134C">
        <w:rPr>
          <w:rFonts w:ascii="Times New Roman" w:hAnsi="Times New Roman" w:cs="Times New Roman"/>
        </w:rPr>
        <w:t>The ratio of financing to assets</w:t>
      </w:r>
      <w:r w:rsidR="00C75047" w:rsidRPr="0078134C">
        <w:rPr>
          <w:rFonts w:ascii="Times New Roman" w:hAnsi="Times New Roman" w:cs="Times New Roman"/>
        </w:rPr>
        <w:t xml:space="preserve">: </w:t>
      </w:r>
      <w:r w:rsidRPr="0078134C">
        <w:rPr>
          <w:rFonts w:ascii="Times New Roman" w:hAnsi="Times New Roman" w:cs="Times New Roman"/>
        </w:rPr>
        <w:t>Represents a percentage of assets invested in financing or lending activities.</w:t>
      </w:r>
    </w:p>
    <w:p w14:paraId="213E45AC" w14:textId="7C3466AC" w:rsidR="006451BA" w:rsidRPr="0078134C" w:rsidRDefault="006451BA" w:rsidP="00D470D9">
      <w:pPr>
        <w:pStyle w:val="ListParagraph"/>
        <w:numPr>
          <w:ilvl w:val="0"/>
          <w:numId w:val="9"/>
        </w:numPr>
        <w:jc w:val="both"/>
        <w:rPr>
          <w:rFonts w:ascii="Times New Roman" w:hAnsi="Times New Roman" w:cs="Times New Roman"/>
        </w:rPr>
      </w:pPr>
      <w:r w:rsidRPr="0078134C">
        <w:rPr>
          <w:rFonts w:ascii="Times New Roman" w:hAnsi="Times New Roman" w:cs="Times New Roman"/>
        </w:rPr>
        <w:t>Bank Size</w:t>
      </w:r>
      <w:r w:rsidR="00C75047" w:rsidRPr="0078134C">
        <w:rPr>
          <w:rFonts w:ascii="Times New Roman" w:hAnsi="Times New Roman" w:cs="Times New Roman"/>
        </w:rPr>
        <w:t xml:space="preserve">: </w:t>
      </w:r>
      <w:r w:rsidRPr="0078134C">
        <w:rPr>
          <w:rFonts w:ascii="Times New Roman" w:hAnsi="Times New Roman" w:cs="Times New Roman"/>
        </w:rPr>
        <w:t>To control for bank size, total assets are measured in terms of the natural log.</w:t>
      </w:r>
    </w:p>
    <w:p w14:paraId="210C98ED" w14:textId="77777777" w:rsidR="006451BA" w:rsidRPr="0078134C" w:rsidRDefault="006451BA" w:rsidP="00D470D9">
      <w:pPr>
        <w:jc w:val="both"/>
        <w:rPr>
          <w:rFonts w:ascii="Times New Roman" w:hAnsi="Times New Roman" w:cs="Times New Roman"/>
        </w:rPr>
      </w:pPr>
    </w:p>
    <w:p w14:paraId="4D3F314E" w14:textId="430EE85D" w:rsidR="006451BA" w:rsidRPr="0078134C" w:rsidRDefault="006451BA" w:rsidP="004A24AE">
      <w:pPr>
        <w:pStyle w:val="Heading2"/>
        <w:rPr>
          <w:rFonts w:ascii="Times New Roman" w:hAnsi="Times New Roman" w:cs="Times New Roman"/>
        </w:rPr>
      </w:pPr>
      <w:bookmarkStart w:id="15" w:name="_Toc234122910"/>
      <w:r w:rsidRPr="0078134C">
        <w:rPr>
          <w:rFonts w:ascii="Times New Roman" w:hAnsi="Times New Roman" w:cs="Times New Roman"/>
        </w:rPr>
        <w:t>Data Analysis</w:t>
      </w:r>
      <w:bookmarkEnd w:id="15"/>
    </w:p>
    <w:p w14:paraId="0C534DBD"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t>The analysis is carried out in two steps.</w:t>
      </w:r>
    </w:p>
    <w:p w14:paraId="296A74D1" w14:textId="2ACA1B02" w:rsidR="006451BA" w:rsidRPr="0078134C" w:rsidRDefault="006451BA" w:rsidP="00D470D9">
      <w:pPr>
        <w:jc w:val="both"/>
        <w:rPr>
          <w:rFonts w:ascii="Times New Roman" w:hAnsi="Times New Roman" w:cs="Times New Roman"/>
        </w:rPr>
      </w:pPr>
      <w:r w:rsidRPr="0078134C">
        <w:rPr>
          <w:rFonts w:ascii="Times New Roman" w:hAnsi="Times New Roman" w:cs="Times New Roman"/>
          <w:b/>
          <w:bCs/>
        </w:rPr>
        <w:t>Descriptive Analysis</w:t>
      </w:r>
      <w:r w:rsidR="001654AE" w:rsidRPr="0078134C">
        <w:rPr>
          <w:rFonts w:ascii="Times New Roman" w:hAnsi="Times New Roman" w:cs="Times New Roman"/>
          <w:b/>
          <w:bCs/>
        </w:rPr>
        <w:t>:</w:t>
      </w:r>
      <w:r w:rsidR="001654AE" w:rsidRPr="0078134C">
        <w:rPr>
          <w:rFonts w:ascii="Times New Roman" w:hAnsi="Times New Roman" w:cs="Times New Roman"/>
        </w:rPr>
        <w:t xml:space="preserve"> </w:t>
      </w:r>
      <w:r w:rsidRPr="0078134C">
        <w:rPr>
          <w:rFonts w:ascii="Times New Roman" w:hAnsi="Times New Roman" w:cs="Times New Roman"/>
        </w:rPr>
        <w:t>The first compares the descriptive statistics and graphical analysis of Islamic bank and conventional banks.</w:t>
      </w:r>
    </w:p>
    <w:p w14:paraId="7516F227" w14:textId="6522E5FD" w:rsidR="006451BA" w:rsidRPr="0078134C" w:rsidRDefault="006451BA" w:rsidP="00D470D9">
      <w:pPr>
        <w:jc w:val="both"/>
        <w:rPr>
          <w:rFonts w:ascii="Times New Roman" w:hAnsi="Times New Roman" w:cs="Times New Roman"/>
        </w:rPr>
      </w:pPr>
      <w:r w:rsidRPr="0078134C">
        <w:rPr>
          <w:rFonts w:ascii="Times New Roman" w:hAnsi="Times New Roman" w:cs="Times New Roman"/>
        </w:rPr>
        <w:t>The following statistics are computed:</w:t>
      </w:r>
    </w:p>
    <w:p w14:paraId="0C54B81C" w14:textId="53C18927" w:rsidR="006451BA" w:rsidRPr="0078134C" w:rsidRDefault="006451BA" w:rsidP="00D470D9">
      <w:pPr>
        <w:pStyle w:val="ListParagraph"/>
        <w:numPr>
          <w:ilvl w:val="0"/>
          <w:numId w:val="11"/>
        </w:numPr>
        <w:jc w:val="both"/>
        <w:rPr>
          <w:rFonts w:ascii="Times New Roman" w:hAnsi="Times New Roman" w:cs="Times New Roman"/>
        </w:rPr>
      </w:pPr>
      <w:r w:rsidRPr="0078134C">
        <w:rPr>
          <w:rFonts w:ascii="Times New Roman" w:hAnsi="Times New Roman" w:cs="Times New Roman"/>
        </w:rPr>
        <w:t>Mean</w:t>
      </w:r>
    </w:p>
    <w:p w14:paraId="2927BA0E" w14:textId="13D8F3D7" w:rsidR="006451BA" w:rsidRPr="0078134C" w:rsidRDefault="006451BA" w:rsidP="00D470D9">
      <w:pPr>
        <w:pStyle w:val="ListParagraph"/>
        <w:numPr>
          <w:ilvl w:val="0"/>
          <w:numId w:val="11"/>
        </w:numPr>
        <w:jc w:val="both"/>
        <w:rPr>
          <w:rFonts w:ascii="Times New Roman" w:hAnsi="Times New Roman" w:cs="Times New Roman"/>
        </w:rPr>
      </w:pPr>
      <w:r w:rsidRPr="0078134C">
        <w:rPr>
          <w:rFonts w:ascii="Times New Roman" w:hAnsi="Times New Roman" w:cs="Times New Roman"/>
        </w:rPr>
        <w:t>Median</w:t>
      </w:r>
    </w:p>
    <w:p w14:paraId="7419612E" w14:textId="3533975C" w:rsidR="006451BA" w:rsidRPr="0078134C" w:rsidRDefault="006451BA" w:rsidP="00D470D9">
      <w:pPr>
        <w:pStyle w:val="ListParagraph"/>
        <w:numPr>
          <w:ilvl w:val="0"/>
          <w:numId w:val="11"/>
        </w:numPr>
        <w:jc w:val="both"/>
        <w:rPr>
          <w:rFonts w:ascii="Times New Roman" w:hAnsi="Times New Roman" w:cs="Times New Roman"/>
        </w:rPr>
      </w:pPr>
      <w:r w:rsidRPr="0078134C">
        <w:rPr>
          <w:rFonts w:ascii="Times New Roman" w:hAnsi="Times New Roman" w:cs="Times New Roman"/>
        </w:rPr>
        <w:t>Minimum</w:t>
      </w:r>
    </w:p>
    <w:p w14:paraId="0CB22776" w14:textId="6B23D6D5" w:rsidR="006451BA" w:rsidRPr="0078134C" w:rsidRDefault="006451BA" w:rsidP="00D470D9">
      <w:pPr>
        <w:pStyle w:val="ListParagraph"/>
        <w:numPr>
          <w:ilvl w:val="0"/>
          <w:numId w:val="11"/>
        </w:numPr>
        <w:jc w:val="both"/>
        <w:rPr>
          <w:rFonts w:ascii="Times New Roman" w:hAnsi="Times New Roman" w:cs="Times New Roman"/>
        </w:rPr>
      </w:pPr>
      <w:r w:rsidRPr="0078134C">
        <w:rPr>
          <w:rFonts w:ascii="Times New Roman" w:hAnsi="Times New Roman" w:cs="Times New Roman"/>
        </w:rPr>
        <w:t>Maximum</w:t>
      </w:r>
    </w:p>
    <w:p w14:paraId="29A09630" w14:textId="5F589A43" w:rsidR="006451BA" w:rsidRPr="0078134C" w:rsidRDefault="006451BA" w:rsidP="00D470D9">
      <w:pPr>
        <w:pStyle w:val="ListParagraph"/>
        <w:numPr>
          <w:ilvl w:val="0"/>
          <w:numId w:val="11"/>
        </w:numPr>
        <w:jc w:val="both"/>
        <w:rPr>
          <w:rFonts w:ascii="Times New Roman" w:hAnsi="Times New Roman" w:cs="Times New Roman"/>
        </w:rPr>
      </w:pPr>
      <w:r w:rsidRPr="0078134C">
        <w:rPr>
          <w:rFonts w:ascii="Times New Roman" w:hAnsi="Times New Roman" w:cs="Times New Roman"/>
        </w:rPr>
        <w:t>Standard deviation</w:t>
      </w:r>
    </w:p>
    <w:p w14:paraId="5A696115" w14:textId="746D9CBF" w:rsidR="006451BA" w:rsidRPr="0078134C" w:rsidRDefault="006451BA" w:rsidP="00D470D9">
      <w:pPr>
        <w:jc w:val="both"/>
        <w:rPr>
          <w:rFonts w:ascii="Times New Roman" w:hAnsi="Times New Roman" w:cs="Times New Roman"/>
        </w:rPr>
      </w:pPr>
      <w:r w:rsidRPr="0078134C">
        <w:rPr>
          <w:rFonts w:ascii="Times New Roman" w:hAnsi="Times New Roman" w:cs="Times New Roman"/>
        </w:rPr>
        <w:lastRenderedPageBreak/>
        <w:t>Visually compared using linear graphs, bar graphs, and trend analysis, changes over time.</w:t>
      </w:r>
      <w:r w:rsidR="001654AE" w:rsidRPr="0078134C">
        <w:rPr>
          <w:rFonts w:ascii="Times New Roman" w:hAnsi="Times New Roman" w:cs="Times New Roman"/>
        </w:rPr>
        <w:t xml:space="preserve"> </w:t>
      </w:r>
      <w:r w:rsidRPr="0078134C">
        <w:rPr>
          <w:rFonts w:ascii="Times New Roman" w:hAnsi="Times New Roman" w:cs="Times New Roman"/>
        </w:rPr>
        <w:t>The descriptive analysis gives an initial view of differences in operating costs, profitability, liquidity and returns to depositors of the two banking systems.</w:t>
      </w:r>
    </w:p>
    <w:p w14:paraId="19AFD510" w14:textId="2C2330B1" w:rsidR="006451BA" w:rsidRPr="0078134C" w:rsidRDefault="006451BA" w:rsidP="00D470D9">
      <w:pPr>
        <w:jc w:val="both"/>
        <w:rPr>
          <w:rFonts w:ascii="Times New Roman" w:hAnsi="Times New Roman" w:cs="Times New Roman"/>
          <w:b/>
          <w:bCs/>
        </w:rPr>
      </w:pPr>
      <w:r w:rsidRPr="0078134C">
        <w:rPr>
          <w:rFonts w:ascii="Times New Roman" w:hAnsi="Times New Roman" w:cs="Times New Roman"/>
          <w:b/>
          <w:bCs/>
        </w:rPr>
        <w:t>Regression Analysis</w:t>
      </w:r>
    </w:p>
    <w:p w14:paraId="181FA670"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t>The second stage is a multiple linear regression analysis of the differences in depositor returns to determine if the differences are explained by structural characteristics.</w:t>
      </w:r>
    </w:p>
    <w:p w14:paraId="019AB0C4"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t>The general regression model is given as:</w:t>
      </w:r>
    </w:p>
    <w:p w14:paraId="501CA338" w14:textId="76B32AE1" w:rsidR="006451BA" w:rsidRPr="0078134C" w:rsidRDefault="006451BA" w:rsidP="00D470D9">
      <w:pPr>
        <w:jc w:val="both"/>
        <w:rPr>
          <w:rFonts w:ascii="Times New Roman" w:hAnsi="Times New Roman" w:cs="Times New Roman"/>
          <w:b/>
          <w:bCs/>
          <w:i/>
          <w:iCs/>
        </w:rPr>
      </w:pPr>
      <w:r w:rsidRPr="0078134C">
        <w:rPr>
          <w:rFonts w:ascii="Times New Roman" w:hAnsi="Times New Roman" w:cs="Times New Roman"/>
          <w:b/>
          <w:bCs/>
          <w:i/>
          <w:iCs/>
        </w:rPr>
        <w:t>Deposit Return = β₀ + β₁(Operating Expense Ratio) + β₂(Cost-to-Income Ratio) + β₃(ROA) + β₄(Cash-to-Assets Ratio) + β₅(Financing-to-Assets Ratio) + β₆(Bank Size) + β₇(Islamic Dummy) + ε</w:t>
      </w:r>
    </w:p>
    <w:p w14:paraId="4264CBA4" w14:textId="5280E3FC" w:rsidR="006451BA" w:rsidRPr="0078134C" w:rsidRDefault="006451BA" w:rsidP="00D470D9">
      <w:pPr>
        <w:jc w:val="both"/>
        <w:rPr>
          <w:rFonts w:ascii="Times New Roman" w:hAnsi="Times New Roman" w:cs="Times New Roman"/>
        </w:rPr>
      </w:pPr>
      <w:r w:rsidRPr="0078134C">
        <w:rPr>
          <w:rFonts w:ascii="Times New Roman" w:hAnsi="Times New Roman" w:cs="Times New Roman"/>
        </w:rPr>
        <w:t>where:</w:t>
      </w:r>
    </w:p>
    <w:p w14:paraId="2FE52A9F"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t>β₀ is the intercept (y-intercept), and</w:t>
      </w:r>
    </w:p>
    <w:p w14:paraId="05A0D9A7"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t>β₁ to β₇ are coefficients estimated,</w:t>
      </w:r>
    </w:p>
    <w:p w14:paraId="21642CD3" w14:textId="35B72A44" w:rsidR="006451BA" w:rsidRPr="0078134C" w:rsidRDefault="006451BA" w:rsidP="00D470D9">
      <w:pPr>
        <w:jc w:val="both"/>
        <w:rPr>
          <w:rFonts w:ascii="Times New Roman" w:hAnsi="Times New Roman" w:cs="Times New Roman"/>
        </w:rPr>
      </w:pPr>
      <w:r w:rsidRPr="0078134C">
        <w:rPr>
          <w:rFonts w:ascii="Times New Roman" w:hAnsi="Times New Roman" w:cs="Times New Roman"/>
        </w:rPr>
        <w:t>The random error term is denoted by the “ε.”</w:t>
      </w:r>
    </w:p>
    <w:p w14:paraId="1B186E33" w14:textId="77777777" w:rsidR="006451BA" w:rsidRPr="0078134C" w:rsidRDefault="006451BA" w:rsidP="00D470D9">
      <w:pPr>
        <w:jc w:val="both"/>
        <w:rPr>
          <w:rFonts w:ascii="Times New Roman" w:hAnsi="Times New Roman" w:cs="Times New Roman"/>
        </w:rPr>
      </w:pPr>
      <w:r w:rsidRPr="0078134C">
        <w:rPr>
          <w:rFonts w:ascii="Times New Roman" w:hAnsi="Times New Roman" w:cs="Times New Roman"/>
        </w:rPr>
        <w:t>The regression estimates the relation between returns to the depositors and each explanatory after accounting for the effect of the other characteristics of the finance industry.</w:t>
      </w:r>
    </w:p>
    <w:p w14:paraId="13486250" w14:textId="77777777" w:rsidR="006451BA" w:rsidRPr="0078134C" w:rsidRDefault="006451BA" w:rsidP="00D470D9">
      <w:pPr>
        <w:jc w:val="both"/>
        <w:rPr>
          <w:rFonts w:ascii="Times New Roman" w:hAnsi="Times New Roman" w:cs="Times New Roman"/>
        </w:rPr>
      </w:pPr>
    </w:p>
    <w:p w14:paraId="4F79A107" w14:textId="6BA0A412" w:rsidR="006451BA" w:rsidRPr="0078134C" w:rsidRDefault="006451BA" w:rsidP="004A24AE">
      <w:pPr>
        <w:pStyle w:val="Heading2"/>
        <w:rPr>
          <w:rFonts w:ascii="Times New Roman" w:hAnsi="Times New Roman" w:cs="Times New Roman"/>
        </w:rPr>
      </w:pPr>
      <w:bookmarkStart w:id="16" w:name="_Toc234122911"/>
      <w:r w:rsidRPr="0078134C">
        <w:rPr>
          <w:rFonts w:ascii="Times New Roman" w:hAnsi="Times New Roman" w:cs="Times New Roman"/>
        </w:rPr>
        <w:t>Scope of the Study</w:t>
      </w:r>
      <w:bookmarkEnd w:id="16"/>
    </w:p>
    <w:p w14:paraId="5E08F0A6" w14:textId="5BC49DD2" w:rsidR="006451BA" w:rsidRPr="0078134C" w:rsidRDefault="006451BA" w:rsidP="00D470D9">
      <w:pPr>
        <w:jc w:val="both"/>
        <w:rPr>
          <w:rFonts w:ascii="Times New Roman" w:hAnsi="Times New Roman" w:cs="Times New Roman"/>
        </w:rPr>
      </w:pPr>
      <w:r w:rsidRPr="0078134C">
        <w:rPr>
          <w:rFonts w:ascii="Times New Roman" w:hAnsi="Times New Roman" w:cs="Times New Roman"/>
        </w:rPr>
        <w:t>The researchers have restricted their study only those scheduled commercial banks that are functioning in Pakistan</w:t>
      </w:r>
      <w:r w:rsidR="009916FD" w:rsidRPr="0078134C">
        <w:rPr>
          <w:rFonts w:ascii="Times New Roman" w:hAnsi="Times New Roman" w:cs="Times New Roman"/>
        </w:rPr>
        <w:t xml:space="preserve">. </w:t>
      </w:r>
      <w:r w:rsidRPr="0078134C">
        <w:rPr>
          <w:rFonts w:ascii="Times New Roman" w:hAnsi="Times New Roman" w:cs="Times New Roman"/>
        </w:rPr>
        <w:t xml:space="preserve">Only publicly available annual or post-annual reports can be </w:t>
      </w:r>
      <w:r w:rsidR="009916FD" w:rsidRPr="0078134C">
        <w:rPr>
          <w:rFonts w:ascii="Times New Roman" w:hAnsi="Times New Roman" w:cs="Times New Roman"/>
        </w:rPr>
        <w:t>considered</w:t>
      </w:r>
      <w:r w:rsidRPr="0078134C">
        <w:rPr>
          <w:rFonts w:ascii="Times New Roman" w:hAnsi="Times New Roman" w:cs="Times New Roman"/>
        </w:rPr>
        <w:t>. Islamic windows of conventional banks, branches of foreign banks and non-bank financial institutions are not covered by the study</w:t>
      </w:r>
      <w:r w:rsidR="009916FD" w:rsidRPr="0078134C">
        <w:rPr>
          <w:rFonts w:ascii="Times New Roman" w:hAnsi="Times New Roman" w:cs="Times New Roman"/>
        </w:rPr>
        <w:t xml:space="preserve">. </w:t>
      </w:r>
      <w:r w:rsidRPr="0078134C">
        <w:rPr>
          <w:rFonts w:ascii="Times New Roman" w:hAnsi="Times New Roman" w:cs="Times New Roman"/>
        </w:rPr>
        <w:t xml:space="preserve">Financial indicators focus on accounts (not market) not only are used for analysis but also largely influence the flow of funds in the </w:t>
      </w:r>
      <w:r w:rsidR="009916FD" w:rsidRPr="0078134C">
        <w:rPr>
          <w:rFonts w:ascii="Times New Roman" w:hAnsi="Times New Roman" w:cs="Times New Roman"/>
        </w:rPr>
        <w:t>market. Analysis</w:t>
      </w:r>
      <w:r w:rsidRPr="0078134C">
        <w:rPr>
          <w:rFonts w:ascii="Times New Roman" w:hAnsi="Times New Roman" w:cs="Times New Roman"/>
        </w:rPr>
        <w:t xml:space="preserve"> is based on accounting facts, but not on market factors.</w:t>
      </w:r>
    </w:p>
    <w:p w14:paraId="6E4974E9" w14:textId="142FB632" w:rsidR="006451BA" w:rsidRPr="0078134C" w:rsidRDefault="006451BA" w:rsidP="00D470D9">
      <w:pPr>
        <w:jc w:val="both"/>
        <w:rPr>
          <w:rFonts w:ascii="Times New Roman" w:hAnsi="Times New Roman" w:cs="Times New Roman"/>
        </w:rPr>
      </w:pPr>
      <w:r w:rsidRPr="0078134C">
        <w:rPr>
          <w:rFonts w:ascii="Times New Roman" w:hAnsi="Times New Roman" w:cs="Times New Roman"/>
        </w:rPr>
        <w:t>Limitations</w:t>
      </w:r>
    </w:p>
    <w:p w14:paraId="4DFD24FC" w14:textId="23728682" w:rsidR="006451BA" w:rsidRPr="0078134C" w:rsidRDefault="006451BA" w:rsidP="00D470D9">
      <w:pPr>
        <w:jc w:val="both"/>
        <w:rPr>
          <w:rFonts w:ascii="Times New Roman" w:hAnsi="Times New Roman" w:cs="Times New Roman"/>
        </w:rPr>
      </w:pPr>
      <w:r w:rsidRPr="0078134C">
        <w:rPr>
          <w:rFonts w:ascii="Times New Roman" w:hAnsi="Times New Roman" w:cs="Times New Roman"/>
        </w:rPr>
        <w:t xml:space="preserve">It is important to note that there are </w:t>
      </w:r>
      <w:r w:rsidR="009916FD" w:rsidRPr="0078134C">
        <w:rPr>
          <w:rFonts w:ascii="Times New Roman" w:hAnsi="Times New Roman" w:cs="Times New Roman"/>
        </w:rPr>
        <w:t>several</w:t>
      </w:r>
      <w:r w:rsidRPr="0078134C">
        <w:rPr>
          <w:rFonts w:ascii="Times New Roman" w:hAnsi="Times New Roman" w:cs="Times New Roman"/>
        </w:rPr>
        <w:t xml:space="preserve"> limitations.</w:t>
      </w:r>
    </w:p>
    <w:p w14:paraId="79C90427" w14:textId="76FB46CE" w:rsidR="006451BA" w:rsidRPr="0078134C" w:rsidRDefault="006451BA" w:rsidP="00D470D9">
      <w:pPr>
        <w:pStyle w:val="ListParagraph"/>
        <w:numPr>
          <w:ilvl w:val="0"/>
          <w:numId w:val="13"/>
        </w:numPr>
        <w:jc w:val="both"/>
        <w:rPr>
          <w:rFonts w:ascii="Times New Roman" w:hAnsi="Times New Roman" w:cs="Times New Roman"/>
        </w:rPr>
      </w:pPr>
      <w:r w:rsidRPr="0078134C">
        <w:rPr>
          <w:rFonts w:ascii="Times New Roman" w:hAnsi="Times New Roman" w:cs="Times New Roman"/>
        </w:rPr>
        <w:t>First, the sample comprises only six banks, which could make it difficult to be general about the results.</w:t>
      </w:r>
    </w:p>
    <w:p w14:paraId="3F197247" w14:textId="20D84FF6" w:rsidR="006451BA" w:rsidRPr="0078134C" w:rsidRDefault="006451BA" w:rsidP="00D470D9">
      <w:pPr>
        <w:pStyle w:val="ListParagraph"/>
        <w:numPr>
          <w:ilvl w:val="0"/>
          <w:numId w:val="13"/>
        </w:numPr>
        <w:jc w:val="both"/>
        <w:rPr>
          <w:rFonts w:ascii="Times New Roman" w:hAnsi="Times New Roman" w:cs="Times New Roman"/>
        </w:rPr>
      </w:pPr>
      <w:r w:rsidRPr="0078134C">
        <w:rPr>
          <w:rFonts w:ascii="Times New Roman" w:hAnsi="Times New Roman" w:cs="Times New Roman"/>
        </w:rPr>
        <w:t>Second, some variables, like detailed information on Sharia governance expenses, may not be separated and reported in each annual report, making it difficult to accurately assess these expenses.</w:t>
      </w:r>
    </w:p>
    <w:p w14:paraId="5065EEC6" w14:textId="2580656A" w:rsidR="006451BA" w:rsidRPr="0078134C" w:rsidRDefault="006451BA" w:rsidP="00D470D9">
      <w:pPr>
        <w:pStyle w:val="ListParagraph"/>
        <w:numPr>
          <w:ilvl w:val="0"/>
          <w:numId w:val="13"/>
        </w:numPr>
        <w:jc w:val="both"/>
        <w:rPr>
          <w:rFonts w:ascii="Times New Roman" w:hAnsi="Times New Roman" w:cs="Times New Roman"/>
        </w:rPr>
      </w:pPr>
      <w:r w:rsidRPr="0078134C">
        <w:rPr>
          <w:rFonts w:ascii="Times New Roman" w:hAnsi="Times New Roman" w:cs="Times New Roman"/>
        </w:rPr>
        <w:t>Thirdly, the study is dependent on published financial statements and, therefore, it only draws financial data from published information.</w:t>
      </w:r>
    </w:p>
    <w:p w14:paraId="71860894" w14:textId="77777777" w:rsidR="006451BA" w:rsidRPr="0078134C" w:rsidRDefault="006451BA" w:rsidP="00D470D9">
      <w:pPr>
        <w:pStyle w:val="ListParagraph"/>
        <w:numPr>
          <w:ilvl w:val="0"/>
          <w:numId w:val="13"/>
        </w:numPr>
        <w:jc w:val="both"/>
        <w:rPr>
          <w:rFonts w:ascii="Times New Roman" w:hAnsi="Times New Roman" w:cs="Times New Roman"/>
        </w:rPr>
      </w:pPr>
      <w:r w:rsidRPr="0078134C">
        <w:rPr>
          <w:rFonts w:ascii="Times New Roman" w:hAnsi="Times New Roman" w:cs="Times New Roman"/>
        </w:rPr>
        <w:t>Finally, regression analysis might detect statistical relationships but can not determine cause and effect among operating costs and depositor returns.</w:t>
      </w:r>
    </w:p>
    <w:p w14:paraId="1DF8685C" w14:textId="3E041020" w:rsidR="006451BA" w:rsidRPr="0078134C" w:rsidRDefault="006451BA" w:rsidP="00D470D9">
      <w:pPr>
        <w:jc w:val="both"/>
        <w:rPr>
          <w:rFonts w:ascii="Times New Roman" w:hAnsi="Times New Roman" w:cs="Times New Roman"/>
        </w:rPr>
      </w:pPr>
      <w:r w:rsidRPr="0078134C">
        <w:rPr>
          <w:rFonts w:ascii="Times New Roman" w:hAnsi="Times New Roman" w:cs="Times New Roman"/>
        </w:rPr>
        <w:t>Despite the significant limitations, the study offers analysis that is structured, exploratory and reveals the financial traits in transparent and reproducible manner of Islamic and conventional banks in Pakistan.</w:t>
      </w:r>
    </w:p>
    <w:p w14:paraId="3FFFBC73" w14:textId="77777777" w:rsidR="003712C9" w:rsidRPr="0078134C" w:rsidRDefault="003712C9" w:rsidP="003712C9">
      <w:pPr>
        <w:pStyle w:val="Heading1"/>
        <w:jc w:val="both"/>
        <w:rPr>
          <w:rFonts w:ascii="Times New Roman" w:hAnsi="Times New Roman" w:cs="Times New Roman"/>
        </w:rPr>
      </w:pPr>
      <w:bookmarkStart w:id="17" w:name="_Toc234122912"/>
      <w:r w:rsidRPr="0078134C">
        <w:rPr>
          <w:rFonts w:ascii="Times New Roman" w:hAnsi="Times New Roman" w:cs="Times New Roman"/>
        </w:rPr>
        <w:lastRenderedPageBreak/>
        <w:t>Comparative Analysis</w:t>
      </w:r>
      <w:bookmarkEnd w:id="17"/>
    </w:p>
    <w:p w14:paraId="50ED5853" w14:textId="653EF6D4" w:rsidR="003712C9" w:rsidRPr="0078134C" w:rsidRDefault="003712C9" w:rsidP="003712C9">
      <w:pPr>
        <w:jc w:val="both"/>
        <w:rPr>
          <w:rFonts w:ascii="Times New Roman" w:hAnsi="Times New Roman" w:cs="Times New Roman"/>
        </w:rPr>
      </w:pPr>
      <w:r w:rsidRPr="0078134C">
        <w:rPr>
          <w:rFonts w:ascii="Times New Roman" w:hAnsi="Times New Roman" w:cs="Times New Roman"/>
        </w:rPr>
        <w:t>This section tests a widely held claim in the Pakistani banking literature: that Islamic banks operate less efficiently than conventional banks, incur higher operating costs as a result, and consequently deliver lower returns. Using six banks listed on the Pakistan Stock Exchange, Askari Bank, Habib Bank Limited (HBL), and JS Bank as conventional comparators, and Meezan Bank, Dubai Islamic Bank (DIB), and BankIslami as Islamic comparators, over the unconsolidated financial statements for fiscal years 2019–2024, the analysis below works through descriptive statistics, time trends, cross-sectional averages, and a purpose-built deposit-utilisation comparison. The consistent finding across these is that the popular belief does not hold for this sample: Islamic banks in this dataset are not meaningfully more expensive to run, and they substantially outperform on profitability. The remainder of the section works through why and reconciles this against the prior literature.</w:t>
      </w:r>
    </w:p>
    <w:p w14:paraId="3C624C1B" w14:textId="2E142870" w:rsidR="003712C9" w:rsidRPr="0078134C" w:rsidRDefault="003712C9" w:rsidP="00A402C7">
      <w:pPr>
        <w:pStyle w:val="Heading2"/>
        <w:jc w:val="both"/>
        <w:rPr>
          <w:rFonts w:ascii="Times New Roman" w:hAnsi="Times New Roman" w:cs="Times New Roman"/>
        </w:rPr>
      </w:pPr>
      <w:bookmarkStart w:id="18" w:name="_Toc234122913"/>
      <w:r w:rsidRPr="0078134C">
        <w:rPr>
          <w:rFonts w:ascii="Times New Roman" w:hAnsi="Times New Roman" w:cs="Times New Roman"/>
        </w:rPr>
        <w:t>Sample and Descriptive Profile</w:t>
      </w:r>
      <w:bookmarkEnd w:id="18"/>
      <w:r w:rsidRPr="0078134C">
        <w:rPr>
          <w:rFonts w:ascii="Times New Roman" w:hAnsi="Times New Roman" w:cs="Times New Roman"/>
        </w:rPr>
        <w:t xml:space="preserve"> </w:t>
      </w:r>
    </w:p>
    <w:p w14:paraId="220E8D7D" w14:textId="7E1876B5" w:rsidR="003712C9" w:rsidRPr="0078134C" w:rsidRDefault="003712C9" w:rsidP="003712C9">
      <w:pPr>
        <w:jc w:val="both"/>
        <w:rPr>
          <w:rFonts w:ascii="Times New Roman" w:hAnsi="Times New Roman" w:cs="Times New Roman"/>
        </w:rPr>
      </w:pPr>
      <w:r w:rsidRPr="0078134C">
        <w:rPr>
          <w:rFonts w:ascii="Times New Roman" w:hAnsi="Times New Roman" w:cs="Times New Roman"/>
        </w:rPr>
        <w:t>The Descriptive Statistics summarises all 36 bank-year observations (six banks × six years</w:t>
      </w:r>
      <w:r w:rsidR="00B054F4" w:rsidRPr="0078134C">
        <w:rPr>
          <w:rFonts w:ascii="Times New Roman" w:hAnsi="Times New Roman" w:cs="Times New Roman"/>
        </w:rPr>
        <w:t>) and</w:t>
      </w:r>
      <w:r w:rsidRPr="0078134C">
        <w:rPr>
          <w:rFonts w:ascii="Times New Roman" w:hAnsi="Times New Roman" w:cs="Times New Roman"/>
        </w:rPr>
        <w:t xml:space="preserve"> then splits the same statistics by bank type. Table 1 reports the mean and standard deviation for the four profitability- and cost-related ratios; the full breakdown (including median, minimum, and maximum) is retained in the workbook itself.</w:t>
      </w:r>
    </w:p>
    <w:p w14:paraId="0174B3A4" w14:textId="77777777" w:rsidR="007B1B49" w:rsidRPr="0078134C" w:rsidRDefault="007B1B49" w:rsidP="003712C9">
      <w:pPr>
        <w:jc w:val="both"/>
        <w:rPr>
          <w:rFonts w:ascii="Times New Roman" w:hAnsi="Times New Roman" w:cs="Times New Roman"/>
        </w:rPr>
      </w:pPr>
    </w:p>
    <w:p w14:paraId="592209D0" w14:textId="77777777" w:rsidR="007B1B49" w:rsidRPr="0078134C" w:rsidRDefault="007B1B49" w:rsidP="003712C9">
      <w:pPr>
        <w:jc w:val="both"/>
        <w:rPr>
          <w:rFonts w:ascii="Times New Roman" w:hAnsi="Times New Roman" w:cs="Times New Roman"/>
        </w:rPr>
      </w:pPr>
    </w:p>
    <w:tbl>
      <w:tblPr>
        <w:tblStyle w:val="PlainTable2"/>
        <w:tblW w:w="9111" w:type="dxa"/>
        <w:tblLook w:val="04A0" w:firstRow="1" w:lastRow="0" w:firstColumn="1" w:lastColumn="0" w:noHBand="0" w:noVBand="1"/>
      </w:tblPr>
      <w:tblGrid>
        <w:gridCol w:w="2493"/>
        <w:gridCol w:w="2206"/>
        <w:gridCol w:w="2206"/>
        <w:gridCol w:w="2206"/>
      </w:tblGrid>
      <w:tr w:rsidR="003712C9" w:rsidRPr="0078134C" w14:paraId="7FF12EE7" w14:textId="77777777" w:rsidTr="00A77BA6">
        <w:trPr>
          <w:cnfStyle w:val="100000000000" w:firstRow="1" w:lastRow="0" w:firstColumn="0" w:lastColumn="0" w:oddVBand="0" w:evenVBand="0" w:oddHBand="0"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2493" w:type="dxa"/>
          </w:tcPr>
          <w:p w14:paraId="2356BA8C" w14:textId="77777777" w:rsidR="003712C9" w:rsidRPr="0078134C" w:rsidRDefault="003712C9" w:rsidP="00BB2610">
            <w:pPr>
              <w:jc w:val="both"/>
              <w:rPr>
                <w:rFonts w:ascii="Times New Roman" w:hAnsi="Times New Roman" w:cs="Times New Roman"/>
                <w:color w:val="000000" w:themeColor="text1"/>
              </w:rPr>
            </w:pPr>
            <w:r w:rsidRPr="0078134C">
              <w:rPr>
                <w:rFonts w:ascii="Times New Roman" w:hAnsi="Times New Roman" w:cs="Times New Roman"/>
                <w:color w:val="000000" w:themeColor="text1"/>
                <w:sz w:val="20"/>
                <w:szCs w:val="20"/>
              </w:rPr>
              <w:t>Ratio</w:t>
            </w:r>
          </w:p>
        </w:tc>
        <w:tc>
          <w:tcPr>
            <w:tcW w:w="2206" w:type="dxa"/>
          </w:tcPr>
          <w:p w14:paraId="513F40EF" w14:textId="77777777" w:rsidR="003712C9" w:rsidRPr="0078134C" w:rsidRDefault="003712C9" w:rsidP="00BB261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8134C">
              <w:rPr>
                <w:rFonts w:ascii="Times New Roman" w:hAnsi="Times New Roman" w:cs="Times New Roman"/>
                <w:color w:val="000000" w:themeColor="text1"/>
                <w:sz w:val="20"/>
                <w:szCs w:val="20"/>
              </w:rPr>
              <w:t>Full Sample (Mean / SD)</w:t>
            </w:r>
          </w:p>
        </w:tc>
        <w:tc>
          <w:tcPr>
            <w:tcW w:w="2206" w:type="dxa"/>
          </w:tcPr>
          <w:p w14:paraId="02AAF3E2" w14:textId="77777777" w:rsidR="003712C9" w:rsidRPr="0078134C" w:rsidRDefault="003712C9" w:rsidP="00BB261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8134C">
              <w:rPr>
                <w:rFonts w:ascii="Times New Roman" w:hAnsi="Times New Roman" w:cs="Times New Roman"/>
                <w:color w:val="000000" w:themeColor="text1"/>
                <w:sz w:val="20"/>
                <w:szCs w:val="20"/>
              </w:rPr>
              <w:t>Conventional (Mean / SD)</w:t>
            </w:r>
          </w:p>
        </w:tc>
        <w:tc>
          <w:tcPr>
            <w:tcW w:w="2206" w:type="dxa"/>
          </w:tcPr>
          <w:p w14:paraId="735ADD85" w14:textId="77777777" w:rsidR="003712C9" w:rsidRPr="0078134C" w:rsidRDefault="003712C9" w:rsidP="00BB261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8134C">
              <w:rPr>
                <w:rFonts w:ascii="Times New Roman" w:hAnsi="Times New Roman" w:cs="Times New Roman"/>
                <w:color w:val="000000" w:themeColor="text1"/>
                <w:sz w:val="20"/>
                <w:szCs w:val="20"/>
              </w:rPr>
              <w:t>Islamic (Mean / SD)</w:t>
            </w:r>
          </w:p>
        </w:tc>
      </w:tr>
      <w:tr w:rsidR="003712C9" w:rsidRPr="0078134C" w14:paraId="6CB766D2" w14:textId="77777777" w:rsidTr="00A77BA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493" w:type="dxa"/>
          </w:tcPr>
          <w:p w14:paraId="62A140F0" w14:textId="77777777" w:rsidR="003712C9" w:rsidRPr="0078134C" w:rsidRDefault="003712C9" w:rsidP="00BB2610">
            <w:pPr>
              <w:jc w:val="both"/>
              <w:rPr>
                <w:rFonts w:ascii="Times New Roman" w:hAnsi="Times New Roman" w:cs="Times New Roman"/>
              </w:rPr>
            </w:pPr>
            <w:r w:rsidRPr="0078134C">
              <w:rPr>
                <w:rFonts w:ascii="Times New Roman" w:hAnsi="Times New Roman" w:cs="Times New Roman"/>
                <w:b w:val="0"/>
                <w:bCs w:val="0"/>
                <w:color w:val="000000"/>
                <w:sz w:val="20"/>
                <w:szCs w:val="20"/>
              </w:rPr>
              <w:t>Operating Expense Ratio</w:t>
            </w:r>
          </w:p>
        </w:tc>
        <w:tc>
          <w:tcPr>
            <w:tcW w:w="2206" w:type="dxa"/>
          </w:tcPr>
          <w:p w14:paraId="5F451C1D"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2.42% / 0.63%</w:t>
            </w:r>
          </w:p>
        </w:tc>
        <w:tc>
          <w:tcPr>
            <w:tcW w:w="2206" w:type="dxa"/>
          </w:tcPr>
          <w:p w14:paraId="79547812"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2.42% / 0.79%</w:t>
            </w:r>
          </w:p>
        </w:tc>
        <w:tc>
          <w:tcPr>
            <w:tcW w:w="2206" w:type="dxa"/>
          </w:tcPr>
          <w:p w14:paraId="388F4E30"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2.41% / 0.43%</w:t>
            </w:r>
          </w:p>
        </w:tc>
      </w:tr>
      <w:tr w:rsidR="003712C9" w:rsidRPr="0078134C" w14:paraId="41683E8E" w14:textId="77777777" w:rsidTr="00A77BA6">
        <w:trPr>
          <w:trHeight w:val="320"/>
        </w:trPr>
        <w:tc>
          <w:tcPr>
            <w:cnfStyle w:val="001000000000" w:firstRow="0" w:lastRow="0" w:firstColumn="1" w:lastColumn="0" w:oddVBand="0" w:evenVBand="0" w:oddHBand="0" w:evenHBand="0" w:firstRowFirstColumn="0" w:firstRowLastColumn="0" w:lastRowFirstColumn="0" w:lastRowLastColumn="0"/>
            <w:tcW w:w="2493" w:type="dxa"/>
          </w:tcPr>
          <w:p w14:paraId="52F068E5" w14:textId="77777777" w:rsidR="003712C9" w:rsidRPr="0078134C" w:rsidRDefault="003712C9" w:rsidP="00BB2610">
            <w:pPr>
              <w:jc w:val="both"/>
              <w:rPr>
                <w:rFonts w:ascii="Times New Roman" w:hAnsi="Times New Roman" w:cs="Times New Roman"/>
              </w:rPr>
            </w:pPr>
            <w:r w:rsidRPr="0078134C">
              <w:rPr>
                <w:rFonts w:ascii="Times New Roman" w:hAnsi="Times New Roman" w:cs="Times New Roman"/>
                <w:b w:val="0"/>
                <w:bCs w:val="0"/>
                <w:color w:val="000000"/>
                <w:sz w:val="20"/>
                <w:szCs w:val="20"/>
              </w:rPr>
              <w:t>Cost-to-Income Ratio</w:t>
            </w:r>
          </w:p>
        </w:tc>
        <w:tc>
          <w:tcPr>
            <w:tcW w:w="2206" w:type="dxa"/>
          </w:tcPr>
          <w:p w14:paraId="6BF4F487"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53.66% / 16.10%</w:t>
            </w:r>
          </w:p>
        </w:tc>
        <w:tc>
          <w:tcPr>
            <w:tcW w:w="2206" w:type="dxa"/>
          </w:tcPr>
          <w:p w14:paraId="2F55C8FE"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61.98% / 15.43%</w:t>
            </w:r>
          </w:p>
        </w:tc>
        <w:tc>
          <w:tcPr>
            <w:tcW w:w="2206" w:type="dxa"/>
          </w:tcPr>
          <w:p w14:paraId="090C8C1F"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45.35% / 12.22%</w:t>
            </w:r>
          </w:p>
        </w:tc>
      </w:tr>
      <w:tr w:rsidR="003712C9" w:rsidRPr="0078134C" w14:paraId="5359D0B8" w14:textId="77777777" w:rsidTr="00A77BA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493" w:type="dxa"/>
          </w:tcPr>
          <w:p w14:paraId="57349764" w14:textId="77777777" w:rsidR="003712C9" w:rsidRPr="0078134C" w:rsidRDefault="003712C9" w:rsidP="00BB2610">
            <w:pPr>
              <w:jc w:val="both"/>
              <w:rPr>
                <w:rFonts w:ascii="Times New Roman" w:hAnsi="Times New Roman" w:cs="Times New Roman"/>
              </w:rPr>
            </w:pPr>
            <w:r w:rsidRPr="0078134C">
              <w:rPr>
                <w:rFonts w:ascii="Times New Roman" w:hAnsi="Times New Roman" w:cs="Times New Roman"/>
                <w:b w:val="0"/>
                <w:bCs w:val="0"/>
                <w:color w:val="000000"/>
                <w:sz w:val="20"/>
                <w:szCs w:val="20"/>
              </w:rPr>
              <w:t>ROA</w:t>
            </w:r>
          </w:p>
        </w:tc>
        <w:tc>
          <w:tcPr>
            <w:tcW w:w="2206" w:type="dxa"/>
          </w:tcPr>
          <w:p w14:paraId="17A0ADF3"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1.01% / 0.61%</w:t>
            </w:r>
          </w:p>
        </w:tc>
        <w:tc>
          <w:tcPr>
            <w:tcW w:w="2206" w:type="dxa"/>
          </w:tcPr>
          <w:p w14:paraId="0A3DF5DC"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0.68% / 0.34%</w:t>
            </w:r>
          </w:p>
        </w:tc>
        <w:tc>
          <w:tcPr>
            <w:tcW w:w="2206" w:type="dxa"/>
          </w:tcPr>
          <w:p w14:paraId="060D9D57"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1.34% / 0.65%</w:t>
            </w:r>
          </w:p>
        </w:tc>
      </w:tr>
      <w:tr w:rsidR="003712C9" w:rsidRPr="0078134C" w14:paraId="14F49EE8" w14:textId="77777777" w:rsidTr="00A77BA6">
        <w:trPr>
          <w:trHeight w:val="320"/>
        </w:trPr>
        <w:tc>
          <w:tcPr>
            <w:cnfStyle w:val="001000000000" w:firstRow="0" w:lastRow="0" w:firstColumn="1" w:lastColumn="0" w:oddVBand="0" w:evenVBand="0" w:oddHBand="0" w:evenHBand="0" w:firstRowFirstColumn="0" w:firstRowLastColumn="0" w:lastRowFirstColumn="0" w:lastRowLastColumn="0"/>
            <w:tcW w:w="2493" w:type="dxa"/>
          </w:tcPr>
          <w:p w14:paraId="37A912F0" w14:textId="77777777" w:rsidR="003712C9" w:rsidRPr="0078134C" w:rsidRDefault="003712C9" w:rsidP="00BB2610">
            <w:pPr>
              <w:jc w:val="both"/>
              <w:rPr>
                <w:rFonts w:ascii="Times New Roman" w:hAnsi="Times New Roman" w:cs="Times New Roman"/>
              </w:rPr>
            </w:pPr>
            <w:r w:rsidRPr="0078134C">
              <w:rPr>
                <w:rFonts w:ascii="Times New Roman" w:hAnsi="Times New Roman" w:cs="Times New Roman"/>
                <w:b w:val="0"/>
                <w:bCs w:val="0"/>
                <w:color w:val="000000"/>
                <w:sz w:val="20"/>
                <w:szCs w:val="20"/>
              </w:rPr>
              <w:t>ROE</w:t>
            </w:r>
          </w:p>
        </w:tc>
        <w:tc>
          <w:tcPr>
            <w:tcW w:w="2206" w:type="dxa"/>
          </w:tcPr>
          <w:p w14:paraId="6C4850D5"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17.20% / 10.75%</w:t>
            </w:r>
          </w:p>
        </w:tc>
        <w:tc>
          <w:tcPr>
            <w:tcW w:w="2206" w:type="dxa"/>
          </w:tcPr>
          <w:p w14:paraId="2D51FECE"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12.43% / 6.20%</w:t>
            </w:r>
          </w:p>
        </w:tc>
        <w:tc>
          <w:tcPr>
            <w:tcW w:w="2206" w:type="dxa"/>
          </w:tcPr>
          <w:p w14:paraId="3DA8EF64"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21.97% / 12.31%</w:t>
            </w:r>
          </w:p>
        </w:tc>
      </w:tr>
    </w:tbl>
    <w:p w14:paraId="0780DA04" w14:textId="604A0E6C" w:rsidR="003712C9" w:rsidRPr="0078134C" w:rsidRDefault="003712C9" w:rsidP="003712C9">
      <w:pPr>
        <w:spacing w:before="60" w:after="200"/>
        <w:jc w:val="both"/>
        <w:rPr>
          <w:rFonts w:ascii="Times New Roman" w:hAnsi="Times New Roman" w:cs="Times New Roman"/>
        </w:rPr>
      </w:pPr>
      <w:r w:rsidRPr="0078134C">
        <w:rPr>
          <w:rFonts w:ascii="Times New Roman" w:hAnsi="Times New Roman" w:cs="Times New Roman"/>
          <w:i/>
          <w:iCs/>
          <w:color w:val="555555"/>
          <w:sz w:val="20"/>
          <w:szCs w:val="20"/>
        </w:rPr>
        <w:t xml:space="preserve">Table 1. Descriptive statistics by bank type, 2019–2024 </w:t>
      </w:r>
    </w:p>
    <w:p w14:paraId="7538739D" w14:textId="2BCE8AAA" w:rsidR="003712C9" w:rsidRPr="0078134C" w:rsidRDefault="003712C9" w:rsidP="003712C9">
      <w:pPr>
        <w:jc w:val="both"/>
        <w:rPr>
          <w:rFonts w:ascii="Times New Roman" w:hAnsi="Times New Roman" w:cs="Times New Roman"/>
        </w:rPr>
      </w:pPr>
      <w:r w:rsidRPr="0078134C">
        <w:rPr>
          <w:rFonts w:ascii="Times New Roman" w:hAnsi="Times New Roman" w:cs="Times New Roman"/>
        </w:rPr>
        <w:t>Two things stand out before any comparison of averages is made. First, the Conventional group has the higher standard deviation on Operating Expense Ratio and Cost-to-Income Ratio (0.79% and 15.43% respectively, versus 0.43% and 12.22% for Islamic banks)</w:t>
      </w:r>
      <w:r w:rsidR="00E84586" w:rsidRPr="0078134C">
        <w:rPr>
          <w:rFonts w:ascii="Times New Roman" w:hAnsi="Times New Roman" w:cs="Times New Roman"/>
        </w:rPr>
        <w:t xml:space="preserve">, </w:t>
      </w:r>
      <w:r w:rsidRPr="0078134C">
        <w:rPr>
          <w:rFonts w:ascii="Times New Roman" w:hAnsi="Times New Roman" w:cs="Times New Roman"/>
        </w:rPr>
        <w:t xml:space="preserve">conventional bank cost ratios are </w:t>
      </w:r>
      <w:r w:rsidR="00E84586" w:rsidRPr="0078134C">
        <w:rPr>
          <w:rFonts w:ascii="Times New Roman" w:hAnsi="Times New Roman" w:cs="Times New Roman"/>
        </w:rPr>
        <w:t>more</w:t>
      </w:r>
      <w:r w:rsidRPr="0078134C">
        <w:rPr>
          <w:rFonts w:ascii="Times New Roman" w:hAnsi="Times New Roman" w:cs="Times New Roman"/>
        </w:rPr>
        <w:t xml:space="preserve"> volatile across this sample, not less. Second, the Islamic group's ROA and ROE standard deviations are wider in absolute terms (0.65% and 12.31% vs 0.34% and 6.20%), which is arithmetically expected given the group's higher mean, but it also reflects genuine heterogeneity within the Islamic group</w:t>
      </w:r>
      <w:r w:rsidR="00E84586" w:rsidRPr="0078134C">
        <w:rPr>
          <w:rFonts w:ascii="Times New Roman" w:hAnsi="Times New Roman" w:cs="Times New Roman"/>
        </w:rPr>
        <w:t>,</w:t>
      </w:r>
      <w:r w:rsidRPr="0078134C">
        <w:rPr>
          <w:rFonts w:ascii="Times New Roman" w:hAnsi="Times New Roman" w:cs="Times New Roman"/>
        </w:rPr>
        <w:t xml:space="preserve"> Dubai Islamic Bank's profitability profile is visibly different from Meezan's, a point returned to in </w:t>
      </w:r>
      <w:r w:rsidR="00E84586" w:rsidRPr="0078134C">
        <w:rPr>
          <w:rFonts w:ascii="Times New Roman" w:hAnsi="Times New Roman" w:cs="Times New Roman"/>
        </w:rPr>
        <w:t>next sections.</w:t>
      </w:r>
    </w:p>
    <w:p w14:paraId="11B835AA" w14:textId="7EA69DD9" w:rsidR="003712C9" w:rsidRPr="0078134C" w:rsidRDefault="003712C9" w:rsidP="003712C9">
      <w:pPr>
        <w:pStyle w:val="Heading2"/>
        <w:jc w:val="both"/>
        <w:rPr>
          <w:rFonts w:ascii="Times New Roman" w:hAnsi="Times New Roman" w:cs="Times New Roman"/>
        </w:rPr>
      </w:pPr>
      <w:bookmarkStart w:id="19" w:name="_Toc234122914"/>
      <w:r w:rsidRPr="0078134C">
        <w:rPr>
          <w:rFonts w:ascii="Times New Roman" w:hAnsi="Times New Roman" w:cs="Times New Roman"/>
        </w:rPr>
        <w:t>Trend Analysis, 2019–2024</w:t>
      </w:r>
      <w:bookmarkEnd w:id="19"/>
      <w:r w:rsidRPr="0078134C">
        <w:rPr>
          <w:rFonts w:ascii="Times New Roman" w:hAnsi="Times New Roman" w:cs="Times New Roman"/>
        </w:rPr>
        <w:t xml:space="preserve"> </w:t>
      </w:r>
    </w:p>
    <w:p w14:paraId="62EF7653" w14:textId="734529BF" w:rsidR="003712C9" w:rsidRPr="0078134C" w:rsidRDefault="003712C9" w:rsidP="003712C9">
      <w:pPr>
        <w:jc w:val="both"/>
        <w:rPr>
          <w:rFonts w:ascii="Times New Roman" w:hAnsi="Times New Roman" w:cs="Times New Roman"/>
        </w:rPr>
      </w:pPr>
      <w:r w:rsidRPr="0078134C">
        <w:rPr>
          <w:rFonts w:ascii="Times New Roman" w:hAnsi="Times New Roman" w:cs="Times New Roman"/>
        </w:rPr>
        <w:t>The Trend Chart plots three bank-by-bank line charts across the sample window.</w:t>
      </w:r>
    </w:p>
    <w:p w14:paraId="3859D8A9" w14:textId="3162F7D3" w:rsidR="00486BEF" w:rsidRPr="0078134C" w:rsidRDefault="00486BEF" w:rsidP="003712C9">
      <w:pPr>
        <w:jc w:val="both"/>
        <w:rPr>
          <w:rFonts w:ascii="Times New Roman" w:hAnsi="Times New Roman" w:cs="Times New Roman"/>
        </w:rPr>
      </w:pPr>
      <w:r w:rsidRPr="0078134C">
        <w:rPr>
          <w:rFonts w:ascii="Times New Roman" w:hAnsi="Times New Roman" w:cs="Times New Roman"/>
          <w:noProof/>
        </w:rPr>
        <w:lastRenderedPageBreak/>
        <w:drawing>
          <wp:inline distT="0" distB="0" distL="0" distR="0" wp14:anchorId="3CCA14D9" wp14:editId="66BA8CCE">
            <wp:extent cx="5641145" cy="3101926"/>
            <wp:effectExtent l="0" t="0" r="17145" b="3810"/>
            <wp:docPr id="59228280" name="Chart 1">
              <a:extLst xmlns:a="http://schemas.openxmlformats.org/drawingml/2006/main">
                <a:ext uri="{FF2B5EF4-FFF2-40B4-BE49-F238E27FC236}">
                  <a16:creationId xmlns:a16="http://schemas.microsoft.com/office/drawing/2014/main" id="{69E9980C-54F9-DC0C-CB35-28737D28BD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79B3781" w14:textId="16EDFC27" w:rsidR="003712C9" w:rsidRPr="0078134C" w:rsidRDefault="003712C9" w:rsidP="003712C9">
      <w:pPr>
        <w:spacing w:before="60" w:after="200"/>
        <w:jc w:val="both"/>
        <w:rPr>
          <w:rFonts w:ascii="Times New Roman" w:hAnsi="Times New Roman" w:cs="Times New Roman"/>
          <w:i/>
          <w:iCs/>
          <w:color w:val="555555"/>
          <w:sz w:val="20"/>
          <w:szCs w:val="20"/>
        </w:rPr>
      </w:pPr>
      <w:r w:rsidRPr="0078134C">
        <w:rPr>
          <w:rFonts w:ascii="Times New Roman" w:hAnsi="Times New Roman" w:cs="Times New Roman"/>
          <w:i/>
          <w:iCs/>
          <w:color w:val="555555"/>
          <w:sz w:val="20"/>
          <w:szCs w:val="20"/>
        </w:rPr>
        <w:t xml:space="preserve">Figure 1. Operating Expense Ratio Trend (2019–2024) — all six banks </w:t>
      </w:r>
    </w:p>
    <w:p w14:paraId="4EF5A927" w14:textId="6B8A1AAA" w:rsidR="00486BEF" w:rsidRPr="0078134C" w:rsidRDefault="00486BEF" w:rsidP="003712C9">
      <w:pPr>
        <w:spacing w:before="60" w:after="200"/>
        <w:jc w:val="both"/>
        <w:rPr>
          <w:rFonts w:ascii="Times New Roman" w:hAnsi="Times New Roman" w:cs="Times New Roman"/>
        </w:rPr>
      </w:pPr>
      <w:r w:rsidRPr="0078134C">
        <w:rPr>
          <w:rFonts w:ascii="Times New Roman" w:hAnsi="Times New Roman" w:cs="Times New Roman"/>
          <w:noProof/>
        </w:rPr>
        <w:drawing>
          <wp:inline distT="0" distB="0" distL="0" distR="0" wp14:anchorId="2C2DCC0B" wp14:editId="63D52292">
            <wp:extent cx="5658416" cy="2869949"/>
            <wp:effectExtent l="0" t="0" r="0" b="6985"/>
            <wp:docPr id="2062294227" name="Chart 1">
              <a:extLst xmlns:a="http://schemas.openxmlformats.org/drawingml/2006/main">
                <a:ext uri="{FF2B5EF4-FFF2-40B4-BE49-F238E27FC236}">
                  <a16:creationId xmlns:a16="http://schemas.microsoft.com/office/drawing/2014/main" id="{78D9F710-4631-B9B9-3203-95C2C11746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8AD122D" w14:textId="42EF1F10" w:rsidR="003712C9" w:rsidRPr="0078134C" w:rsidRDefault="003712C9" w:rsidP="003712C9">
      <w:pPr>
        <w:spacing w:before="60" w:after="200"/>
        <w:jc w:val="both"/>
        <w:rPr>
          <w:rFonts w:ascii="Times New Roman" w:hAnsi="Times New Roman" w:cs="Times New Roman"/>
          <w:i/>
          <w:iCs/>
          <w:color w:val="555555"/>
          <w:sz w:val="20"/>
          <w:szCs w:val="20"/>
        </w:rPr>
      </w:pPr>
      <w:r w:rsidRPr="0078134C">
        <w:rPr>
          <w:rFonts w:ascii="Times New Roman" w:hAnsi="Times New Roman" w:cs="Times New Roman"/>
          <w:i/>
          <w:iCs/>
          <w:color w:val="555555"/>
          <w:sz w:val="20"/>
          <w:szCs w:val="20"/>
        </w:rPr>
        <w:t xml:space="preserve">Figure 2. Cost-to-Income Ratio Trend (2019–2024) — all six banks </w:t>
      </w:r>
    </w:p>
    <w:p w14:paraId="4487F917" w14:textId="3AEF5DF5" w:rsidR="00486BEF" w:rsidRPr="0078134C" w:rsidRDefault="00486BEF" w:rsidP="00987FAE">
      <w:pPr>
        <w:spacing w:before="60" w:after="200"/>
        <w:rPr>
          <w:rFonts w:ascii="Times New Roman" w:hAnsi="Times New Roman" w:cs="Times New Roman"/>
        </w:rPr>
      </w:pPr>
      <w:r w:rsidRPr="0078134C">
        <w:rPr>
          <w:rFonts w:ascii="Times New Roman" w:hAnsi="Times New Roman" w:cs="Times New Roman"/>
          <w:noProof/>
        </w:rPr>
        <w:lastRenderedPageBreak/>
        <w:drawing>
          <wp:inline distT="0" distB="0" distL="0" distR="0" wp14:anchorId="0BF4587F" wp14:editId="466F5A93">
            <wp:extent cx="5657850" cy="3014804"/>
            <wp:effectExtent l="0" t="0" r="0" b="14605"/>
            <wp:docPr id="1677301187" name="Chart 1">
              <a:extLst xmlns:a="http://schemas.openxmlformats.org/drawingml/2006/main">
                <a:ext uri="{FF2B5EF4-FFF2-40B4-BE49-F238E27FC236}">
                  <a16:creationId xmlns:a16="http://schemas.microsoft.com/office/drawing/2014/main" id="{B9701A03-A414-E3E6-7BEF-52E61D2D8C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29F18AB" w14:textId="6ED39DE5" w:rsidR="003712C9" w:rsidRPr="0078134C" w:rsidRDefault="003712C9" w:rsidP="003712C9">
      <w:pPr>
        <w:spacing w:before="60" w:after="200"/>
        <w:jc w:val="both"/>
        <w:rPr>
          <w:rFonts w:ascii="Times New Roman" w:hAnsi="Times New Roman" w:cs="Times New Roman"/>
        </w:rPr>
      </w:pPr>
      <w:r w:rsidRPr="0078134C">
        <w:rPr>
          <w:rFonts w:ascii="Times New Roman" w:hAnsi="Times New Roman" w:cs="Times New Roman"/>
          <w:i/>
          <w:iCs/>
          <w:color w:val="555555"/>
          <w:sz w:val="20"/>
          <w:szCs w:val="20"/>
        </w:rPr>
        <w:t xml:space="preserve">Figure 3. ROA Trend (2019–2024) — all six banks </w:t>
      </w:r>
    </w:p>
    <w:p w14:paraId="0C824D8A" w14:textId="3E881AD8" w:rsidR="003712C9" w:rsidRPr="0078134C" w:rsidRDefault="003712C9" w:rsidP="003712C9">
      <w:pPr>
        <w:jc w:val="both"/>
        <w:rPr>
          <w:rFonts w:ascii="Times New Roman" w:hAnsi="Times New Roman" w:cs="Times New Roman"/>
        </w:rPr>
      </w:pPr>
      <w:r w:rsidRPr="0078134C">
        <w:rPr>
          <w:rFonts w:ascii="Times New Roman" w:hAnsi="Times New Roman" w:cs="Times New Roman"/>
        </w:rPr>
        <w:t>Figures 1–3 show a consistent pattern: Meezan Bank's Operating Expense Ratio and Cost-to-Income Ratio decline steadily across the window (from 2.21% and 44.45% in 2019 to 2.04% and 25.17% in 2024), while its ROA climbs from 1.36% to 2.60% over the same period</w:t>
      </w:r>
      <w:r w:rsidR="006E04A5" w:rsidRPr="0078134C">
        <w:rPr>
          <w:rFonts w:ascii="Times New Roman" w:hAnsi="Times New Roman" w:cs="Times New Roman"/>
        </w:rPr>
        <w:t>,</w:t>
      </w:r>
      <w:r w:rsidRPr="0078134C">
        <w:rPr>
          <w:rFonts w:ascii="Times New Roman" w:hAnsi="Times New Roman" w:cs="Times New Roman"/>
        </w:rPr>
        <w:t xml:space="preserve"> the single clearest illustration in the dataset of a bank becoming simultaneously cheaper to run and more profitable. JS Bank moves in the opposite direction: its Operating Expense Ratio nearly doubles, from 2.29% in 2019 to 4.30% in 2024, while its ROA remains the lowest in the sample throughout. Askari and HBL, the two larger conventional banks, show comparatively flat or mildly worsening cost ratios post-2022, consistent with sector-wide margin pressure. The trend lines therefore already hint that “bank type” is not the whole story</w:t>
      </w:r>
      <w:r w:rsidR="006E04A5" w:rsidRPr="0078134C">
        <w:rPr>
          <w:rFonts w:ascii="Times New Roman" w:hAnsi="Times New Roman" w:cs="Times New Roman"/>
        </w:rPr>
        <w:t xml:space="preserve">, </w:t>
      </w:r>
      <w:r w:rsidRPr="0078134C">
        <w:rPr>
          <w:rFonts w:ascii="Times New Roman" w:hAnsi="Times New Roman" w:cs="Times New Roman"/>
        </w:rPr>
        <w:t xml:space="preserve">there is meaningful within-group dispersion that the type-level averages </w:t>
      </w:r>
      <w:r w:rsidR="006E04A5" w:rsidRPr="0078134C">
        <w:rPr>
          <w:rFonts w:ascii="Times New Roman" w:hAnsi="Times New Roman" w:cs="Times New Roman"/>
        </w:rPr>
        <w:t xml:space="preserve">that next section </w:t>
      </w:r>
      <w:r w:rsidRPr="0078134C">
        <w:rPr>
          <w:rFonts w:ascii="Times New Roman" w:hAnsi="Times New Roman" w:cs="Times New Roman"/>
        </w:rPr>
        <w:t>will compress.</w:t>
      </w:r>
    </w:p>
    <w:p w14:paraId="7DE54C72" w14:textId="2446C873" w:rsidR="003712C9" w:rsidRPr="0078134C" w:rsidRDefault="003712C9" w:rsidP="003712C9">
      <w:pPr>
        <w:pStyle w:val="Heading2"/>
        <w:jc w:val="both"/>
        <w:rPr>
          <w:rFonts w:ascii="Times New Roman" w:hAnsi="Times New Roman" w:cs="Times New Roman"/>
        </w:rPr>
      </w:pPr>
      <w:bookmarkStart w:id="20" w:name="_Toc234122915"/>
      <w:r w:rsidRPr="0078134C">
        <w:rPr>
          <w:rFonts w:ascii="Times New Roman" w:hAnsi="Times New Roman" w:cs="Times New Roman"/>
        </w:rPr>
        <w:t>Comparative Averages by Bank Type</w:t>
      </w:r>
      <w:bookmarkEnd w:id="20"/>
    </w:p>
    <w:p w14:paraId="60B29CC9" w14:textId="3099082A" w:rsidR="003712C9" w:rsidRPr="0078134C" w:rsidRDefault="003712C9" w:rsidP="003712C9">
      <w:pPr>
        <w:jc w:val="both"/>
        <w:rPr>
          <w:rFonts w:ascii="Times New Roman" w:hAnsi="Times New Roman" w:cs="Times New Roman"/>
        </w:rPr>
      </w:pPr>
      <w:r w:rsidRPr="0078134C">
        <w:rPr>
          <w:rFonts w:ascii="Times New Roman" w:hAnsi="Times New Roman" w:cs="Times New Roman"/>
        </w:rPr>
        <w:t xml:space="preserve">The </w:t>
      </w:r>
      <w:r w:rsidR="006E04A5" w:rsidRPr="0078134C">
        <w:rPr>
          <w:rFonts w:ascii="Times New Roman" w:hAnsi="Times New Roman" w:cs="Times New Roman"/>
        </w:rPr>
        <w:t>Comparative</w:t>
      </w:r>
      <w:r w:rsidRPr="0078134C">
        <w:rPr>
          <w:rFonts w:ascii="Times New Roman" w:hAnsi="Times New Roman" w:cs="Times New Roman"/>
        </w:rPr>
        <w:t xml:space="preserve"> Analysis tab computes the group average for each ratio and the percentage difference of the Islamic average relative to the Conventional average. Three of the six ratios are also charted directly in the Comparison Charts. Each ratio is discussed in turn below.</w:t>
      </w:r>
    </w:p>
    <w:p w14:paraId="3F35B019" w14:textId="08B9D5EB" w:rsidR="003712C9" w:rsidRPr="0078134C" w:rsidRDefault="003712C9" w:rsidP="003712C9">
      <w:pPr>
        <w:pStyle w:val="Heading3"/>
        <w:jc w:val="both"/>
        <w:rPr>
          <w:rFonts w:ascii="Times New Roman" w:hAnsi="Times New Roman" w:cs="Times New Roman"/>
        </w:rPr>
      </w:pPr>
      <w:bookmarkStart w:id="21" w:name="_Toc234122916"/>
      <w:r w:rsidRPr="0078134C">
        <w:rPr>
          <w:rFonts w:ascii="Times New Roman" w:hAnsi="Times New Roman" w:cs="Times New Roman"/>
        </w:rPr>
        <w:t>Operating Expense Ratio</w:t>
      </w:r>
      <w:bookmarkEnd w:id="21"/>
    </w:p>
    <w:p w14:paraId="09B18A33" w14:textId="77777777" w:rsidR="003712C9" w:rsidRPr="0078134C" w:rsidRDefault="003712C9" w:rsidP="003712C9">
      <w:pPr>
        <w:jc w:val="both"/>
        <w:rPr>
          <w:rFonts w:ascii="Times New Roman" w:hAnsi="Times New Roman" w:cs="Times New Roman"/>
        </w:rPr>
      </w:pPr>
      <w:r w:rsidRPr="0078134C">
        <w:rPr>
          <w:rFonts w:ascii="Times New Roman" w:hAnsi="Times New Roman" w:cs="Times New Roman"/>
        </w:rPr>
        <w:t>Conventional average: 2.417%. Islamic average: 2.414%. Percentage difference: −0.11% (Islamic banks are, in effect, identical to conventional banks on this measure).</w:t>
      </w:r>
    </w:p>
    <w:p w14:paraId="4F466954" w14:textId="34E83947" w:rsidR="00987FAE" w:rsidRPr="0078134C" w:rsidRDefault="00203B5A" w:rsidP="003712C9">
      <w:pPr>
        <w:jc w:val="both"/>
        <w:rPr>
          <w:rFonts w:ascii="Times New Roman" w:hAnsi="Times New Roman" w:cs="Times New Roman"/>
        </w:rPr>
      </w:pPr>
      <w:r w:rsidRPr="0078134C">
        <w:rPr>
          <w:rFonts w:ascii="Times New Roman" w:hAnsi="Times New Roman" w:cs="Times New Roman"/>
          <w:noProof/>
        </w:rPr>
        <w:lastRenderedPageBreak/>
        <w:drawing>
          <wp:inline distT="0" distB="0" distL="0" distR="0" wp14:anchorId="4BEA23DF" wp14:editId="4D1E44DF">
            <wp:extent cx="5697415" cy="2904979"/>
            <wp:effectExtent l="0" t="0" r="17780" b="10160"/>
            <wp:docPr id="1719587183" name="Chart 1">
              <a:extLst xmlns:a="http://schemas.openxmlformats.org/drawingml/2006/main">
                <a:ext uri="{FF2B5EF4-FFF2-40B4-BE49-F238E27FC236}">
                  <a16:creationId xmlns:a16="http://schemas.microsoft.com/office/drawing/2014/main" id="{2609DEF1-F797-18D8-5C38-753356CB7C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B0F7534" w14:textId="1E287845" w:rsidR="003712C9" w:rsidRPr="0078134C" w:rsidRDefault="003712C9" w:rsidP="003712C9">
      <w:pPr>
        <w:spacing w:before="60" w:after="200"/>
        <w:jc w:val="both"/>
        <w:rPr>
          <w:rFonts w:ascii="Times New Roman" w:hAnsi="Times New Roman" w:cs="Times New Roman"/>
        </w:rPr>
      </w:pPr>
      <w:r w:rsidRPr="0078134C">
        <w:rPr>
          <w:rFonts w:ascii="Times New Roman" w:hAnsi="Times New Roman" w:cs="Times New Roman"/>
          <w:i/>
          <w:iCs/>
          <w:color w:val="555555"/>
          <w:sz w:val="20"/>
          <w:szCs w:val="20"/>
        </w:rPr>
        <w:t xml:space="preserve">Figure 4. Operating Expense Ratio Comparison, by year and bank type </w:t>
      </w:r>
    </w:p>
    <w:p w14:paraId="1B105251" w14:textId="58879711" w:rsidR="003712C9" w:rsidRPr="0078134C" w:rsidRDefault="003712C9" w:rsidP="003712C9">
      <w:pPr>
        <w:jc w:val="both"/>
        <w:rPr>
          <w:rFonts w:ascii="Times New Roman" w:hAnsi="Times New Roman" w:cs="Times New Roman"/>
        </w:rPr>
      </w:pPr>
      <w:r w:rsidRPr="0078134C">
        <w:rPr>
          <w:rFonts w:ascii="Times New Roman" w:hAnsi="Times New Roman" w:cs="Times New Roman"/>
        </w:rPr>
        <w:t>This is the ratio the popular belief rests on most directly</w:t>
      </w:r>
      <w:r w:rsidR="00081F91" w:rsidRPr="0078134C">
        <w:rPr>
          <w:rFonts w:ascii="Times New Roman" w:hAnsi="Times New Roman" w:cs="Times New Roman"/>
        </w:rPr>
        <w:t>,</w:t>
      </w:r>
      <w:r w:rsidRPr="0078134C">
        <w:rPr>
          <w:rFonts w:ascii="Times New Roman" w:hAnsi="Times New Roman" w:cs="Times New Roman"/>
        </w:rPr>
        <w:t xml:space="preserve"> the claim is that Islamic banks carry a heavier cost base relative to their asset size. The data does not support that claim for this sample: the two averages are within one-tenth of a percentage point of each other, and Figure 4 shows the yearly Islamic-vs-Conventional gap flipping sign more than once across 2019–2024 rather than sitting persistently above the conventional line. If Islamic banking carried a structurally higher cost burden, it should show up here first, and it does not.</w:t>
      </w:r>
    </w:p>
    <w:p w14:paraId="5C329BCE" w14:textId="23BA5736" w:rsidR="003712C9" w:rsidRPr="0078134C" w:rsidRDefault="003712C9" w:rsidP="003712C9">
      <w:pPr>
        <w:pStyle w:val="Heading3"/>
        <w:jc w:val="both"/>
        <w:rPr>
          <w:rFonts w:ascii="Times New Roman" w:hAnsi="Times New Roman" w:cs="Times New Roman"/>
        </w:rPr>
      </w:pPr>
      <w:bookmarkStart w:id="22" w:name="_Toc234122917"/>
      <w:r w:rsidRPr="0078134C">
        <w:rPr>
          <w:rFonts w:ascii="Times New Roman" w:hAnsi="Times New Roman" w:cs="Times New Roman"/>
        </w:rPr>
        <w:t>Cost-to-Income Ratio</w:t>
      </w:r>
      <w:bookmarkEnd w:id="22"/>
    </w:p>
    <w:p w14:paraId="1C901863" w14:textId="77777777" w:rsidR="003712C9" w:rsidRPr="0078134C" w:rsidRDefault="003712C9" w:rsidP="003712C9">
      <w:pPr>
        <w:jc w:val="both"/>
        <w:rPr>
          <w:rFonts w:ascii="Times New Roman" w:hAnsi="Times New Roman" w:cs="Times New Roman"/>
        </w:rPr>
      </w:pPr>
      <w:r w:rsidRPr="0078134C">
        <w:rPr>
          <w:rFonts w:ascii="Times New Roman" w:hAnsi="Times New Roman" w:cs="Times New Roman"/>
        </w:rPr>
        <w:t>Conventional average: 61.98%. Islamic average: 45.35%. Percentage difference: −26.83% (Islamic banks spend markedly less per unit of income generated).</w:t>
      </w:r>
    </w:p>
    <w:p w14:paraId="7875B541" w14:textId="2AE9F03B" w:rsidR="00BD6168" w:rsidRPr="0078134C" w:rsidRDefault="00BD6168" w:rsidP="003712C9">
      <w:pPr>
        <w:jc w:val="both"/>
        <w:rPr>
          <w:rFonts w:ascii="Times New Roman" w:hAnsi="Times New Roman" w:cs="Times New Roman"/>
        </w:rPr>
      </w:pPr>
      <w:r w:rsidRPr="0078134C">
        <w:rPr>
          <w:rFonts w:ascii="Times New Roman" w:hAnsi="Times New Roman" w:cs="Times New Roman"/>
          <w:noProof/>
        </w:rPr>
        <w:drawing>
          <wp:inline distT="0" distB="0" distL="0" distR="0" wp14:anchorId="6BB1D49B" wp14:editId="5952D38E">
            <wp:extent cx="5648178" cy="2933114"/>
            <wp:effectExtent l="0" t="0" r="10160" b="635"/>
            <wp:docPr id="534098979" name="Chart 1">
              <a:extLst xmlns:a="http://schemas.openxmlformats.org/drawingml/2006/main">
                <a:ext uri="{FF2B5EF4-FFF2-40B4-BE49-F238E27FC236}">
                  <a16:creationId xmlns:a16="http://schemas.microsoft.com/office/drawing/2014/main" id="{E66D6CC3-133B-FC3A-11C6-DF8F70B33C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F044CAE" w14:textId="77777777" w:rsidR="003712C9" w:rsidRPr="0078134C" w:rsidRDefault="003712C9" w:rsidP="003712C9">
      <w:pPr>
        <w:spacing w:before="60" w:after="200"/>
        <w:jc w:val="both"/>
        <w:rPr>
          <w:rFonts w:ascii="Times New Roman" w:hAnsi="Times New Roman" w:cs="Times New Roman"/>
        </w:rPr>
      </w:pPr>
      <w:r w:rsidRPr="0078134C">
        <w:rPr>
          <w:rFonts w:ascii="Times New Roman" w:hAnsi="Times New Roman" w:cs="Times New Roman"/>
          <w:i/>
          <w:iCs/>
          <w:color w:val="555555"/>
          <w:sz w:val="20"/>
          <w:szCs w:val="20"/>
        </w:rPr>
        <w:t>Figure 5. Cost-to-Income Ratio Comparison, by year and bank type (source: ‘Comparison Charts’ tab).</w:t>
      </w:r>
    </w:p>
    <w:p w14:paraId="42FE8A53" w14:textId="52FF9507" w:rsidR="003712C9" w:rsidRPr="0078134C" w:rsidRDefault="003712C9" w:rsidP="003712C9">
      <w:pPr>
        <w:jc w:val="both"/>
        <w:rPr>
          <w:rFonts w:ascii="Times New Roman" w:hAnsi="Times New Roman" w:cs="Times New Roman"/>
        </w:rPr>
      </w:pPr>
      <w:r w:rsidRPr="0078134C">
        <w:rPr>
          <w:rFonts w:ascii="Times New Roman" w:hAnsi="Times New Roman" w:cs="Times New Roman"/>
        </w:rPr>
        <w:t xml:space="preserve">This is the ratio that most directly contradicts the popular belief. Operating Expense Ratio told us the two groups spend a similar share of their balance sheet on running costs; Cost-to-Income Ratio tells us </w:t>
      </w:r>
      <w:r w:rsidRPr="0078134C">
        <w:rPr>
          <w:rFonts w:ascii="Times New Roman" w:hAnsi="Times New Roman" w:cs="Times New Roman"/>
        </w:rPr>
        <w:lastRenderedPageBreak/>
        <w:t>that, per rupee of income earned, Islamic banks spend roughly 27% less than conventional banks. Put the two results together and a first explanation emerges: Islamic banks are not cheaper to run in absolute terms, they are simply better at converting a similar cost base into income</w:t>
      </w:r>
      <w:r w:rsidR="00081F91" w:rsidRPr="0078134C">
        <w:rPr>
          <w:rFonts w:ascii="Times New Roman" w:hAnsi="Times New Roman" w:cs="Times New Roman"/>
        </w:rPr>
        <w:t xml:space="preserve">, </w:t>
      </w:r>
      <w:r w:rsidRPr="0078134C">
        <w:rPr>
          <w:rFonts w:ascii="Times New Roman" w:hAnsi="Times New Roman" w:cs="Times New Roman"/>
        </w:rPr>
        <w:t>which points toward the revenue side (asset composition and financing structure) rather than the cost side as the real driver of the profitability gap explored next.</w:t>
      </w:r>
    </w:p>
    <w:p w14:paraId="3A0D6732" w14:textId="647425D4" w:rsidR="003712C9" w:rsidRPr="0078134C" w:rsidRDefault="003712C9" w:rsidP="003712C9">
      <w:pPr>
        <w:pStyle w:val="Heading3"/>
        <w:jc w:val="both"/>
        <w:rPr>
          <w:rFonts w:ascii="Times New Roman" w:hAnsi="Times New Roman" w:cs="Times New Roman"/>
        </w:rPr>
      </w:pPr>
      <w:bookmarkStart w:id="23" w:name="_Toc234122918"/>
      <w:r w:rsidRPr="0078134C">
        <w:rPr>
          <w:rFonts w:ascii="Times New Roman" w:hAnsi="Times New Roman" w:cs="Times New Roman"/>
        </w:rPr>
        <w:t>Return on Assets (ROA)</w:t>
      </w:r>
      <w:bookmarkEnd w:id="23"/>
    </w:p>
    <w:p w14:paraId="2F3CC939" w14:textId="77777777" w:rsidR="003712C9" w:rsidRPr="0078134C" w:rsidRDefault="003712C9" w:rsidP="003712C9">
      <w:pPr>
        <w:jc w:val="both"/>
        <w:rPr>
          <w:rFonts w:ascii="Times New Roman" w:hAnsi="Times New Roman" w:cs="Times New Roman"/>
        </w:rPr>
      </w:pPr>
      <w:r w:rsidRPr="0078134C">
        <w:rPr>
          <w:rFonts w:ascii="Times New Roman" w:hAnsi="Times New Roman" w:cs="Times New Roman"/>
        </w:rPr>
        <w:t>Conventional average: 0.68%. Islamic average: 1.34%. Percentage difference: +96.40% (Islamic ROA is nearly double the conventional average).</w:t>
      </w:r>
    </w:p>
    <w:p w14:paraId="4A00644D" w14:textId="54DF825C" w:rsidR="003712C9" w:rsidRPr="0078134C" w:rsidRDefault="0037329C" w:rsidP="003712C9">
      <w:pPr>
        <w:jc w:val="both"/>
        <w:rPr>
          <w:rFonts w:ascii="Times New Roman" w:hAnsi="Times New Roman" w:cs="Times New Roman"/>
        </w:rPr>
      </w:pPr>
      <w:r w:rsidRPr="0078134C">
        <w:rPr>
          <w:rFonts w:ascii="Times New Roman" w:hAnsi="Times New Roman" w:cs="Times New Roman"/>
        </w:rPr>
        <w:t xml:space="preserve">The </w:t>
      </w:r>
      <w:r w:rsidR="003712C9" w:rsidRPr="0078134C">
        <w:rPr>
          <w:rFonts w:ascii="Times New Roman" w:hAnsi="Times New Roman" w:cs="Times New Roman"/>
        </w:rPr>
        <w:t xml:space="preserve">underlying yearly series is visible in Figure 3 and the type-level average is reported directly in the </w:t>
      </w:r>
      <w:r w:rsidR="00081F91" w:rsidRPr="0078134C">
        <w:rPr>
          <w:rFonts w:ascii="Times New Roman" w:hAnsi="Times New Roman" w:cs="Times New Roman"/>
        </w:rPr>
        <w:t>Comparative</w:t>
      </w:r>
      <w:r w:rsidR="003712C9" w:rsidRPr="0078134C">
        <w:rPr>
          <w:rFonts w:ascii="Times New Roman" w:hAnsi="Times New Roman" w:cs="Times New Roman"/>
        </w:rPr>
        <w:t xml:space="preserve"> Analysis</w:t>
      </w:r>
      <w:r w:rsidR="00081F91" w:rsidRPr="0078134C">
        <w:rPr>
          <w:rFonts w:ascii="Times New Roman" w:hAnsi="Times New Roman" w:cs="Times New Roman"/>
        </w:rPr>
        <w:t>.</w:t>
      </w:r>
      <w:r w:rsidR="003712C9" w:rsidRPr="0078134C">
        <w:rPr>
          <w:rFonts w:ascii="Times New Roman" w:hAnsi="Times New Roman" w:cs="Times New Roman"/>
        </w:rPr>
        <w:t xml:space="preserve"> A near-doubling of ROA is a large effect for a six-bank, six-year sample, and it is the single number in this workbook most at odds with the “lower efficiency, therefore lower returns” narrative</w:t>
      </w:r>
      <w:r w:rsidR="00040B7D" w:rsidRPr="0078134C">
        <w:rPr>
          <w:rFonts w:ascii="Times New Roman" w:hAnsi="Times New Roman" w:cs="Times New Roman"/>
        </w:rPr>
        <w:t xml:space="preserve"> </w:t>
      </w:r>
      <w:r w:rsidR="003712C9" w:rsidRPr="0078134C">
        <w:rPr>
          <w:rFonts w:ascii="Times New Roman" w:hAnsi="Times New Roman" w:cs="Times New Roman"/>
        </w:rPr>
        <w:t>on the profitability metric the narrative is actually built to explain, Islamic banks in this sample do not underperform; they outperform by a wide margin.</w:t>
      </w:r>
    </w:p>
    <w:p w14:paraId="0C14BA96" w14:textId="537722EA" w:rsidR="003712C9" w:rsidRPr="0078134C" w:rsidRDefault="003712C9" w:rsidP="003712C9">
      <w:pPr>
        <w:pStyle w:val="Heading3"/>
        <w:jc w:val="both"/>
        <w:rPr>
          <w:rFonts w:ascii="Times New Roman" w:hAnsi="Times New Roman" w:cs="Times New Roman"/>
        </w:rPr>
      </w:pPr>
      <w:bookmarkStart w:id="24" w:name="_Toc234122919"/>
      <w:r w:rsidRPr="0078134C">
        <w:rPr>
          <w:rFonts w:ascii="Times New Roman" w:hAnsi="Times New Roman" w:cs="Times New Roman"/>
        </w:rPr>
        <w:t>Return on Equity (ROE)</w:t>
      </w:r>
      <w:bookmarkEnd w:id="24"/>
    </w:p>
    <w:p w14:paraId="1246D374" w14:textId="77777777" w:rsidR="003712C9" w:rsidRPr="0078134C" w:rsidRDefault="003712C9" w:rsidP="003712C9">
      <w:pPr>
        <w:jc w:val="both"/>
        <w:rPr>
          <w:rFonts w:ascii="Times New Roman" w:hAnsi="Times New Roman" w:cs="Times New Roman"/>
        </w:rPr>
      </w:pPr>
      <w:r w:rsidRPr="0078134C">
        <w:rPr>
          <w:rFonts w:ascii="Times New Roman" w:hAnsi="Times New Roman" w:cs="Times New Roman"/>
        </w:rPr>
        <w:t>Conventional average: 12.43%. Islamic average: 21.97%. Percentage difference: +76.84%.</w:t>
      </w:r>
    </w:p>
    <w:p w14:paraId="422ABD24" w14:textId="3AE7176C" w:rsidR="003712C9" w:rsidRPr="0078134C" w:rsidRDefault="003712C9" w:rsidP="003712C9">
      <w:pPr>
        <w:jc w:val="both"/>
        <w:rPr>
          <w:rFonts w:ascii="Times New Roman" w:hAnsi="Times New Roman" w:cs="Times New Roman"/>
        </w:rPr>
      </w:pPr>
      <w:r w:rsidRPr="0078134C">
        <w:rPr>
          <w:rFonts w:ascii="Times New Roman" w:hAnsi="Times New Roman" w:cs="Times New Roman"/>
        </w:rPr>
        <w:t>ROE tells the same story as ROA with the leverage effect layered in. Because Islamic banks in this sample are also somewhat less equity-leveraged on average, part of the ROE gap is a capital-structure effect rather than a pure operating-performance effect</w:t>
      </w:r>
      <w:r w:rsidR="00040B7D" w:rsidRPr="0078134C">
        <w:rPr>
          <w:rFonts w:ascii="Times New Roman" w:hAnsi="Times New Roman" w:cs="Times New Roman"/>
        </w:rPr>
        <w:t xml:space="preserve">, </w:t>
      </w:r>
      <w:r w:rsidRPr="0078134C">
        <w:rPr>
          <w:rFonts w:ascii="Times New Roman" w:hAnsi="Times New Roman" w:cs="Times New Roman"/>
        </w:rPr>
        <w:t xml:space="preserve">but even allowing for that, a 76.8% average ROE premium is too large to be explained by capital structure </w:t>
      </w:r>
      <w:r w:rsidR="004E685E" w:rsidRPr="0078134C">
        <w:rPr>
          <w:rFonts w:ascii="Times New Roman" w:hAnsi="Times New Roman" w:cs="Times New Roman"/>
        </w:rPr>
        <w:t>alone and</w:t>
      </w:r>
      <w:r w:rsidRPr="0078134C">
        <w:rPr>
          <w:rFonts w:ascii="Times New Roman" w:hAnsi="Times New Roman" w:cs="Times New Roman"/>
        </w:rPr>
        <w:t xml:space="preserve"> is directionally consistent with the ROA finding above.</w:t>
      </w:r>
    </w:p>
    <w:p w14:paraId="7CA6EA29" w14:textId="370EC94C" w:rsidR="003712C9" w:rsidRPr="0078134C" w:rsidRDefault="003712C9" w:rsidP="003712C9">
      <w:pPr>
        <w:pStyle w:val="Heading3"/>
        <w:jc w:val="both"/>
        <w:rPr>
          <w:rFonts w:ascii="Times New Roman" w:hAnsi="Times New Roman" w:cs="Times New Roman"/>
        </w:rPr>
      </w:pPr>
      <w:bookmarkStart w:id="25" w:name="_Toc234122920"/>
      <w:r w:rsidRPr="0078134C">
        <w:rPr>
          <w:rFonts w:ascii="Times New Roman" w:hAnsi="Times New Roman" w:cs="Times New Roman"/>
        </w:rPr>
        <w:t>Cash-to-Assets Ratio</w:t>
      </w:r>
      <w:bookmarkEnd w:id="25"/>
    </w:p>
    <w:p w14:paraId="2A72302A" w14:textId="77777777" w:rsidR="003712C9" w:rsidRPr="0078134C" w:rsidRDefault="003712C9" w:rsidP="003712C9">
      <w:pPr>
        <w:jc w:val="both"/>
        <w:rPr>
          <w:rFonts w:ascii="Times New Roman" w:hAnsi="Times New Roman" w:cs="Times New Roman"/>
        </w:rPr>
      </w:pPr>
      <w:r w:rsidRPr="0078134C">
        <w:rPr>
          <w:rFonts w:ascii="Times New Roman" w:hAnsi="Times New Roman" w:cs="Times New Roman"/>
        </w:rPr>
        <w:t>Conventional average: 7.11%. Islamic average: 7.11%. Percentage difference: −0.14% (effectively no difference).</w:t>
      </w:r>
    </w:p>
    <w:p w14:paraId="31711DF2" w14:textId="45BE792E" w:rsidR="00A46249" w:rsidRPr="0078134C" w:rsidRDefault="00A46249" w:rsidP="003712C9">
      <w:pPr>
        <w:jc w:val="both"/>
        <w:rPr>
          <w:rFonts w:ascii="Times New Roman" w:hAnsi="Times New Roman" w:cs="Times New Roman"/>
        </w:rPr>
      </w:pPr>
      <w:r w:rsidRPr="0078134C">
        <w:rPr>
          <w:rFonts w:ascii="Times New Roman" w:hAnsi="Times New Roman" w:cs="Times New Roman"/>
          <w:noProof/>
        </w:rPr>
        <w:drawing>
          <wp:inline distT="0" distB="0" distL="0" distR="0" wp14:anchorId="373BA431" wp14:editId="3CF848C5">
            <wp:extent cx="5704449" cy="2897945"/>
            <wp:effectExtent l="0" t="0" r="10795" b="17145"/>
            <wp:docPr id="1120401735" name="Chart 1">
              <a:extLst xmlns:a="http://schemas.openxmlformats.org/drawingml/2006/main">
                <a:ext uri="{FF2B5EF4-FFF2-40B4-BE49-F238E27FC236}">
                  <a16:creationId xmlns:a16="http://schemas.microsoft.com/office/drawing/2014/main" id="{547C01DC-FD02-5BE5-4285-BC95D9758F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9AE8C1A" w14:textId="52980CE8" w:rsidR="003712C9" w:rsidRPr="0078134C" w:rsidRDefault="003712C9" w:rsidP="003712C9">
      <w:pPr>
        <w:spacing w:before="60" w:after="200"/>
        <w:jc w:val="both"/>
        <w:rPr>
          <w:rFonts w:ascii="Times New Roman" w:hAnsi="Times New Roman" w:cs="Times New Roman"/>
        </w:rPr>
      </w:pPr>
      <w:r w:rsidRPr="0078134C">
        <w:rPr>
          <w:rFonts w:ascii="Times New Roman" w:hAnsi="Times New Roman" w:cs="Times New Roman"/>
          <w:i/>
          <w:iCs/>
          <w:color w:val="555555"/>
          <w:sz w:val="20"/>
          <w:szCs w:val="20"/>
        </w:rPr>
        <w:t xml:space="preserve">Figure 6. Cash-to-Asset Ratio Comparison, by year and bank type </w:t>
      </w:r>
    </w:p>
    <w:p w14:paraId="3841C146" w14:textId="77777777" w:rsidR="003712C9" w:rsidRPr="0078134C" w:rsidRDefault="003712C9" w:rsidP="003712C9">
      <w:pPr>
        <w:jc w:val="both"/>
        <w:rPr>
          <w:rFonts w:ascii="Times New Roman" w:hAnsi="Times New Roman" w:cs="Times New Roman"/>
        </w:rPr>
      </w:pPr>
      <w:r w:rsidRPr="0078134C">
        <w:rPr>
          <w:rFonts w:ascii="Times New Roman" w:hAnsi="Times New Roman" w:cs="Times New Roman"/>
        </w:rPr>
        <w:t>This ratio serves mainly as a control: it confirms the two groups hold statistically indistinguishable liquidity buffers, so the profitability gap in 3.3 and 3.4 is not simply a story about one group hoarding more idle cash than the other. Whatever is driving the ROA/ROE gap, it is not liquidity policy.</w:t>
      </w:r>
    </w:p>
    <w:p w14:paraId="4DA06FC6" w14:textId="411F3680" w:rsidR="003712C9" w:rsidRPr="0078134C" w:rsidRDefault="003712C9" w:rsidP="003712C9">
      <w:pPr>
        <w:pStyle w:val="Heading3"/>
        <w:jc w:val="both"/>
        <w:rPr>
          <w:rFonts w:ascii="Times New Roman" w:hAnsi="Times New Roman" w:cs="Times New Roman"/>
        </w:rPr>
      </w:pPr>
      <w:bookmarkStart w:id="26" w:name="_Toc234122921"/>
      <w:r w:rsidRPr="0078134C">
        <w:rPr>
          <w:rFonts w:ascii="Times New Roman" w:hAnsi="Times New Roman" w:cs="Times New Roman"/>
        </w:rPr>
        <w:lastRenderedPageBreak/>
        <w:t>Financing/Loans-to-Assets Ratio</w:t>
      </w:r>
      <w:bookmarkEnd w:id="26"/>
    </w:p>
    <w:p w14:paraId="1EECD480" w14:textId="77777777" w:rsidR="003712C9" w:rsidRPr="0078134C" w:rsidRDefault="003712C9" w:rsidP="003712C9">
      <w:pPr>
        <w:jc w:val="both"/>
        <w:rPr>
          <w:rFonts w:ascii="Times New Roman" w:hAnsi="Times New Roman" w:cs="Times New Roman"/>
        </w:rPr>
      </w:pPr>
      <w:r w:rsidRPr="0078134C">
        <w:rPr>
          <w:rFonts w:ascii="Times New Roman" w:hAnsi="Times New Roman" w:cs="Times New Roman"/>
        </w:rPr>
        <w:t>Conventional average: 37.61%. Islamic average: 45.96%. Percentage difference: +22.20%.</w:t>
      </w:r>
    </w:p>
    <w:p w14:paraId="7EA0F69B" w14:textId="2F4BEE52" w:rsidR="003712C9" w:rsidRPr="0078134C" w:rsidRDefault="003712C9" w:rsidP="003712C9">
      <w:pPr>
        <w:jc w:val="both"/>
        <w:rPr>
          <w:rFonts w:ascii="Times New Roman" w:hAnsi="Times New Roman" w:cs="Times New Roman"/>
        </w:rPr>
      </w:pPr>
      <w:r w:rsidRPr="0078134C">
        <w:rPr>
          <w:rFonts w:ascii="Times New Roman" w:hAnsi="Times New Roman" w:cs="Times New Roman"/>
        </w:rPr>
        <w:t>This is the ratio that starts to explain the gap. Islamic banks in this sample deploy a materially larger share of their balance sheet into financing (the Islamic equivalent of the loan book) rather than into investments, placements, or other lower-yielding assets. Combined with the near-identical Cash-to-Assets and Operating Expense ratios above, the picture that emerges is one of asset allocation, not cost discipline: Islamic banks are not spending less to run their operations, and they are not holding less cash</w:t>
      </w:r>
      <w:r w:rsidR="00736EA0" w:rsidRPr="0078134C">
        <w:rPr>
          <w:rFonts w:ascii="Times New Roman" w:hAnsi="Times New Roman" w:cs="Times New Roman"/>
        </w:rPr>
        <w:t>,</w:t>
      </w:r>
      <w:r w:rsidRPr="0078134C">
        <w:rPr>
          <w:rFonts w:ascii="Times New Roman" w:hAnsi="Times New Roman" w:cs="Times New Roman"/>
        </w:rPr>
        <w:t xml:space="preserve"> they are simply putting a larger share of their funded balance sheet to work in financing activity, which is the direct channel explored in Section 4.</w:t>
      </w:r>
    </w:p>
    <w:p w14:paraId="00219CC9" w14:textId="0EF9222C" w:rsidR="003712C9" w:rsidRPr="0078134C" w:rsidRDefault="003712C9" w:rsidP="003712C9">
      <w:pPr>
        <w:pStyle w:val="Heading2"/>
        <w:jc w:val="both"/>
        <w:rPr>
          <w:rFonts w:ascii="Times New Roman" w:hAnsi="Times New Roman" w:cs="Times New Roman"/>
        </w:rPr>
      </w:pPr>
      <w:bookmarkStart w:id="27" w:name="_Toc234122922"/>
      <w:r w:rsidRPr="0078134C">
        <w:rPr>
          <w:rFonts w:ascii="Times New Roman" w:hAnsi="Times New Roman" w:cs="Times New Roman"/>
        </w:rPr>
        <w:t>Deposit Utilisation and Financing Structure</w:t>
      </w:r>
      <w:bookmarkEnd w:id="27"/>
    </w:p>
    <w:p w14:paraId="248883E4" w14:textId="77777777" w:rsidR="003712C9" w:rsidRPr="0078134C" w:rsidRDefault="003712C9" w:rsidP="003712C9">
      <w:pPr>
        <w:jc w:val="both"/>
        <w:rPr>
          <w:rFonts w:ascii="Times New Roman" w:hAnsi="Times New Roman" w:cs="Times New Roman"/>
        </w:rPr>
      </w:pPr>
      <w:r w:rsidRPr="0078134C">
        <w:rPr>
          <w:rFonts w:ascii="Times New Roman" w:hAnsi="Times New Roman" w:cs="Times New Roman"/>
        </w:rPr>
        <w:t>The ratios above are asset-side averages; the table below extends the same comparison to the funding side, asking how much of each bank's deposit base is actually converted into financing, bank by bank, over the same 2019–2024 window (figures are six-year averages, Rupees in '000, from the Raw Data tab).</w:t>
      </w:r>
    </w:p>
    <w:tbl>
      <w:tblPr>
        <w:tblStyle w:val="PlainTable2"/>
        <w:tblW w:w="9055" w:type="dxa"/>
        <w:tblLook w:val="04A0" w:firstRow="1" w:lastRow="0" w:firstColumn="1" w:lastColumn="0" w:noHBand="0" w:noVBand="1"/>
      </w:tblPr>
      <w:tblGrid>
        <w:gridCol w:w="1953"/>
        <w:gridCol w:w="1598"/>
        <w:gridCol w:w="1953"/>
        <w:gridCol w:w="1953"/>
        <w:gridCol w:w="1598"/>
      </w:tblGrid>
      <w:tr w:rsidR="003712C9" w:rsidRPr="0078134C" w14:paraId="2661249E" w14:textId="77777777" w:rsidTr="00144940">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953" w:type="dxa"/>
          </w:tcPr>
          <w:p w14:paraId="24389680" w14:textId="77777777" w:rsidR="003712C9" w:rsidRPr="0078134C" w:rsidRDefault="003712C9" w:rsidP="00BB2610">
            <w:pPr>
              <w:jc w:val="both"/>
              <w:rPr>
                <w:rFonts w:ascii="Times New Roman" w:hAnsi="Times New Roman" w:cs="Times New Roman"/>
                <w:color w:val="000000" w:themeColor="text1"/>
              </w:rPr>
            </w:pPr>
            <w:r w:rsidRPr="0078134C">
              <w:rPr>
                <w:rFonts w:ascii="Times New Roman" w:hAnsi="Times New Roman" w:cs="Times New Roman"/>
                <w:color w:val="000000" w:themeColor="text1"/>
                <w:sz w:val="20"/>
                <w:szCs w:val="20"/>
              </w:rPr>
              <w:t>Bank</w:t>
            </w:r>
          </w:p>
        </w:tc>
        <w:tc>
          <w:tcPr>
            <w:tcW w:w="1598" w:type="dxa"/>
          </w:tcPr>
          <w:p w14:paraId="29F2781B" w14:textId="77777777" w:rsidR="003712C9" w:rsidRPr="0078134C" w:rsidRDefault="003712C9" w:rsidP="00BB261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8134C">
              <w:rPr>
                <w:rFonts w:ascii="Times New Roman" w:hAnsi="Times New Roman" w:cs="Times New Roman"/>
                <w:color w:val="000000" w:themeColor="text1"/>
                <w:sz w:val="20"/>
                <w:szCs w:val="20"/>
              </w:rPr>
              <w:t>Type</w:t>
            </w:r>
          </w:p>
        </w:tc>
        <w:tc>
          <w:tcPr>
            <w:tcW w:w="1953" w:type="dxa"/>
          </w:tcPr>
          <w:p w14:paraId="55F661D9" w14:textId="77777777" w:rsidR="003712C9" w:rsidRPr="0078134C" w:rsidRDefault="003712C9" w:rsidP="00BB261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8134C">
              <w:rPr>
                <w:rFonts w:ascii="Times New Roman" w:hAnsi="Times New Roman" w:cs="Times New Roman"/>
                <w:color w:val="000000" w:themeColor="text1"/>
                <w:sz w:val="20"/>
                <w:szCs w:val="20"/>
              </w:rPr>
              <w:t>Avg. Total Deposits</w:t>
            </w:r>
          </w:p>
        </w:tc>
        <w:tc>
          <w:tcPr>
            <w:tcW w:w="1953" w:type="dxa"/>
          </w:tcPr>
          <w:p w14:paraId="6814AAF4" w14:textId="77777777" w:rsidR="003712C9" w:rsidRPr="0078134C" w:rsidRDefault="003712C9" w:rsidP="00BB261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8134C">
              <w:rPr>
                <w:rFonts w:ascii="Times New Roman" w:hAnsi="Times New Roman" w:cs="Times New Roman"/>
                <w:color w:val="000000" w:themeColor="text1"/>
                <w:sz w:val="20"/>
                <w:szCs w:val="20"/>
              </w:rPr>
              <w:t>Avg. Financing/Loans</w:t>
            </w:r>
          </w:p>
        </w:tc>
        <w:tc>
          <w:tcPr>
            <w:tcW w:w="1598" w:type="dxa"/>
          </w:tcPr>
          <w:p w14:paraId="7BEF4CC5" w14:textId="77777777" w:rsidR="003712C9" w:rsidRPr="0078134C" w:rsidRDefault="003712C9" w:rsidP="00BB261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8134C">
              <w:rPr>
                <w:rFonts w:ascii="Times New Roman" w:hAnsi="Times New Roman" w:cs="Times New Roman"/>
                <w:color w:val="000000" w:themeColor="text1"/>
                <w:sz w:val="20"/>
                <w:szCs w:val="20"/>
              </w:rPr>
              <w:t>Financing-to-Deposits</w:t>
            </w:r>
          </w:p>
        </w:tc>
      </w:tr>
      <w:tr w:rsidR="003712C9" w:rsidRPr="0078134C" w14:paraId="6B98ED00" w14:textId="77777777" w:rsidTr="00144940">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53" w:type="dxa"/>
          </w:tcPr>
          <w:p w14:paraId="77C68F65" w14:textId="77777777" w:rsidR="003712C9" w:rsidRPr="0078134C" w:rsidRDefault="003712C9" w:rsidP="00BB2610">
            <w:pPr>
              <w:jc w:val="both"/>
              <w:rPr>
                <w:rFonts w:ascii="Times New Roman" w:hAnsi="Times New Roman" w:cs="Times New Roman"/>
              </w:rPr>
            </w:pPr>
            <w:r w:rsidRPr="0078134C">
              <w:rPr>
                <w:rFonts w:ascii="Times New Roman" w:hAnsi="Times New Roman" w:cs="Times New Roman"/>
                <w:b w:val="0"/>
                <w:bCs w:val="0"/>
                <w:color w:val="000000"/>
                <w:sz w:val="20"/>
                <w:szCs w:val="20"/>
              </w:rPr>
              <w:t>Askari</w:t>
            </w:r>
          </w:p>
        </w:tc>
        <w:tc>
          <w:tcPr>
            <w:tcW w:w="1598" w:type="dxa"/>
          </w:tcPr>
          <w:p w14:paraId="17781945"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Conventional</w:t>
            </w:r>
          </w:p>
        </w:tc>
        <w:tc>
          <w:tcPr>
            <w:tcW w:w="1953" w:type="dxa"/>
          </w:tcPr>
          <w:p w14:paraId="756E1E0A"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1,047,561,956</w:t>
            </w:r>
          </w:p>
        </w:tc>
        <w:tc>
          <w:tcPr>
            <w:tcW w:w="1953" w:type="dxa"/>
          </w:tcPr>
          <w:p w14:paraId="1C836BC2"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526,429,640</w:t>
            </w:r>
          </w:p>
        </w:tc>
        <w:tc>
          <w:tcPr>
            <w:tcW w:w="1598" w:type="dxa"/>
          </w:tcPr>
          <w:p w14:paraId="78C9AA58"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50.3%</w:t>
            </w:r>
          </w:p>
        </w:tc>
      </w:tr>
      <w:tr w:rsidR="003712C9" w:rsidRPr="0078134C" w14:paraId="3E380111" w14:textId="77777777" w:rsidTr="00144940">
        <w:trPr>
          <w:trHeight w:val="273"/>
        </w:trPr>
        <w:tc>
          <w:tcPr>
            <w:cnfStyle w:val="001000000000" w:firstRow="0" w:lastRow="0" w:firstColumn="1" w:lastColumn="0" w:oddVBand="0" w:evenVBand="0" w:oddHBand="0" w:evenHBand="0" w:firstRowFirstColumn="0" w:firstRowLastColumn="0" w:lastRowFirstColumn="0" w:lastRowLastColumn="0"/>
            <w:tcW w:w="1953" w:type="dxa"/>
          </w:tcPr>
          <w:p w14:paraId="64C8FCBA" w14:textId="77777777" w:rsidR="003712C9" w:rsidRPr="0078134C" w:rsidRDefault="003712C9" w:rsidP="00BB2610">
            <w:pPr>
              <w:jc w:val="both"/>
              <w:rPr>
                <w:rFonts w:ascii="Times New Roman" w:hAnsi="Times New Roman" w:cs="Times New Roman"/>
              </w:rPr>
            </w:pPr>
            <w:r w:rsidRPr="0078134C">
              <w:rPr>
                <w:rFonts w:ascii="Times New Roman" w:hAnsi="Times New Roman" w:cs="Times New Roman"/>
                <w:b w:val="0"/>
                <w:bCs w:val="0"/>
                <w:color w:val="000000"/>
                <w:sz w:val="20"/>
                <w:szCs w:val="20"/>
              </w:rPr>
              <w:t>HBL</w:t>
            </w:r>
          </w:p>
        </w:tc>
        <w:tc>
          <w:tcPr>
            <w:tcW w:w="1598" w:type="dxa"/>
          </w:tcPr>
          <w:p w14:paraId="0D9462C9"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Conventional</w:t>
            </w:r>
          </w:p>
        </w:tc>
        <w:tc>
          <w:tcPr>
            <w:tcW w:w="1953" w:type="dxa"/>
          </w:tcPr>
          <w:p w14:paraId="109E6C20"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3,225,195,900</w:t>
            </w:r>
          </w:p>
        </w:tc>
        <w:tc>
          <w:tcPr>
            <w:tcW w:w="1953" w:type="dxa"/>
          </w:tcPr>
          <w:p w14:paraId="28A6B675"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1,519,412,864</w:t>
            </w:r>
          </w:p>
        </w:tc>
        <w:tc>
          <w:tcPr>
            <w:tcW w:w="1598" w:type="dxa"/>
          </w:tcPr>
          <w:p w14:paraId="1EB26E23"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47.1%</w:t>
            </w:r>
          </w:p>
        </w:tc>
      </w:tr>
      <w:tr w:rsidR="003712C9" w:rsidRPr="0078134C" w14:paraId="784EB84F" w14:textId="77777777" w:rsidTr="00144940">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53" w:type="dxa"/>
          </w:tcPr>
          <w:p w14:paraId="058DC68A" w14:textId="77777777" w:rsidR="003712C9" w:rsidRPr="0078134C" w:rsidRDefault="003712C9" w:rsidP="00BB2610">
            <w:pPr>
              <w:jc w:val="both"/>
              <w:rPr>
                <w:rFonts w:ascii="Times New Roman" w:hAnsi="Times New Roman" w:cs="Times New Roman"/>
              </w:rPr>
            </w:pPr>
            <w:r w:rsidRPr="0078134C">
              <w:rPr>
                <w:rFonts w:ascii="Times New Roman" w:hAnsi="Times New Roman" w:cs="Times New Roman"/>
                <w:b w:val="0"/>
                <w:bCs w:val="0"/>
                <w:color w:val="000000"/>
                <w:sz w:val="20"/>
                <w:szCs w:val="20"/>
              </w:rPr>
              <w:t>JS</w:t>
            </w:r>
          </w:p>
        </w:tc>
        <w:tc>
          <w:tcPr>
            <w:tcW w:w="1598" w:type="dxa"/>
          </w:tcPr>
          <w:p w14:paraId="2B065C0C"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Conventional</w:t>
            </w:r>
          </w:p>
        </w:tc>
        <w:tc>
          <w:tcPr>
            <w:tcW w:w="1953" w:type="dxa"/>
          </w:tcPr>
          <w:p w14:paraId="2E060FE1"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456,517,774</w:t>
            </w:r>
          </w:p>
        </w:tc>
        <w:tc>
          <w:tcPr>
            <w:tcW w:w="1953" w:type="dxa"/>
          </w:tcPr>
          <w:p w14:paraId="399BE436"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234,612,493</w:t>
            </w:r>
          </w:p>
        </w:tc>
        <w:tc>
          <w:tcPr>
            <w:tcW w:w="1598" w:type="dxa"/>
          </w:tcPr>
          <w:p w14:paraId="2C8EAB4F"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51.4%</w:t>
            </w:r>
          </w:p>
        </w:tc>
      </w:tr>
      <w:tr w:rsidR="003712C9" w:rsidRPr="0078134C" w14:paraId="254976F0" w14:textId="77777777" w:rsidTr="00144940">
        <w:trPr>
          <w:trHeight w:val="273"/>
        </w:trPr>
        <w:tc>
          <w:tcPr>
            <w:cnfStyle w:val="001000000000" w:firstRow="0" w:lastRow="0" w:firstColumn="1" w:lastColumn="0" w:oddVBand="0" w:evenVBand="0" w:oddHBand="0" w:evenHBand="0" w:firstRowFirstColumn="0" w:firstRowLastColumn="0" w:lastRowFirstColumn="0" w:lastRowLastColumn="0"/>
            <w:tcW w:w="1953" w:type="dxa"/>
          </w:tcPr>
          <w:p w14:paraId="7F019AE4" w14:textId="77777777" w:rsidR="003712C9" w:rsidRPr="0078134C" w:rsidRDefault="003712C9" w:rsidP="00BB2610">
            <w:pPr>
              <w:jc w:val="both"/>
              <w:rPr>
                <w:rFonts w:ascii="Times New Roman" w:hAnsi="Times New Roman" w:cs="Times New Roman"/>
              </w:rPr>
            </w:pPr>
            <w:r w:rsidRPr="0078134C">
              <w:rPr>
                <w:rFonts w:ascii="Times New Roman" w:hAnsi="Times New Roman" w:cs="Times New Roman"/>
                <w:b w:val="0"/>
                <w:bCs w:val="0"/>
                <w:color w:val="000000"/>
                <w:sz w:val="20"/>
                <w:szCs w:val="20"/>
              </w:rPr>
              <w:t>Meezan</w:t>
            </w:r>
          </w:p>
        </w:tc>
        <w:tc>
          <w:tcPr>
            <w:tcW w:w="1598" w:type="dxa"/>
          </w:tcPr>
          <w:p w14:paraId="7BA0281E"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Islamic</w:t>
            </w:r>
          </w:p>
        </w:tc>
        <w:tc>
          <w:tcPr>
            <w:tcW w:w="1953" w:type="dxa"/>
          </w:tcPr>
          <w:p w14:paraId="4A2FFA83"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1,683,955,243</w:t>
            </w:r>
          </w:p>
        </w:tc>
        <w:tc>
          <w:tcPr>
            <w:tcW w:w="1953" w:type="dxa"/>
          </w:tcPr>
          <w:p w14:paraId="2DAA57EC" w14:textId="77777777" w:rsidR="003712C9" w:rsidRPr="0078134C" w:rsidRDefault="003712C9" w:rsidP="0014494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872,721,783</w:t>
            </w:r>
          </w:p>
        </w:tc>
        <w:tc>
          <w:tcPr>
            <w:tcW w:w="1598" w:type="dxa"/>
          </w:tcPr>
          <w:p w14:paraId="7AFBB486"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51.8%</w:t>
            </w:r>
          </w:p>
        </w:tc>
      </w:tr>
      <w:tr w:rsidR="003712C9" w:rsidRPr="0078134C" w14:paraId="2FEC3535" w14:textId="77777777" w:rsidTr="00144940">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53" w:type="dxa"/>
          </w:tcPr>
          <w:p w14:paraId="0E648B37" w14:textId="77777777" w:rsidR="003712C9" w:rsidRPr="0078134C" w:rsidRDefault="003712C9" w:rsidP="00BB2610">
            <w:pPr>
              <w:jc w:val="both"/>
              <w:rPr>
                <w:rFonts w:ascii="Times New Roman" w:hAnsi="Times New Roman" w:cs="Times New Roman"/>
              </w:rPr>
            </w:pPr>
            <w:r w:rsidRPr="0078134C">
              <w:rPr>
                <w:rFonts w:ascii="Times New Roman" w:hAnsi="Times New Roman" w:cs="Times New Roman"/>
                <w:b w:val="0"/>
                <w:bCs w:val="0"/>
                <w:color w:val="000000"/>
                <w:sz w:val="20"/>
                <w:szCs w:val="20"/>
              </w:rPr>
              <w:t>Dubai Islamic Bank</w:t>
            </w:r>
          </w:p>
        </w:tc>
        <w:tc>
          <w:tcPr>
            <w:tcW w:w="1598" w:type="dxa"/>
          </w:tcPr>
          <w:p w14:paraId="423D6F08"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Islamic</w:t>
            </w:r>
          </w:p>
        </w:tc>
        <w:tc>
          <w:tcPr>
            <w:tcW w:w="1953" w:type="dxa"/>
          </w:tcPr>
          <w:p w14:paraId="49D96CA2"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287,773,301</w:t>
            </w:r>
          </w:p>
        </w:tc>
        <w:tc>
          <w:tcPr>
            <w:tcW w:w="1953" w:type="dxa"/>
          </w:tcPr>
          <w:p w14:paraId="35295DD1"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216,191,249</w:t>
            </w:r>
          </w:p>
        </w:tc>
        <w:tc>
          <w:tcPr>
            <w:tcW w:w="1598" w:type="dxa"/>
          </w:tcPr>
          <w:p w14:paraId="0F00E209" w14:textId="77777777" w:rsidR="003712C9" w:rsidRPr="0078134C" w:rsidRDefault="003712C9" w:rsidP="00BB26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75.1%</w:t>
            </w:r>
          </w:p>
        </w:tc>
      </w:tr>
      <w:tr w:rsidR="003712C9" w:rsidRPr="0078134C" w14:paraId="593DDEB5" w14:textId="77777777" w:rsidTr="00144940">
        <w:trPr>
          <w:trHeight w:val="273"/>
        </w:trPr>
        <w:tc>
          <w:tcPr>
            <w:cnfStyle w:val="001000000000" w:firstRow="0" w:lastRow="0" w:firstColumn="1" w:lastColumn="0" w:oddVBand="0" w:evenVBand="0" w:oddHBand="0" w:evenHBand="0" w:firstRowFirstColumn="0" w:firstRowLastColumn="0" w:lastRowFirstColumn="0" w:lastRowLastColumn="0"/>
            <w:tcW w:w="1953" w:type="dxa"/>
          </w:tcPr>
          <w:p w14:paraId="13C2061A" w14:textId="77777777" w:rsidR="003712C9" w:rsidRPr="0078134C" w:rsidRDefault="003712C9" w:rsidP="00BB2610">
            <w:pPr>
              <w:jc w:val="both"/>
              <w:rPr>
                <w:rFonts w:ascii="Times New Roman" w:hAnsi="Times New Roman" w:cs="Times New Roman"/>
              </w:rPr>
            </w:pPr>
            <w:r w:rsidRPr="0078134C">
              <w:rPr>
                <w:rFonts w:ascii="Times New Roman" w:hAnsi="Times New Roman" w:cs="Times New Roman"/>
                <w:b w:val="0"/>
                <w:bCs w:val="0"/>
                <w:color w:val="000000"/>
                <w:sz w:val="20"/>
                <w:szCs w:val="20"/>
              </w:rPr>
              <w:t>BankIslami</w:t>
            </w:r>
          </w:p>
        </w:tc>
        <w:tc>
          <w:tcPr>
            <w:tcW w:w="1598" w:type="dxa"/>
          </w:tcPr>
          <w:p w14:paraId="1570D0BD"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Islamic</w:t>
            </w:r>
          </w:p>
        </w:tc>
        <w:tc>
          <w:tcPr>
            <w:tcW w:w="1953" w:type="dxa"/>
          </w:tcPr>
          <w:p w14:paraId="2404AC77"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392,210,230</w:t>
            </w:r>
          </w:p>
        </w:tc>
        <w:tc>
          <w:tcPr>
            <w:tcW w:w="1953" w:type="dxa"/>
          </w:tcPr>
          <w:p w14:paraId="625927D9"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195,108,954</w:t>
            </w:r>
          </w:p>
        </w:tc>
        <w:tc>
          <w:tcPr>
            <w:tcW w:w="1598" w:type="dxa"/>
          </w:tcPr>
          <w:p w14:paraId="115A88C6" w14:textId="77777777" w:rsidR="003712C9" w:rsidRPr="0078134C" w:rsidRDefault="003712C9" w:rsidP="00BB26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134C">
              <w:rPr>
                <w:rFonts w:ascii="Times New Roman" w:hAnsi="Times New Roman" w:cs="Times New Roman"/>
                <w:color w:val="000000"/>
                <w:sz w:val="20"/>
                <w:szCs w:val="20"/>
              </w:rPr>
              <w:t>49.7%</w:t>
            </w:r>
          </w:p>
        </w:tc>
      </w:tr>
    </w:tbl>
    <w:p w14:paraId="3595AA3C" w14:textId="12A298FB" w:rsidR="003712C9" w:rsidRPr="0078134C" w:rsidRDefault="003712C9" w:rsidP="003712C9">
      <w:pPr>
        <w:spacing w:before="60" w:after="200"/>
        <w:jc w:val="both"/>
        <w:rPr>
          <w:rFonts w:ascii="Times New Roman" w:hAnsi="Times New Roman" w:cs="Times New Roman"/>
        </w:rPr>
      </w:pPr>
      <w:r w:rsidRPr="0078134C">
        <w:rPr>
          <w:rFonts w:ascii="Times New Roman" w:hAnsi="Times New Roman" w:cs="Times New Roman"/>
          <w:i/>
          <w:iCs/>
          <w:color w:val="555555"/>
          <w:sz w:val="20"/>
          <w:szCs w:val="20"/>
        </w:rPr>
        <w:t xml:space="preserve">Table 2. Deposit and financing averages by bank, 2019–2024 </w:t>
      </w:r>
    </w:p>
    <w:p w14:paraId="49B08987" w14:textId="47788A1C" w:rsidR="003712C9" w:rsidRPr="0078134C" w:rsidRDefault="003712C9" w:rsidP="003712C9">
      <w:pPr>
        <w:jc w:val="both"/>
        <w:rPr>
          <w:rFonts w:ascii="Times New Roman" w:hAnsi="Times New Roman" w:cs="Times New Roman"/>
        </w:rPr>
      </w:pPr>
      <w:r w:rsidRPr="0078134C">
        <w:rPr>
          <w:rFonts w:ascii="Times New Roman" w:hAnsi="Times New Roman" w:cs="Times New Roman"/>
        </w:rPr>
        <w:t>Averaged simply across the three banks in each group (equal-weighted, so no single bank's size dominates the group figure), Conventional banks convert 49.6% of deposits into financing on average, against 58.9% for Islamic banks</w:t>
      </w:r>
      <w:r w:rsidR="00111B1A" w:rsidRPr="0078134C">
        <w:rPr>
          <w:rFonts w:ascii="Times New Roman" w:hAnsi="Times New Roman" w:cs="Times New Roman"/>
        </w:rPr>
        <w:t>,</w:t>
      </w:r>
      <w:r w:rsidRPr="0078134C">
        <w:rPr>
          <w:rFonts w:ascii="Times New Roman" w:hAnsi="Times New Roman" w:cs="Times New Roman"/>
        </w:rPr>
        <w:t xml:space="preserve"> consistent in direction with the Financing-to-Assets finding in Section 3.6. But Table 2 also shows why that Islamic average needs a caveat: Dubai Islamic Bank's ratio (75.1%) is a clear outlier relative to Meezan (51.8%) and BankIslami (49.7%), which are themselves close to the conventional banks' range. Excluding DIB, the Islamic average falls to 50.8%</w:t>
      </w:r>
      <w:r w:rsidR="00111B1A" w:rsidRPr="0078134C">
        <w:rPr>
          <w:rFonts w:ascii="Times New Roman" w:hAnsi="Times New Roman" w:cs="Times New Roman"/>
        </w:rPr>
        <w:t>,</w:t>
      </w:r>
      <w:r w:rsidRPr="0078134C">
        <w:rPr>
          <w:rFonts w:ascii="Times New Roman" w:hAnsi="Times New Roman" w:cs="Times New Roman"/>
        </w:rPr>
        <w:t xml:space="preserve"> almost indistinguishable from the conventional average of 49.6%. This is the clearest quantitative illustration in the workbook of the sample-size limitation raised in Section 6: with only three Islamic banks, one bank's balance-sheet strategy can single-handedly move the group average, and DIB is doing exactly that here.</w:t>
      </w:r>
    </w:p>
    <w:p w14:paraId="1498CFB2" w14:textId="36DFD541" w:rsidR="003712C9" w:rsidRPr="0078134C" w:rsidRDefault="003712C9" w:rsidP="003712C9">
      <w:pPr>
        <w:pStyle w:val="Heading2"/>
        <w:jc w:val="both"/>
        <w:rPr>
          <w:rFonts w:ascii="Times New Roman" w:hAnsi="Times New Roman" w:cs="Times New Roman"/>
        </w:rPr>
      </w:pPr>
      <w:bookmarkStart w:id="28" w:name="_Toc234122923"/>
      <w:r w:rsidRPr="0078134C">
        <w:rPr>
          <w:rFonts w:ascii="Times New Roman" w:hAnsi="Times New Roman" w:cs="Times New Roman"/>
        </w:rPr>
        <w:t>Why the Data Diverges from the Popular Belief</w:t>
      </w:r>
      <w:bookmarkEnd w:id="28"/>
    </w:p>
    <w:p w14:paraId="4564965D" w14:textId="664ED278" w:rsidR="003712C9" w:rsidRPr="0078134C" w:rsidRDefault="003712C9" w:rsidP="003712C9">
      <w:pPr>
        <w:jc w:val="both"/>
        <w:rPr>
          <w:rFonts w:ascii="Times New Roman" w:hAnsi="Times New Roman" w:cs="Times New Roman"/>
        </w:rPr>
      </w:pPr>
      <w:r w:rsidRPr="0078134C">
        <w:rPr>
          <w:rFonts w:ascii="Times New Roman" w:hAnsi="Times New Roman" w:cs="Times New Roman"/>
        </w:rPr>
        <w:t>The pattern across Sections 3 and 4</w:t>
      </w:r>
      <w:r w:rsidR="002F6453" w:rsidRPr="0078134C">
        <w:rPr>
          <w:rFonts w:ascii="Times New Roman" w:hAnsi="Times New Roman" w:cs="Times New Roman"/>
        </w:rPr>
        <w:t>,</w:t>
      </w:r>
      <w:r w:rsidRPr="0078134C">
        <w:rPr>
          <w:rFonts w:ascii="Times New Roman" w:hAnsi="Times New Roman" w:cs="Times New Roman"/>
        </w:rPr>
        <w:t xml:space="preserve"> similar operating costs, similar liquidity buffers, but materially higher financing deployment, lower cost-to-income, and higher ROA/ROE for Islamic banks is consistent with a structural explanation rooted in how Islamic banks are funded and how they earn income, rather than in any claim about relative managerial efficiency.</w:t>
      </w:r>
    </w:p>
    <w:p w14:paraId="3EE93830" w14:textId="3762D1BC" w:rsidR="003712C9" w:rsidRPr="0078134C" w:rsidRDefault="003712C9" w:rsidP="003712C9">
      <w:pPr>
        <w:jc w:val="both"/>
        <w:rPr>
          <w:rFonts w:ascii="Times New Roman" w:hAnsi="Times New Roman" w:cs="Times New Roman"/>
        </w:rPr>
      </w:pPr>
      <w:r w:rsidRPr="0078134C">
        <w:rPr>
          <w:rFonts w:ascii="Times New Roman" w:hAnsi="Times New Roman" w:cs="Times New Roman"/>
        </w:rPr>
        <w:t xml:space="preserve">Conventional banks earn a margin on interest-bearing lending, where the spread is a function of the policy rate cycle and competitive pressure on deposit and lending rates; the bank bears the entire credit risk of the loan while transferring none of the underlying transaction risk to a physical asset. Islamic banks in Pakistan fund most of their financing book through instruments such as Murabaha (cost-plus sale), Ijarah (leasing), and Diminishing Musharakah (declining-balance partnership) each of which ties the bank's return to a real, underlying asset rather than to a pure money-for-money loan. Industry literature on Gulf Islamic banks finds that a higher share of Murabaha financing is associated with both </w:t>
      </w:r>
      <w:r w:rsidRPr="0078134C">
        <w:rPr>
          <w:rFonts w:ascii="Times New Roman" w:hAnsi="Times New Roman" w:cs="Times New Roman"/>
        </w:rPr>
        <w:lastRenderedPageBreak/>
        <w:t>higher profitability and improved cost efficiency, because the mark-up is fixed at origination and tied to a tangible transaction rather than re-priced against a floating benchmark rate. A related strand of research on Islamic bank resilience argues that this asset-backing requirement embeds “real-sector discipline” into the balance sheet every financing exposure is linked to an identifiable asset or trade transaction, which tends to produce more stable, contractually fixed income streams than interest-rate-sensitive lending margins.</w:t>
      </w:r>
    </w:p>
    <w:p w14:paraId="141D7171" w14:textId="57E6E394" w:rsidR="003712C9" w:rsidRPr="0078134C" w:rsidRDefault="003712C9" w:rsidP="003712C9">
      <w:pPr>
        <w:jc w:val="both"/>
        <w:rPr>
          <w:rFonts w:ascii="Times New Roman" w:hAnsi="Times New Roman" w:cs="Times New Roman"/>
        </w:rPr>
      </w:pPr>
      <w:r w:rsidRPr="0078134C">
        <w:rPr>
          <w:rFonts w:ascii="Times New Roman" w:hAnsi="Times New Roman" w:cs="Times New Roman"/>
        </w:rPr>
        <w:t xml:space="preserve">This offers a plausible mechanism for exactly the pattern observed in Sections 3 and 4: if Islamic banks are not spending more to originate and manage financing (Operating Expense Ratio is flat between groups), but are earning a more stable, asset-linked margin on a larger proportion of their balance sheet (Financing-to-Assets Ratio and the deposit-utilisation figures in Table 2), the mechanical result is a lower Cost-to-Income Ratio and a higher ROA/ROE without any need to assume Islamic banks are “more efficiently run” in a managerial sense. The efficiency </w:t>
      </w:r>
      <w:r w:rsidR="002F6453" w:rsidRPr="0078134C">
        <w:rPr>
          <w:rFonts w:ascii="Times New Roman" w:hAnsi="Times New Roman" w:cs="Times New Roman"/>
        </w:rPr>
        <w:t>gaps</w:t>
      </w:r>
      <w:r w:rsidRPr="0078134C">
        <w:rPr>
          <w:rFonts w:ascii="Times New Roman" w:hAnsi="Times New Roman" w:cs="Times New Roman"/>
        </w:rPr>
        <w:t xml:space="preserve"> the popular belief describes may simply be mis-specified: it is usually framed as an operating-cost problem, but the data here suggests that, if there is a gap at all, it runs through asset composition and income structure, not cost control.</w:t>
      </w:r>
    </w:p>
    <w:p w14:paraId="4895B406" w14:textId="6E539375" w:rsidR="003712C9" w:rsidRPr="0078134C" w:rsidRDefault="003712C9" w:rsidP="003712C9">
      <w:pPr>
        <w:jc w:val="both"/>
        <w:rPr>
          <w:rFonts w:ascii="Times New Roman" w:hAnsi="Times New Roman" w:cs="Times New Roman"/>
        </w:rPr>
      </w:pPr>
      <w:r w:rsidRPr="0078134C">
        <w:rPr>
          <w:rFonts w:ascii="Times New Roman" w:hAnsi="Times New Roman" w:cs="Times New Roman"/>
        </w:rPr>
        <w:t>This explanation should be read as a plausible channel consistent with the data pattern, not as a causally proven mechanism</w:t>
      </w:r>
      <w:r w:rsidR="00D0618D" w:rsidRPr="0078134C">
        <w:rPr>
          <w:rFonts w:ascii="Times New Roman" w:hAnsi="Times New Roman" w:cs="Times New Roman"/>
        </w:rPr>
        <w:t>,</w:t>
      </w:r>
      <w:r w:rsidRPr="0078134C">
        <w:rPr>
          <w:rFonts w:ascii="Times New Roman" w:hAnsi="Times New Roman" w:cs="Times New Roman"/>
        </w:rPr>
        <w:t xml:space="preserve"> the dataset here (six banks, six years) can show that the pattern exists and is consistent with the asset-backed financing story, but it cannot, on its own, rule out other explanations such as differences in loan-loss provisioning policy, fee-income mix, or regulatory treatment of Islamic deposits, which sit outside the ratios computed in this workbook.</w:t>
      </w:r>
    </w:p>
    <w:p w14:paraId="322817F5" w14:textId="05C25D8D" w:rsidR="003712C9" w:rsidRPr="0078134C" w:rsidRDefault="003712C9" w:rsidP="003712C9">
      <w:pPr>
        <w:pStyle w:val="Heading2"/>
        <w:jc w:val="both"/>
        <w:rPr>
          <w:rFonts w:ascii="Times New Roman" w:hAnsi="Times New Roman" w:cs="Times New Roman"/>
        </w:rPr>
      </w:pPr>
      <w:bookmarkStart w:id="29" w:name="_Toc234122924"/>
      <w:r w:rsidRPr="0078134C">
        <w:rPr>
          <w:rFonts w:ascii="Times New Roman" w:hAnsi="Times New Roman" w:cs="Times New Roman"/>
        </w:rPr>
        <w:t>Reconciling with the Prior Literature</w:t>
      </w:r>
      <w:bookmarkEnd w:id="29"/>
    </w:p>
    <w:p w14:paraId="472BDA4F" w14:textId="07773443" w:rsidR="003712C9" w:rsidRPr="0078134C" w:rsidRDefault="003712C9" w:rsidP="003712C9">
      <w:pPr>
        <w:jc w:val="both"/>
        <w:rPr>
          <w:rFonts w:ascii="Times New Roman" w:hAnsi="Times New Roman" w:cs="Times New Roman"/>
        </w:rPr>
      </w:pPr>
      <w:r w:rsidRPr="0078134C">
        <w:rPr>
          <w:rFonts w:ascii="Times New Roman" w:hAnsi="Times New Roman" w:cs="Times New Roman"/>
        </w:rPr>
        <w:t>This finding needs to be placed carefully against the existing literature, because that literature is genuinely split and, on balance, leans the other way. Within the sources already reviewed in the Literature tab, Qureshi &amp; Shaikh (2012, data 2003–2008) and Khan &amp; Shah (2015, data 2007–2011) both find Islamic banks in Pakistan less cost-efficient than conventional banks, attributing the gap to Shariah-governance overhead and the legal complexity of Islamic contracts. Only Khan, Khan &amp; Tahir (2017, data 2007–2014) breaks that pattern, finding Islamic banks relatively better on profitability and efficiency and even that paper flags its own result as contradicting the earlier Pakistan-specific literature.</w:t>
      </w:r>
    </w:p>
    <w:p w14:paraId="7862ED66" w14:textId="7B844B96" w:rsidR="003712C9" w:rsidRPr="0078134C" w:rsidRDefault="003712C9" w:rsidP="003712C9">
      <w:pPr>
        <w:jc w:val="both"/>
        <w:rPr>
          <w:rFonts w:ascii="Times New Roman" w:hAnsi="Times New Roman" w:cs="Times New Roman"/>
        </w:rPr>
      </w:pPr>
      <w:r w:rsidRPr="0078134C">
        <w:rPr>
          <w:rFonts w:ascii="Times New Roman" w:hAnsi="Times New Roman" w:cs="Times New Roman"/>
        </w:rPr>
        <w:t>More recent Pakistan-specific work, published after the Literature tab's most recent entry, mostly continues to find conventional banks more profitable: a 2022 study comparing Islamic and conventional banks in Pakistan using univariate and logistic-regression methods (Ali, Akbar &amp; Svobodová, 2022) reports higher average profitability for conventional banks, and a separate 2020–2022 ratio-analysis comparison of Pakistani banks reaches the same conclusion on profitability specifically, while still finding Islamic banks ahead on liquidity, debt-to-asset, and asset-turnover measures. In other words, this section's ROA/ROE finding is not just contrary to “popular belief” in a loose sense it runs against the majority of the recent, Pakistan-specific academic literature as well, which makes it a genuinely notable result for this sample rather than a simple confirmation of an already-established alternative view.</w:t>
      </w:r>
    </w:p>
    <w:p w14:paraId="063A670E" w14:textId="749A56FA" w:rsidR="003712C9" w:rsidRPr="0078134C" w:rsidRDefault="003712C9" w:rsidP="003712C9">
      <w:pPr>
        <w:jc w:val="both"/>
        <w:rPr>
          <w:rFonts w:ascii="Times New Roman" w:hAnsi="Times New Roman" w:cs="Times New Roman"/>
        </w:rPr>
      </w:pPr>
      <w:r w:rsidRPr="0078134C">
        <w:rPr>
          <w:rFonts w:ascii="Times New Roman" w:hAnsi="Times New Roman" w:cs="Times New Roman"/>
        </w:rPr>
        <w:t xml:space="preserve">The strongest support for the direction of this section's finding comes from outside Pakistan. A 2025 cross-country study of 62 Islamic and 218 conventional banks across 20 dual-banking-system countries (1995–2020) finds Islamic banks outperforming on efficiency and credit quality, attributing this to Shariah-mandated risk-management practices. A separate 2023 study applying frontier-efficiency methods to 49 Islamic banks across 25 countries (2013–2021) finds that Islamic-bank efficiency improved over that period which, read alongside Meezan's steadily improving cost and profitability trend in Section 2, suggests the sector may simply have matured since the 2003–2011 data windows that anchor the earlier, less favourable Pakistan-specific studies. The honest summary is that the literature has not settled this question, that country and time window matter a great deal to which answer </w:t>
      </w:r>
      <w:r w:rsidRPr="0078134C">
        <w:rPr>
          <w:rFonts w:ascii="Times New Roman" w:hAnsi="Times New Roman" w:cs="Times New Roman"/>
        </w:rPr>
        <w:lastRenderedPageBreak/>
        <w:t>a study finds, and that this section's 2019–2024</w:t>
      </w:r>
      <w:r w:rsidR="00D0618D" w:rsidRPr="0078134C">
        <w:rPr>
          <w:rFonts w:ascii="Times New Roman" w:hAnsi="Times New Roman" w:cs="Times New Roman"/>
        </w:rPr>
        <w:t>.</w:t>
      </w:r>
      <w:r w:rsidRPr="0078134C">
        <w:rPr>
          <w:rFonts w:ascii="Times New Roman" w:hAnsi="Times New Roman" w:cs="Times New Roman"/>
        </w:rPr>
        <w:t xml:space="preserve"> Pakistan sample adds a data point on the more-favourable side of an active disagreement not a final word on it.</w:t>
      </w:r>
    </w:p>
    <w:p w14:paraId="09904773" w14:textId="080CE857" w:rsidR="003712C9" w:rsidRPr="0078134C" w:rsidRDefault="003712C9" w:rsidP="003712C9">
      <w:pPr>
        <w:pStyle w:val="Heading2"/>
        <w:jc w:val="both"/>
        <w:rPr>
          <w:rFonts w:ascii="Times New Roman" w:hAnsi="Times New Roman" w:cs="Times New Roman"/>
        </w:rPr>
      </w:pPr>
      <w:bookmarkStart w:id="30" w:name="_Toc234122925"/>
      <w:r w:rsidRPr="0078134C">
        <w:rPr>
          <w:rFonts w:ascii="Times New Roman" w:hAnsi="Times New Roman" w:cs="Times New Roman"/>
        </w:rPr>
        <w:t>Limitations</w:t>
      </w:r>
      <w:bookmarkEnd w:id="30"/>
    </w:p>
    <w:p w14:paraId="7F11C590" w14:textId="77777777" w:rsidR="003712C9" w:rsidRPr="0078134C" w:rsidRDefault="003712C9" w:rsidP="003712C9">
      <w:pPr>
        <w:pStyle w:val="ListParagraph"/>
        <w:numPr>
          <w:ilvl w:val="0"/>
          <w:numId w:val="14"/>
        </w:numPr>
        <w:spacing w:after="100" w:line="240" w:lineRule="auto"/>
        <w:contextualSpacing w:val="0"/>
        <w:jc w:val="both"/>
        <w:rPr>
          <w:rFonts w:ascii="Times New Roman" w:hAnsi="Times New Roman" w:cs="Times New Roman"/>
        </w:rPr>
      </w:pPr>
      <w:r w:rsidRPr="0078134C">
        <w:rPr>
          <w:rFonts w:ascii="Times New Roman" w:hAnsi="Times New Roman" w:cs="Times New Roman"/>
        </w:rPr>
        <w:t>Small sample: three banks per group is sufficient to compute a group average but not to support a claim about the Islamic or conventional banking sector as a whole; Section 4 shows explicitly how one bank (Dubai Islamic Bank) can move the Islamic group average on its own.</w:t>
      </w:r>
    </w:p>
    <w:p w14:paraId="78493C79" w14:textId="77777777" w:rsidR="003712C9" w:rsidRPr="0078134C" w:rsidRDefault="003712C9" w:rsidP="003712C9">
      <w:pPr>
        <w:pStyle w:val="ListParagraph"/>
        <w:numPr>
          <w:ilvl w:val="0"/>
          <w:numId w:val="14"/>
        </w:numPr>
        <w:spacing w:after="100" w:line="240" w:lineRule="auto"/>
        <w:contextualSpacing w:val="0"/>
        <w:jc w:val="both"/>
        <w:rPr>
          <w:rFonts w:ascii="Times New Roman" w:hAnsi="Times New Roman" w:cs="Times New Roman"/>
        </w:rPr>
      </w:pPr>
      <w:r w:rsidRPr="0078134C">
        <w:rPr>
          <w:rFonts w:ascii="Times New Roman" w:hAnsi="Times New Roman" w:cs="Times New Roman"/>
        </w:rPr>
        <w:t>Single country, single regulatory regime: all findings are specific to State Bank of Pakistan-regulated banks and unconsolidated financial statements; they should not be extrapolated to other jurisdictions without re-testing.</w:t>
      </w:r>
    </w:p>
    <w:p w14:paraId="2CA1D55C" w14:textId="77777777" w:rsidR="003712C9" w:rsidRPr="0078134C" w:rsidRDefault="003712C9" w:rsidP="003712C9">
      <w:pPr>
        <w:pStyle w:val="ListParagraph"/>
        <w:numPr>
          <w:ilvl w:val="0"/>
          <w:numId w:val="14"/>
        </w:numPr>
        <w:spacing w:after="100" w:line="240" w:lineRule="auto"/>
        <w:contextualSpacing w:val="0"/>
        <w:jc w:val="both"/>
        <w:rPr>
          <w:rFonts w:ascii="Times New Roman" w:hAnsi="Times New Roman" w:cs="Times New Roman"/>
        </w:rPr>
      </w:pPr>
      <w:r w:rsidRPr="0078134C">
        <w:rPr>
          <w:rFonts w:ascii="Times New Roman" w:hAnsi="Times New Roman" w:cs="Times New Roman"/>
        </w:rPr>
        <w:t>Six-year window (2019–2024): long enough to show a trend (Section 2) but still short relative to the multi-decade windows used in some of the cross-country studies cited in Section 6.</w:t>
      </w:r>
    </w:p>
    <w:p w14:paraId="5782F75F" w14:textId="77777777" w:rsidR="003712C9" w:rsidRPr="0078134C" w:rsidRDefault="003712C9" w:rsidP="003712C9">
      <w:pPr>
        <w:pStyle w:val="ListParagraph"/>
        <w:numPr>
          <w:ilvl w:val="0"/>
          <w:numId w:val="14"/>
        </w:numPr>
        <w:spacing w:after="100" w:line="240" w:lineRule="auto"/>
        <w:contextualSpacing w:val="0"/>
        <w:jc w:val="both"/>
        <w:rPr>
          <w:rFonts w:ascii="Times New Roman" w:hAnsi="Times New Roman" w:cs="Times New Roman"/>
        </w:rPr>
      </w:pPr>
      <w:r w:rsidRPr="0078134C">
        <w:rPr>
          <w:rFonts w:ascii="Times New Roman" w:hAnsi="Times New Roman" w:cs="Times New Roman"/>
        </w:rPr>
        <w:t>The structural explanation in Section 5 is a plausible, literature-consistent mechanism, not a causally identified one; provisioning policy, fee income mix, and deposit-insurance treatment are potential confounds not tested directly by the ratios in this workbook.</w:t>
      </w:r>
    </w:p>
    <w:p w14:paraId="4BD25F8F" w14:textId="27F0C8C3" w:rsidR="00DA0729" w:rsidRPr="0078134C" w:rsidRDefault="00DA0729" w:rsidP="00DA0729">
      <w:pPr>
        <w:pStyle w:val="Heading1"/>
        <w:rPr>
          <w:rFonts w:ascii="Times New Roman" w:hAnsi="Times New Roman" w:cs="Times New Roman"/>
          <w:lang w:val="en-PK"/>
        </w:rPr>
      </w:pPr>
      <w:bookmarkStart w:id="31" w:name="_Toc234122926"/>
      <w:r w:rsidRPr="0078134C">
        <w:rPr>
          <w:rFonts w:ascii="Times New Roman" w:hAnsi="Times New Roman" w:cs="Times New Roman"/>
          <w:lang w:val="en-PK"/>
        </w:rPr>
        <w:t>Hypothesis Testing and Regression Results</w:t>
      </w:r>
      <w:bookmarkEnd w:id="31"/>
    </w:p>
    <w:p w14:paraId="60A8D50D" w14:textId="77777777" w:rsidR="00DA0729" w:rsidRPr="0078134C" w:rsidRDefault="00DA0729" w:rsidP="00DA0729">
      <w:pPr>
        <w:pStyle w:val="Heading2"/>
        <w:rPr>
          <w:rFonts w:ascii="Times New Roman" w:hAnsi="Times New Roman" w:cs="Times New Roman"/>
          <w:lang w:val="en-PK"/>
        </w:rPr>
      </w:pPr>
      <w:bookmarkStart w:id="32" w:name="_Toc234122927"/>
      <w:r w:rsidRPr="0078134C">
        <w:rPr>
          <w:rFonts w:ascii="Times New Roman" w:hAnsi="Times New Roman" w:cs="Times New Roman"/>
          <w:lang w:val="en-PK"/>
        </w:rPr>
        <w:t>Hypotheses</w:t>
      </w:r>
      <w:bookmarkEnd w:id="32"/>
    </w:p>
    <w:p w14:paraId="48024756" w14:textId="77777777" w:rsidR="00DA0729" w:rsidRPr="0078134C" w:rsidRDefault="00DA0729" w:rsidP="00DA0729">
      <w:pPr>
        <w:jc w:val="both"/>
        <w:rPr>
          <w:rFonts w:ascii="Times New Roman" w:hAnsi="Times New Roman" w:cs="Times New Roman"/>
          <w:lang w:val="en-PK"/>
        </w:rPr>
      </w:pPr>
      <w:r w:rsidRPr="0078134C">
        <w:rPr>
          <w:rFonts w:ascii="Times New Roman" w:hAnsi="Times New Roman" w:cs="Times New Roman"/>
          <w:lang w:val="en-PK"/>
        </w:rPr>
        <w:t>Two levels of hypothesis testing are relevant here. At the model level:</w:t>
      </w:r>
    </w:p>
    <w:p w14:paraId="1A779280" w14:textId="77777777" w:rsidR="00DA0729" w:rsidRPr="0078134C" w:rsidRDefault="00DA0729" w:rsidP="00DA0729">
      <w:pPr>
        <w:jc w:val="both"/>
        <w:rPr>
          <w:rFonts w:ascii="Times New Roman" w:hAnsi="Times New Roman" w:cs="Times New Roman"/>
          <w:b/>
          <w:bCs/>
          <w:lang w:val="en-PK"/>
        </w:rPr>
      </w:pPr>
      <w:r w:rsidRPr="0078134C">
        <w:rPr>
          <w:rFonts w:ascii="Times New Roman" w:hAnsi="Times New Roman" w:cs="Times New Roman"/>
          <w:b/>
          <w:bCs/>
          <w:lang w:val="en-PK"/>
        </w:rPr>
        <w:t>H₀: β₁ = β₂ = β₃ = β₄ = β₅ = β₆ = β₇ = 0 (none of the seven explanatory variables jointly explain variation in Deposit Return)</w:t>
      </w:r>
      <w:r w:rsidRPr="0078134C">
        <w:rPr>
          <w:rFonts w:ascii="Times New Roman" w:hAnsi="Times New Roman" w:cs="Times New Roman"/>
          <w:b/>
          <w:bCs/>
          <w:lang w:val="en-PK"/>
        </w:rPr>
        <w:br/>
        <w:t>H₁: At least one βᵢ ≠ 0</w:t>
      </w:r>
    </w:p>
    <w:p w14:paraId="783BED52" w14:textId="77777777" w:rsidR="00DA0729" w:rsidRPr="0078134C" w:rsidRDefault="00DA0729" w:rsidP="00DA0729">
      <w:pPr>
        <w:jc w:val="both"/>
        <w:rPr>
          <w:rFonts w:ascii="Times New Roman" w:hAnsi="Times New Roman" w:cs="Times New Roman"/>
          <w:lang w:val="en-PK"/>
        </w:rPr>
      </w:pPr>
      <w:r w:rsidRPr="0078134C">
        <w:rPr>
          <w:rFonts w:ascii="Times New Roman" w:hAnsi="Times New Roman" w:cs="Times New Roman"/>
          <w:lang w:val="en-PK"/>
        </w:rPr>
        <w:t>At the variable level, since the study's central research question concerns whether being an Islamic bank independently drives depositor returns, the coefficient on the Islamic Dummy carries its own dedicated hypothesis:</w:t>
      </w:r>
    </w:p>
    <w:p w14:paraId="2E0C652A" w14:textId="77777777" w:rsidR="00DA0729" w:rsidRPr="0078134C" w:rsidRDefault="00DA0729" w:rsidP="00DA0729">
      <w:pPr>
        <w:jc w:val="both"/>
        <w:rPr>
          <w:rFonts w:ascii="Times New Roman" w:hAnsi="Times New Roman" w:cs="Times New Roman"/>
          <w:lang w:val="en-PK"/>
        </w:rPr>
      </w:pPr>
      <w:r w:rsidRPr="0078134C">
        <w:rPr>
          <w:rFonts w:ascii="Times New Roman" w:hAnsi="Times New Roman" w:cs="Times New Roman"/>
          <w:lang w:val="en-PK"/>
        </w:rPr>
        <w:t>H₀: β₇ (Islamic Dummy) = 0 — once operating cost, profitability, liquidity, financing structure and bank size are held constant, being an Islamic bank has no independent effect on the return paid to depositors</w:t>
      </w:r>
      <w:r w:rsidRPr="0078134C">
        <w:rPr>
          <w:rFonts w:ascii="Times New Roman" w:hAnsi="Times New Roman" w:cs="Times New Roman"/>
          <w:lang w:val="en-PK"/>
        </w:rPr>
        <w:br/>
        <w:t>H₁: β₇ ≠ 0</w:t>
      </w:r>
    </w:p>
    <w:p w14:paraId="2C91D832" w14:textId="77777777" w:rsidR="00DA0729" w:rsidRPr="0078134C" w:rsidRDefault="00DA0729" w:rsidP="00DA0729">
      <w:pPr>
        <w:pStyle w:val="Heading2"/>
        <w:rPr>
          <w:rFonts w:ascii="Times New Roman" w:hAnsi="Times New Roman" w:cs="Times New Roman"/>
          <w:lang w:val="en-PK"/>
        </w:rPr>
      </w:pPr>
      <w:bookmarkStart w:id="33" w:name="_Toc234122928"/>
      <w:r w:rsidRPr="0078134C">
        <w:rPr>
          <w:rFonts w:ascii="Times New Roman" w:hAnsi="Times New Roman" w:cs="Times New Roman"/>
          <w:lang w:val="en-PK"/>
        </w:rPr>
        <w:t>Overall Model Significance</w:t>
      </w:r>
      <w:bookmarkEnd w:id="33"/>
    </w:p>
    <w:p w14:paraId="721FCB21" w14:textId="77777777" w:rsidR="00DA0729" w:rsidRPr="0078134C" w:rsidRDefault="00DA0729" w:rsidP="00DA0729">
      <w:pPr>
        <w:jc w:val="both"/>
        <w:rPr>
          <w:rFonts w:ascii="Times New Roman" w:hAnsi="Times New Roman" w:cs="Times New Roman"/>
          <w:lang w:val="en-PK"/>
        </w:rPr>
      </w:pPr>
      <w:r w:rsidRPr="0078134C">
        <w:rPr>
          <w:rFonts w:ascii="Times New Roman" w:hAnsi="Times New Roman" w:cs="Times New Roman"/>
          <w:lang w:val="en-PK"/>
        </w:rPr>
        <w:t>The regression is jointly significant. The F-statistic of 8.86 (Significance F = 9.9996 × 10⁻⁶) is far below the conventional 0.05 threshold, so the null hypothesis that all seven coefficients are simultaneously zero is rejected. The set of variables chosen for this model does explain a genuine, non-random share of the variation in Deposit Return across the 36 bank-year observations.</w:t>
      </w:r>
    </w:p>
    <w:p w14:paraId="48C0B071" w14:textId="77777777" w:rsidR="00DA0729" w:rsidRPr="0078134C" w:rsidRDefault="00DA0729" w:rsidP="00DA0729">
      <w:pPr>
        <w:pStyle w:val="Heading2"/>
        <w:rPr>
          <w:rFonts w:ascii="Times New Roman" w:hAnsi="Times New Roman" w:cs="Times New Roman"/>
          <w:lang w:val="en-PK"/>
        </w:rPr>
      </w:pPr>
      <w:bookmarkStart w:id="34" w:name="_Toc234122929"/>
      <w:r w:rsidRPr="0078134C">
        <w:rPr>
          <w:rFonts w:ascii="Times New Roman" w:hAnsi="Times New Roman" w:cs="Times New Roman"/>
          <w:lang w:val="en-PK"/>
        </w:rPr>
        <w:t>Explanatory Power</w:t>
      </w:r>
      <w:bookmarkEnd w:id="34"/>
    </w:p>
    <w:p w14:paraId="233DB7D8" w14:textId="77777777" w:rsidR="00DA0729" w:rsidRPr="0078134C" w:rsidRDefault="00DA0729" w:rsidP="00DA0729">
      <w:pPr>
        <w:jc w:val="both"/>
        <w:rPr>
          <w:rFonts w:ascii="Times New Roman" w:hAnsi="Times New Roman" w:cs="Times New Roman"/>
          <w:lang w:val="en-PK"/>
        </w:rPr>
      </w:pPr>
      <w:r w:rsidRPr="0078134C">
        <w:rPr>
          <w:rFonts w:ascii="Times New Roman" w:hAnsi="Times New Roman" w:cs="Times New Roman"/>
          <w:lang w:val="en-PK"/>
        </w:rPr>
        <w:t>R² = 0.6889 and Adjusted R² = 0.6111. Roughly 69% of the variation in Deposit Return across the sample is explained by the model, and after penalising for the seven predictors relative to 36 observations, the adjusted figure of 61% confirms the fit is not simply an artefact of over-fitting a small sample. For a cross-sectional model built entirely from accounting ratios, this is a strong result.</w:t>
      </w:r>
    </w:p>
    <w:p w14:paraId="11C29650" w14:textId="77777777" w:rsidR="00DA0729" w:rsidRPr="0078134C" w:rsidRDefault="00DA0729" w:rsidP="00DA0729">
      <w:pPr>
        <w:pStyle w:val="Heading2"/>
        <w:rPr>
          <w:rFonts w:ascii="Times New Roman" w:hAnsi="Times New Roman" w:cs="Times New Roman"/>
          <w:lang w:val="en-PK"/>
        </w:rPr>
      </w:pPr>
      <w:bookmarkStart w:id="35" w:name="_Toc234122930"/>
      <w:r w:rsidRPr="0078134C">
        <w:rPr>
          <w:rFonts w:ascii="Times New Roman" w:hAnsi="Times New Roman" w:cs="Times New Roman"/>
          <w:lang w:val="en-PK"/>
        </w:rPr>
        <w:t>Individual Coefficients</w:t>
      </w:r>
      <w:bookmarkEnd w:id="35"/>
    </w:p>
    <w:p w14:paraId="710D416B" w14:textId="77777777" w:rsidR="00DA0729" w:rsidRPr="0078134C" w:rsidRDefault="00DA0729" w:rsidP="00DA0729">
      <w:pPr>
        <w:jc w:val="both"/>
        <w:rPr>
          <w:rFonts w:ascii="Times New Roman" w:hAnsi="Times New Roman" w:cs="Times New Roman"/>
          <w:lang w:val="en-PK"/>
        </w:rPr>
      </w:pPr>
      <w:r w:rsidRPr="0078134C">
        <w:rPr>
          <w:rFonts w:ascii="Times New Roman" w:hAnsi="Times New Roman" w:cs="Times New Roman"/>
          <w:lang w:val="en-PK"/>
        </w:rPr>
        <w:t>At the 5% significance level (p &lt; 0.05), three variables are statistically significant predictors of Deposit Return:</w:t>
      </w:r>
    </w:p>
    <w:p w14:paraId="24939537" w14:textId="77777777" w:rsidR="00DA0729" w:rsidRPr="0078134C" w:rsidRDefault="00DA0729" w:rsidP="00DA0729">
      <w:pPr>
        <w:numPr>
          <w:ilvl w:val="0"/>
          <w:numId w:val="16"/>
        </w:numPr>
        <w:jc w:val="both"/>
        <w:rPr>
          <w:rFonts w:ascii="Times New Roman" w:hAnsi="Times New Roman" w:cs="Times New Roman"/>
          <w:lang w:val="en-PK"/>
        </w:rPr>
      </w:pPr>
      <w:r w:rsidRPr="0078134C">
        <w:rPr>
          <w:rFonts w:ascii="Times New Roman" w:hAnsi="Times New Roman" w:cs="Times New Roman"/>
          <w:b/>
          <w:bCs/>
          <w:lang w:val="en-PK"/>
        </w:rPr>
        <w:lastRenderedPageBreak/>
        <w:t>ROA</w:t>
      </w:r>
      <w:r w:rsidRPr="0078134C">
        <w:rPr>
          <w:rFonts w:ascii="Times New Roman" w:hAnsi="Times New Roman" w:cs="Times New Roman"/>
          <w:lang w:val="en-PK"/>
        </w:rPr>
        <w:t xml:space="preserve"> (coefficient = 1,033,848,838; p = 0.0364): significant. Higher return on assets is associated with materially higher deposit returns, holding the other variables constant.</w:t>
      </w:r>
    </w:p>
    <w:p w14:paraId="4CD035D2" w14:textId="77777777" w:rsidR="00DA0729" w:rsidRPr="0078134C" w:rsidRDefault="00DA0729" w:rsidP="00DA0729">
      <w:pPr>
        <w:numPr>
          <w:ilvl w:val="0"/>
          <w:numId w:val="16"/>
        </w:numPr>
        <w:jc w:val="both"/>
        <w:rPr>
          <w:rFonts w:ascii="Times New Roman" w:hAnsi="Times New Roman" w:cs="Times New Roman"/>
          <w:lang w:val="en-PK"/>
        </w:rPr>
      </w:pPr>
      <w:r w:rsidRPr="0078134C">
        <w:rPr>
          <w:rFonts w:ascii="Times New Roman" w:hAnsi="Times New Roman" w:cs="Times New Roman"/>
          <w:b/>
          <w:bCs/>
          <w:lang w:val="en-PK"/>
        </w:rPr>
        <w:t>Financing-to-Assets Ratio</w:t>
      </w:r>
      <w:r w:rsidRPr="0078134C">
        <w:rPr>
          <w:rFonts w:ascii="Times New Roman" w:hAnsi="Times New Roman" w:cs="Times New Roman"/>
          <w:lang w:val="en-PK"/>
        </w:rPr>
        <w:t xml:space="preserve"> (coefficient = 67,428,100; p = 0.000388): significant, and the most robust result in the model. A bank that deploys a larger share of its balance sheet into financing activity pays depositors more, independent of bank type.</w:t>
      </w:r>
    </w:p>
    <w:p w14:paraId="6AADA722" w14:textId="77777777" w:rsidR="00DA0729" w:rsidRPr="0078134C" w:rsidRDefault="00DA0729" w:rsidP="00DA0729">
      <w:pPr>
        <w:numPr>
          <w:ilvl w:val="0"/>
          <w:numId w:val="16"/>
        </w:numPr>
        <w:jc w:val="both"/>
        <w:rPr>
          <w:rFonts w:ascii="Times New Roman" w:hAnsi="Times New Roman" w:cs="Times New Roman"/>
          <w:lang w:val="en-PK"/>
        </w:rPr>
      </w:pPr>
      <w:r w:rsidRPr="0078134C">
        <w:rPr>
          <w:rFonts w:ascii="Times New Roman" w:hAnsi="Times New Roman" w:cs="Times New Roman"/>
          <w:b/>
          <w:bCs/>
          <w:lang w:val="en-PK"/>
        </w:rPr>
        <w:t>Bank Size</w:t>
      </w:r>
      <w:r w:rsidRPr="0078134C">
        <w:rPr>
          <w:rFonts w:ascii="Times New Roman" w:hAnsi="Times New Roman" w:cs="Times New Roman"/>
          <w:lang w:val="en-PK"/>
        </w:rPr>
        <w:t xml:space="preserve"> (coefficient = 7,857,986; p = 0.00327): significant. Larger banks, measured by log of total assets, are associated with higher deposit returns, consistent with scale effects.</w:t>
      </w:r>
    </w:p>
    <w:p w14:paraId="22F1A822" w14:textId="77777777" w:rsidR="00DA0729" w:rsidRPr="0078134C" w:rsidRDefault="00DA0729" w:rsidP="00DA0729">
      <w:pPr>
        <w:jc w:val="both"/>
        <w:rPr>
          <w:rFonts w:ascii="Times New Roman" w:hAnsi="Times New Roman" w:cs="Times New Roman"/>
          <w:lang w:val="en-PK"/>
        </w:rPr>
      </w:pPr>
      <w:r w:rsidRPr="0078134C">
        <w:rPr>
          <w:rFonts w:ascii="Times New Roman" w:hAnsi="Times New Roman" w:cs="Times New Roman"/>
          <w:lang w:val="en-PK"/>
        </w:rPr>
        <w:t>Four variables fail to reject the null at 5%:</w:t>
      </w:r>
    </w:p>
    <w:p w14:paraId="2BCBDF98" w14:textId="77777777" w:rsidR="00DA0729" w:rsidRPr="0078134C" w:rsidRDefault="00DA0729" w:rsidP="00DA0729">
      <w:pPr>
        <w:numPr>
          <w:ilvl w:val="0"/>
          <w:numId w:val="17"/>
        </w:numPr>
        <w:jc w:val="both"/>
        <w:rPr>
          <w:rFonts w:ascii="Times New Roman" w:hAnsi="Times New Roman" w:cs="Times New Roman"/>
          <w:lang w:val="en-PK"/>
        </w:rPr>
      </w:pPr>
      <w:r w:rsidRPr="0078134C">
        <w:rPr>
          <w:rFonts w:ascii="Times New Roman" w:hAnsi="Times New Roman" w:cs="Times New Roman"/>
          <w:b/>
          <w:bCs/>
          <w:lang w:val="en-PK"/>
        </w:rPr>
        <w:t>Operating Expense Ratio</w:t>
      </w:r>
      <w:r w:rsidRPr="0078134C">
        <w:rPr>
          <w:rFonts w:ascii="Times New Roman" w:hAnsi="Times New Roman" w:cs="Times New Roman"/>
          <w:lang w:val="en-PK"/>
        </w:rPr>
        <w:t xml:space="preserve"> (p = 0.4557): not significant.</w:t>
      </w:r>
    </w:p>
    <w:p w14:paraId="474D8962" w14:textId="77777777" w:rsidR="00DA0729" w:rsidRPr="0078134C" w:rsidRDefault="00DA0729" w:rsidP="00DA0729">
      <w:pPr>
        <w:numPr>
          <w:ilvl w:val="0"/>
          <w:numId w:val="17"/>
        </w:numPr>
        <w:jc w:val="both"/>
        <w:rPr>
          <w:rFonts w:ascii="Times New Roman" w:hAnsi="Times New Roman" w:cs="Times New Roman"/>
          <w:lang w:val="en-PK"/>
        </w:rPr>
      </w:pPr>
      <w:r w:rsidRPr="0078134C">
        <w:rPr>
          <w:rFonts w:ascii="Times New Roman" w:hAnsi="Times New Roman" w:cs="Times New Roman"/>
          <w:b/>
          <w:bCs/>
          <w:lang w:val="en-PK"/>
        </w:rPr>
        <w:t>Cost-to-Income Ratio</w:t>
      </w:r>
      <w:r w:rsidRPr="0078134C">
        <w:rPr>
          <w:rFonts w:ascii="Times New Roman" w:hAnsi="Times New Roman" w:cs="Times New Roman"/>
          <w:lang w:val="en-PK"/>
        </w:rPr>
        <w:t xml:space="preserve"> (p = 0.7223): not significant.</w:t>
      </w:r>
    </w:p>
    <w:p w14:paraId="049C532A" w14:textId="77777777" w:rsidR="00DA0729" w:rsidRPr="0078134C" w:rsidRDefault="00DA0729" w:rsidP="00DA0729">
      <w:pPr>
        <w:numPr>
          <w:ilvl w:val="0"/>
          <w:numId w:val="17"/>
        </w:numPr>
        <w:jc w:val="both"/>
        <w:rPr>
          <w:rFonts w:ascii="Times New Roman" w:hAnsi="Times New Roman" w:cs="Times New Roman"/>
          <w:lang w:val="en-PK"/>
        </w:rPr>
      </w:pPr>
      <w:r w:rsidRPr="0078134C">
        <w:rPr>
          <w:rFonts w:ascii="Times New Roman" w:hAnsi="Times New Roman" w:cs="Times New Roman"/>
          <w:b/>
          <w:bCs/>
          <w:lang w:val="en-PK"/>
        </w:rPr>
        <w:t>Cash-to-Assets Ratio</w:t>
      </w:r>
      <w:r w:rsidRPr="0078134C">
        <w:rPr>
          <w:rFonts w:ascii="Times New Roman" w:hAnsi="Times New Roman" w:cs="Times New Roman"/>
          <w:lang w:val="en-PK"/>
        </w:rPr>
        <w:t xml:space="preserve"> (p = 0.8302): not significant.</w:t>
      </w:r>
    </w:p>
    <w:p w14:paraId="7C2F2E92" w14:textId="77777777" w:rsidR="00DA0729" w:rsidRPr="0078134C" w:rsidRDefault="00DA0729" w:rsidP="00DA0729">
      <w:pPr>
        <w:numPr>
          <w:ilvl w:val="0"/>
          <w:numId w:val="17"/>
        </w:numPr>
        <w:jc w:val="both"/>
        <w:rPr>
          <w:rFonts w:ascii="Times New Roman" w:hAnsi="Times New Roman" w:cs="Times New Roman"/>
          <w:lang w:val="en-PK"/>
        </w:rPr>
      </w:pPr>
      <w:r w:rsidRPr="0078134C">
        <w:rPr>
          <w:rFonts w:ascii="Times New Roman" w:hAnsi="Times New Roman" w:cs="Times New Roman"/>
          <w:b/>
          <w:bCs/>
          <w:lang w:val="en-PK"/>
        </w:rPr>
        <w:t>Islamic Dummy</w:t>
      </w:r>
      <w:r w:rsidRPr="0078134C">
        <w:rPr>
          <w:rFonts w:ascii="Times New Roman" w:hAnsi="Times New Roman" w:cs="Times New Roman"/>
          <w:lang w:val="en-PK"/>
        </w:rPr>
        <w:t xml:space="preserve"> (coefficient = 1,160,228; p = 0.7854): not significant.</w:t>
      </w:r>
    </w:p>
    <w:p w14:paraId="391A9FB6" w14:textId="77777777" w:rsidR="00DA0729" w:rsidRPr="0078134C" w:rsidRDefault="00DA0729" w:rsidP="00DA0729">
      <w:pPr>
        <w:pStyle w:val="Heading2"/>
        <w:rPr>
          <w:rFonts w:ascii="Times New Roman" w:hAnsi="Times New Roman" w:cs="Times New Roman"/>
          <w:lang w:val="en-PK"/>
        </w:rPr>
      </w:pPr>
      <w:bookmarkStart w:id="36" w:name="_Toc234122931"/>
      <w:r w:rsidRPr="0078134C">
        <w:rPr>
          <w:rFonts w:ascii="Times New Roman" w:hAnsi="Times New Roman" w:cs="Times New Roman"/>
          <w:lang w:val="en-PK"/>
        </w:rPr>
        <w:t>Interpretation of the Islamic Dummy Result</w:t>
      </w:r>
      <w:bookmarkEnd w:id="36"/>
    </w:p>
    <w:p w14:paraId="4D6DC895" w14:textId="29067AB3" w:rsidR="00DA0729" w:rsidRPr="0078134C" w:rsidRDefault="00DA0729" w:rsidP="00DA0729">
      <w:pPr>
        <w:jc w:val="both"/>
        <w:rPr>
          <w:rFonts w:ascii="Times New Roman" w:hAnsi="Times New Roman" w:cs="Times New Roman"/>
          <w:lang w:val="en-PK"/>
        </w:rPr>
      </w:pPr>
      <w:r w:rsidRPr="0078134C">
        <w:rPr>
          <w:rFonts w:ascii="Times New Roman" w:hAnsi="Times New Roman" w:cs="Times New Roman"/>
          <w:lang w:val="en-PK"/>
        </w:rPr>
        <w:t>This is the finding the whole study is built to produce, and it is worth stating plainly rather than burying in a coefficient table. The null hypothesis on the Islamic Dummy</w:t>
      </w:r>
      <w:r w:rsidR="004214CC" w:rsidRPr="0078134C">
        <w:rPr>
          <w:rFonts w:ascii="Times New Roman" w:hAnsi="Times New Roman" w:cs="Times New Roman"/>
          <w:lang w:val="en-PK"/>
        </w:rPr>
        <w:t>,</w:t>
      </w:r>
      <w:r w:rsidRPr="0078134C">
        <w:rPr>
          <w:rFonts w:ascii="Times New Roman" w:hAnsi="Times New Roman" w:cs="Times New Roman"/>
          <w:lang w:val="en-PK"/>
        </w:rPr>
        <w:t xml:space="preserve"> that being an Islamic bank has no independent effect on deposit returns once cost, profitability, liquidity, financing structure and size are controlled for</w:t>
      </w:r>
      <w:r w:rsidR="004214CC" w:rsidRPr="0078134C">
        <w:rPr>
          <w:rFonts w:ascii="Times New Roman" w:hAnsi="Times New Roman" w:cs="Times New Roman"/>
          <w:lang w:val="en-PK"/>
        </w:rPr>
        <w:t xml:space="preserve"> </w:t>
      </w:r>
      <w:r w:rsidRPr="0078134C">
        <w:rPr>
          <w:rFonts w:ascii="Times New Roman" w:hAnsi="Times New Roman" w:cs="Times New Roman"/>
          <w:lang w:val="en-PK"/>
        </w:rPr>
        <w:t>cannot be rejected (p = 0.785, far above any conventional threshold). In practical terms: the raw ROA and ROE gap documented is real, but it does not survive being placed inside a regression alongside Financing-to-Assets Ratio and ROA. Once those two variables are already in the model, "Islamic or not" adds nothing further in explaining what a bank pays its depositors.</w:t>
      </w:r>
    </w:p>
    <w:p w14:paraId="5EF37448" w14:textId="12640F9B" w:rsidR="002C1045" w:rsidRDefault="00DA0729" w:rsidP="00DA0729">
      <w:pPr>
        <w:jc w:val="both"/>
        <w:rPr>
          <w:rFonts w:ascii="Times New Roman" w:hAnsi="Times New Roman" w:cs="Times New Roman"/>
          <w:b/>
          <w:bCs/>
          <w:lang w:val="en-PK"/>
        </w:rPr>
      </w:pPr>
      <w:r w:rsidRPr="0078134C">
        <w:rPr>
          <w:rFonts w:ascii="Times New Roman" w:hAnsi="Times New Roman" w:cs="Times New Roman"/>
          <w:lang w:val="en-PK"/>
        </w:rPr>
        <w:t>This directly answers the research hypothesis stated at the outset of the study. The hypothesis was that Islamic banks face higher structural operating costs, and that these costs are passed on to depositors as lower returns. The regression does not support this. Operating Expense Ratio and Cost-to-Income Ratio are both statistically insignificant predictors of Deposit Return, and the Islamic Dummy itself is insignificant once financing structure and profitability are accounted for. What does predict Deposit Return, robustly, is how much of the balance sheet a bank puts to work in financing (Financing-to-Assets Ratio), how profitable that financing is (ROA), and how large the bank is (Bank Size)</w:t>
      </w:r>
      <w:r w:rsidR="004214CC" w:rsidRPr="0078134C">
        <w:rPr>
          <w:rFonts w:ascii="Times New Roman" w:hAnsi="Times New Roman" w:cs="Times New Roman"/>
          <w:lang w:val="en-PK"/>
        </w:rPr>
        <w:t xml:space="preserve">, </w:t>
      </w:r>
      <w:r w:rsidRPr="0078134C">
        <w:rPr>
          <w:rFonts w:ascii="Times New Roman" w:hAnsi="Times New Roman" w:cs="Times New Roman"/>
          <w:lang w:val="en-PK"/>
        </w:rPr>
        <w:t xml:space="preserve">none of which are unique to, or driven by, Islamic versus conventional structure. </w:t>
      </w:r>
      <w:r w:rsidRPr="0078134C">
        <w:rPr>
          <w:rFonts w:ascii="Times New Roman" w:hAnsi="Times New Roman" w:cs="Times New Roman"/>
          <w:b/>
          <w:bCs/>
          <w:lang w:val="en-PK"/>
        </w:rPr>
        <w:t>This is consistent with, and statistically confirms, the descriptive finding: the apparent Islamic/conventional gap in this sample is a compositional effect rather than a structural cost or governance effect tied to Shariah compliance itself.</w:t>
      </w:r>
    </w:p>
    <w:p w14:paraId="66CF3B86" w14:textId="77777777" w:rsidR="00905174" w:rsidRDefault="00905174" w:rsidP="00DA0729">
      <w:pPr>
        <w:jc w:val="both"/>
        <w:rPr>
          <w:rFonts w:ascii="Times New Roman" w:hAnsi="Times New Roman" w:cs="Times New Roman"/>
          <w:b/>
          <w:bCs/>
          <w:lang w:val="en-PK"/>
        </w:rPr>
      </w:pPr>
    </w:p>
    <w:p w14:paraId="0EFB9A1D" w14:textId="77777777" w:rsidR="00905174" w:rsidRDefault="00905174" w:rsidP="00DA0729">
      <w:pPr>
        <w:jc w:val="both"/>
        <w:rPr>
          <w:rFonts w:ascii="Times New Roman" w:hAnsi="Times New Roman" w:cs="Times New Roman"/>
          <w:b/>
          <w:bCs/>
          <w:lang w:val="en-PK"/>
        </w:rPr>
      </w:pPr>
    </w:p>
    <w:p w14:paraId="2FFF629F" w14:textId="77777777" w:rsidR="00905174" w:rsidRDefault="00905174" w:rsidP="00DA0729">
      <w:pPr>
        <w:jc w:val="both"/>
        <w:rPr>
          <w:rFonts w:ascii="Times New Roman" w:hAnsi="Times New Roman" w:cs="Times New Roman"/>
          <w:b/>
          <w:bCs/>
          <w:lang w:val="en-PK"/>
        </w:rPr>
      </w:pPr>
    </w:p>
    <w:p w14:paraId="41AE5C08" w14:textId="77777777" w:rsidR="00905174" w:rsidRDefault="00905174" w:rsidP="00DA0729">
      <w:pPr>
        <w:jc w:val="both"/>
        <w:rPr>
          <w:rFonts w:ascii="Times New Roman" w:hAnsi="Times New Roman" w:cs="Times New Roman"/>
          <w:b/>
          <w:bCs/>
          <w:lang w:val="en-PK"/>
        </w:rPr>
      </w:pPr>
    </w:p>
    <w:p w14:paraId="7AD9E70E" w14:textId="77777777" w:rsidR="00905174" w:rsidRDefault="00905174" w:rsidP="00DA0729">
      <w:pPr>
        <w:jc w:val="both"/>
        <w:rPr>
          <w:rFonts w:ascii="Times New Roman" w:hAnsi="Times New Roman" w:cs="Times New Roman"/>
          <w:b/>
          <w:bCs/>
          <w:lang w:val="en-PK"/>
        </w:rPr>
      </w:pPr>
    </w:p>
    <w:p w14:paraId="0C4D8A05" w14:textId="77777777" w:rsidR="00905174" w:rsidRPr="0078134C" w:rsidRDefault="00905174" w:rsidP="00DA0729">
      <w:pPr>
        <w:jc w:val="both"/>
        <w:rPr>
          <w:rFonts w:ascii="Times New Roman" w:hAnsi="Times New Roman" w:cs="Times New Roman"/>
          <w:b/>
          <w:bCs/>
          <w:lang w:val="en-PK"/>
        </w:rPr>
      </w:pPr>
    </w:p>
    <w:p w14:paraId="03C8B759" w14:textId="65B31303" w:rsidR="003712C9" w:rsidRPr="0078134C" w:rsidRDefault="0043455B" w:rsidP="0043455B">
      <w:pPr>
        <w:pStyle w:val="Heading1"/>
        <w:rPr>
          <w:rFonts w:ascii="Times New Roman" w:hAnsi="Times New Roman" w:cs="Times New Roman"/>
        </w:rPr>
      </w:pPr>
      <w:bookmarkStart w:id="37" w:name="_Toc234122932"/>
      <w:r w:rsidRPr="0078134C">
        <w:rPr>
          <w:rFonts w:ascii="Times New Roman" w:hAnsi="Times New Roman" w:cs="Times New Roman"/>
        </w:rPr>
        <w:lastRenderedPageBreak/>
        <w:t>References</w:t>
      </w:r>
      <w:bookmarkEnd w:id="37"/>
    </w:p>
    <w:p w14:paraId="4C6C0C8E" w14:textId="77777777" w:rsidR="00AA4335" w:rsidRPr="0078134C" w:rsidRDefault="00AA4335" w:rsidP="00AA4335">
      <w:pPr>
        <w:rPr>
          <w:rFonts w:ascii="Times New Roman" w:hAnsi="Times New Roman" w:cs="Times New Roman"/>
          <w:lang w:val="en-PK"/>
        </w:rPr>
      </w:pPr>
      <w:r w:rsidRPr="0078134C">
        <w:rPr>
          <w:rFonts w:ascii="Times New Roman" w:hAnsi="Times New Roman" w:cs="Times New Roman"/>
          <w:lang w:val="en-PK"/>
        </w:rPr>
        <w:t xml:space="preserve">Ali, A., Akbar, M., &amp; Svobodová, I. L. (2022). A comparative performance appraisal of Islamic and conventional banking in Pakistan. </w:t>
      </w:r>
      <w:r w:rsidRPr="0078134C">
        <w:rPr>
          <w:rFonts w:ascii="Times New Roman" w:hAnsi="Times New Roman" w:cs="Times New Roman"/>
          <w:i/>
          <w:iCs/>
          <w:lang w:val="en-PK"/>
        </w:rPr>
        <w:t>Academy of Accounting and Financial Studies Journal, 26</w:t>
      </w:r>
      <w:r w:rsidRPr="0078134C">
        <w:rPr>
          <w:rFonts w:ascii="Times New Roman" w:hAnsi="Times New Roman" w:cs="Times New Roman"/>
          <w:lang w:val="en-PK"/>
        </w:rPr>
        <w:t>(S2), 1–13.</w:t>
      </w:r>
    </w:p>
    <w:p w14:paraId="682A84FE" w14:textId="77777777" w:rsidR="00AA4335" w:rsidRPr="0078134C" w:rsidRDefault="00AA4335" w:rsidP="00AA4335">
      <w:pPr>
        <w:rPr>
          <w:rFonts w:ascii="Times New Roman" w:hAnsi="Times New Roman" w:cs="Times New Roman"/>
          <w:lang w:val="en-PK"/>
        </w:rPr>
      </w:pPr>
      <w:r w:rsidRPr="0078134C">
        <w:rPr>
          <w:rFonts w:ascii="Times New Roman" w:hAnsi="Times New Roman" w:cs="Times New Roman"/>
          <w:lang w:val="en-PK"/>
        </w:rPr>
        <w:t xml:space="preserve">Akhtar, M. F., Ali, K., &amp; Sadaqat, S. (2011). Liquidity risk management: A comparative study between conventional and Islamic banks of Pakistan. </w:t>
      </w:r>
      <w:r w:rsidRPr="0078134C">
        <w:rPr>
          <w:rFonts w:ascii="Times New Roman" w:hAnsi="Times New Roman" w:cs="Times New Roman"/>
          <w:i/>
          <w:iCs/>
          <w:lang w:val="en-PK"/>
        </w:rPr>
        <w:t>Interdisciplinary Journal of Research in Business, 1</w:t>
      </w:r>
      <w:r w:rsidRPr="0078134C">
        <w:rPr>
          <w:rFonts w:ascii="Times New Roman" w:hAnsi="Times New Roman" w:cs="Times New Roman"/>
          <w:lang w:val="en-PK"/>
        </w:rPr>
        <w:t>(1), 35–44.</w:t>
      </w:r>
    </w:p>
    <w:p w14:paraId="423CE335" w14:textId="77777777" w:rsidR="00AA4335" w:rsidRPr="0078134C" w:rsidRDefault="00AA4335" w:rsidP="00AA4335">
      <w:pPr>
        <w:rPr>
          <w:rFonts w:ascii="Times New Roman" w:hAnsi="Times New Roman" w:cs="Times New Roman"/>
          <w:lang w:val="en-PK"/>
        </w:rPr>
      </w:pPr>
      <w:r w:rsidRPr="0078134C">
        <w:rPr>
          <w:rFonts w:ascii="Times New Roman" w:hAnsi="Times New Roman" w:cs="Times New Roman"/>
          <w:lang w:val="en-PK"/>
        </w:rPr>
        <w:t xml:space="preserve">Beck, T., Demirgüç-Kunt, A., &amp; Merrouche, O. (2013). Islamic vs. conventional banking: Business model, efficiency and stability. </w:t>
      </w:r>
      <w:r w:rsidRPr="0078134C">
        <w:rPr>
          <w:rFonts w:ascii="Times New Roman" w:hAnsi="Times New Roman" w:cs="Times New Roman"/>
          <w:i/>
          <w:iCs/>
          <w:lang w:val="en-PK"/>
        </w:rPr>
        <w:t>Journal of Banking &amp; Finance, 37</w:t>
      </w:r>
      <w:r w:rsidRPr="0078134C">
        <w:rPr>
          <w:rFonts w:ascii="Times New Roman" w:hAnsi="Times New Roman" w:cs="Times New Roman"/>
          <w:lang w:val="en-PK"/>
        </w:rPr>
        <w:t>(2), 433–447.</w:t>
      </w:r>
    </w:p>
    <w:p w14:paraId="34E5476A" w14:textId="77777777" w:rsidR="00AA4335" w:rsidRPr="0078134C" w:rsidRDefault="00AA4335" w:rsidP="00AA4335">
      <w:pPr>
        <w:rPr>
          <w:rFonts w:ascii="Times New Roman" w:hAnsi="Times New Roman" w:cs="Times New Roman"/>
          <w:lang w:val="en-PK"/>
        </w:rPr>
      </w:pPr>
      <w:r w:rsidRPr="0078134C">
        <w:rPr>
          <w:rFonts w:ascii="Times New Roman" w:hAnsi="Times New Roman" w:cs="Times New Roman"/>
          <w:lang w:val="en-PK"/>
        </w:rPr>
        <w:t xml:space="preserve">Khan, M. I., &amp; Shah, I. A. (2015). Cost efficiency and total factor productivity of Islamic and conventional banks in Pakistan. </w:t>
      </w:r>
      <w:r w:rsidRPr="0078134C">
        <w:rPr>
          <w:rFonts w:ascii="Times New Roman" w:hAnsi="Times New Roman" w:cs="Times New Roman"/>
          <w:i/>
          <w:iCs/>
          <w:lang w:val="en-PK"/>
        </w:rPr>
        <w:t>Research Journal of Finance and Accounting, 6</w:t>
      </w:r>
      <w:r w:rsidRPr="0078134C">
        <w:rPr>
          <w:rFonts w:ascii="Times New Roman" w:hAnsi="Times New Roman" w:cs="Times New Roman"/>
          <w:lang w:val="en-PK"/>
        </w:rPr>
        <w:t>(5), 135–146.</w:t>
      </w:r>
    </w:p>
    <w:p w14:paraId="5AF17B35" w14:textId="2BE9356B" w:rsidR="00AA4335" w:rsidRPr="0078134C" w:rsidRDefault="00AA4335" w:rsidP="00AA4335">
      <w:pPr>
        <w:rPr>
          <w:rFonts w:ascii="Times New Roman" w:hAnsi="Times New Roman" w:cs="Times New Roman"/>
          <w:lang w:val="en-PK"/>
        </w:rPr>
      </w:pPr>
      <w:r w:rsidRPr="0078134C">
        <w:rPr>
          <w:rFonts w:ascii="Times New Roman" w:hAnsi="Times New Roman" w:cs="Times New Roman"/>
          <w:lang w:val="en-PK"/>
        </w:rPr>
        <w:t xml:space="preserve">Majeed, M. T., &amp; Zanib, A. (2016). Efficiency analysis of Islamic banks in Pakistan. </w:t>
      </w:r>
      <w:r w:rsidRPr="0078134C">
        <w:rPr>
          <w:rFonts w:ascii="Times New Roman" w:hAnsi="Times New Roman" w:cs="Times New Roman"/>
          <w:i/>
          <w:iCs/>
          <w:lang w:val="en-PK"/>
        </w:rPr>
        <w:t>Humanomics, 32</w:t>
      </w:r>
      <w:r w:rsidRPr="0078134C">
        <w:rPr>
          <w:rFonts w:ascii="Times New Roman" w:hAnsi="Times New Roman" w:cs="Times New Roman"/>
          <w:lang w:val="en-PK"/>
        </w:rPr>
        <w:t xml:space="preserve">(1), 19–32. </w:t>
      </w:r>
    </w:p>
    <w:p w14:paraId="7D1087F4" w14:textId="6E743333" w:rsidR="00AA4335" w:rsidRPr="0078134C" w:rsidRDefault="00AA4335" w:rsidP="00AA4335">
      <w:pPr>
        <w:rPr>
          <w:rFonts w:ascii="Times New Roman" w:hAnsi="Times New Roman" w:cs="Times New Roman"/>
          <w:lang w:val="en-PK"/>
        </w:rPr>
      </w:pPr>
      <w:r w:rsidRPr="0078134C">
        <w:rPr>
          <w:rFonts w:ascii="Times New Roman" w:hAnsi="Times New Roman" w:cs="Times New Roman"/>
          <w:lang w:val="en-PK"/>
        </w:rPr>
        <w:t xml:space="preserve">Qureshi, M. A., &amp; Shaikh, M. (2012). Efficiency of Islamic and conventional banks in Pakistan: A non-parametric approach. </w:t>
      </w:r>
      <w:r w:rsidRPr="0078134C">
        <w:rPr>
          <w:rFonts w:ascii="Times New Roman" w:hAnsi="Times New Roman" w:cs="Times New Roman"/>
          <w:i/>
          <w:iCs/>
          <w:lang w:val="en-PK"/>
        </w:rPr>
        <w:t>International Journal of Business and Management, 7</w:t>
      </w:r>
      <w:r w:rsidRPr="0078134C">
        <w:rPr>
          <w:rFonts w:ascii="Times New Roman" w:hAnsi="Times New Roman" w:cs="Times New Roman"/>
          <w:lang w:val="en-PK"/>
        </w:rPr>
        <w:t>(7), 40–50.</w:t>
      </w:r>
    </w:p>
    <w:p w14:paraId="17647703" w14:textId="77777777" w:rsidR="0043455B" w:rsidRPr="0078134C" w:rsidRDefault="0043455B" w:rsidP="0043455B">
      <w:pPr>
        <w:rPr>
          <w:rFonts w:ascii="Times New Roman" w:hAnsi="Times New Roman" w:cs="Times New Roman"/>
        </w:rPr>
      </w:pPr>
    </w:p>
    <w:sectPr w:rsidR="0043455B" w:rsidRPr="0078134C">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F9B6" w14:textId="77777777" w:rsidR="00ED3160" w:rsidRDefault="00ED3160" w:rsidP="00741524">
      <w:pPr>
        <w:spacing w:after="0" w:line="240" w:lineRule="auto"/>
      </w:pPr>
      <w:r>
        <w:separator/>
      </w:r>
    </w:p>
  </w:endnote>
  <w:endnote w:type="continuationSeparator" w:id="0">
    <w:p w14:paraId="355330B0" w14:textId="77777777" w:rsidR="00ED3160" w:rsidRDefault="00ED3160" w:rsidP="00741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CADFE" w14:textId="77777777" w:rsidR="00ED3160" w:rsidRDefault="00ED3160" w:rsidP="00741524">
      <w:pPr>
        <w:spacing w:after="0" w:line="240" w:lineRule="auto"/>
      </w:pPr>
      <w:r>
        <w:separator/>
      </w:r>
    </w:p>
  </w:footnote>
  <w:footnote w:type="continuationSeparator" w:id="0">
    <w:p w14:paraId="4AEE3E6B" w14:textId="77777777" w:rsidR="00ED3160" w:rsidRDefault="00ED3160" w:rsidP="00741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398541"/>
      <w:docPartObj>
        <w:docPartGallery w:val="Page Numbers (Top of Page)"/>
        <w:docPartUnique/>
      </w:docPartObj>
    </w:sdtPr>
    <w:sdtEndPr>
      <w:rPr>
        <w:noProof/>
      </w:rPr>
    </w:sdtEndPr>
    <w:sdtContent>
      <w:p w14:paraId="2C509988" w14:textId="19EFC8E1" w:rsidR="00741524" w:rsidRDefault="0074152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9126CAA" w14:textId="77777777" w:rsidR="00741524" w:rsidRDefault="007415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7392B"/>
    <w:multiLevelType w:val="multilevel"/>
    <w:tmpl w:val="CA8E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B4B59"/>
    <w:multiLevelType w:val="hybridMultilevel"/>
    <w:tmpl w:val="A5E83A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7321988"/>
    <w:multiLevelType w:val="hybridMultilevel"/>
    <w:tmpl w:val="441690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A241467"/>
    <w:multiLevelType w:val="hybridMultilevel"/>
    <w:tmpl w:val="DB0624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F807FB7"/>
    <w:multiLevelType w:val="hybridMultilevel"/>
    <w:tmpl w:val="E2EC05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2C32692"/>
    <w:multiLevelType w:val="hybridMultilevel"/>
    <w:tmpl w:val="F1E0B3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952476A"/>
    <w:multiLevelType w:val="hybridMultilevel"/>
    <w:tmpl w:val="E2D0F5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2475AED"/>
    <w:multiLevelType w:val="hybridMultilevel"/>
    <w:tmpl w:val="E3A02A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6A24491"/>
    <w:multiLevelType w:val="hybridMultilevel"/>
    <w:tmpl w:val="77C89C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8591C70"/>
    <w:multiLevelType w:val="multilevel"/>
    <w:tmpl w:val="7C04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90D7F"/>
    <w:multiLevelType w:val="hybridMultilevel"/>
    <w:tmpl w:val="34D8996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FEB0397"/>
    <w:multiLevelType w:val="hybridMultilevel"/>
    <w:tmpl w:val="DE8E87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6B87FD8"/>
    <w:multiLevelType w:val="hybridMultilevel"/>
    <w:tmpl w:val="C50AB2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F876D39"/>
    <w:multiLevelType w:val="hybridMultilevel"/>
    <w:tmpl w:val="CC9AB2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FDE7395"/>
    <w:multiLevelType w:val="hybridMultilevel"/>
    <w:tmpl w:val="DB4EEF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2905245"/>
    <w:multiLevelType w:val="hybridMultilevel"/>
    <w:tmpl w:val="B94E53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8580BFB"/>
    <w:multiLevelType w:val="hybridMultilevel"/>
    <w:tmpl w:val="BD34048A"/>
    <w:lvl w:ilvl="0" w:tplc="A49209E0">
      <w:start w:val="1"/>
      <w:numFmt w:val="bullet"/>
      <w:lvlText w:val="●"/>
      <w:lvlJc w:val="left"/>
      <w:pPr>
        <w:ind w:left="720" w:hanging="360"/>
      </w:pPr>
    </w:lvl>
    <w:lvl w:ilvl="1" w:tplc="35404738">
      <w:start w:val="1"/>
      <w:numFmt w:val="bullet"/>
      <w:lvlText w:val="○"/>
      <w:lvlJc w:val="left"/>
      <w:pPr>
        <w:ind w:left="1440" w:hanging="360"/>
      </w:pPr>
    </w:lvl>
    <w:lvl w:ilvl="2" w:tplc="8AF45BC0">
      <w:start w:val="1"/>
      <w:numFmt w:val="bullet"/>
      <w:lvlText w:val="■"/>
      <w:lvlJc w:val="left"/>
      <w:pPr>
        <w:ind w:left="2160" w:hanging="360"/>
      </w:pPr>
    </w:lvl>
    <w:lvl w:ilvl="3" w:tplc="29528F1C">
      <w:start w:val="1"/>
      <w:numFmt w:val="bullet"/>
      <w:lvlText w:val="●"/>
      <w:lvlJc w:val="left"/>
      <w:pPr>
        <w:ind w:left="2880" w:hanging="360"/>
      </w:pPr>
    </w:lvl>
    <w:lvl w:ilvl="4" w:tplc="A0CC5CD4">
      <w:start w:val="1"/>
      <w:numFmt w:val="bullet"/>
      <w:lvlText w:val="○"/>
      <w:lvlJc w:val="left"/>
      <w:pPr>
        <w:ind w:left="3600" w:hanging="360"/>
      </w:pPr>
    </w:lvl>
    <w:lvl w:ilvl="5" w:tplc="9F4809A0">
      <w:start w:val="1"/>
      <w:numFmt w:val="bullet"/>
      <w:lvlText w:val="■"/>
      <w:lvlJc w:val="left"/>
      <w:pPr>
        <w:ind w:left="4320" w:hanging="360"/>
      </w:pPr>
    </w:lvl>
    <w:lvl w:ilvl="6" w:tplc="BFFCB432">
      <w:start w:val="1"/>
      <w:numFmt w:val="bullet"/>
      <w:lvlText w:val="●"/>
      <w:lvlJc w:val="left"/>
      <w:pPr>
        <w:ind w:left="5040" w:hanging="360"/>
      </w:pPr>
    </w:lvl>
    <w:lvl w:ilvl="7" w:tplc="88FA40F2">
      <w:start w:val="1"/>
      <w:numFmt w:val="bullet"/>
      <w:lvlText w:val="●"/>
      <w:lvlJc w:val="left"/>
      <w:pPr>
        <w:ind w:left="5760" w:hanging="360"/>
      </w:pPr>
    </w:lvl>
    <w:lvl w:ilvl="8" w:tplc="D208F35C">
      <w:start w:val="1"/>
      <w:numFmt w:val="bullet"/>
      <w:lvlText w:val="●"/>
      <w:lvlJc w:val="left"/>
      <w:pPr>
        <w:ind w:left="6480" w:hanging="360"/>
      </w:pPr>
    </w:lvl>
  </w:abstractNum>
  <w:num w:numId="1" w16cid:durableId="1186288812">
    <w:abstractNumId w:val="1"/>
  </w:num>
  <w:num w:numId="2" w16cid:durableId="750782782">
    <w:abstractNumId w:val="5"/>
  </w:num>
  <w:num w:numId="3" w16cid:durableId="384179128">
    <w:abstractNumId w:val="2"/>
  </w:num>
  <w:num w:numId="4" w16cid:durableId="2063484349">
    <w:abstractNumId w:val="4"/>
  </w:num>
  <w:num w:numId="5" w16cid:durableId="282463855">
    <w:abstractNumId w:val="11"/>
  </w:num>
  <w:num w:numId="6" w16cid:durableId="416291123">
    <w:abstractNumId w:val="13"/>
  </w:num>
  <w:num w:numId="7" w16cid:durableId="1393961848">
    <w:abstractNumId w:val="8"/>
  </w:num>
  <w:num w:numId="8" w16cid:durableId="1848133372">
    <w:abstractNumId w:val="12"/>
  </w:num>
  <w:num w:numId="9" w16cid:durableId="490829266">
    <w:abstractNumId w:val="6"/>
  </w:num>
  <w:num w:numId="10" w16cid:durableId="994918203">
    <w:abstractNumId w:val="14"/>
  </w:num>
  <w:num w:numId="11" w16cid:durableId="1818692934">
    <w:abstractNumId w:val="15"/>
  </w:num>
  <w:num w:numId="12" w16cid:durableId="747924447">
    <w:abstractNumId w:val="3"/>
  </w:num>
  <w:num w:numId="13" w16cid:durableId="1413309951">
    <w:abstractNumId w:val="7"/>
  </w:num>
  <w:num w:numId="14" w16cid:durableId="1687365579">
    <w:abstractNumId w:val="16"/>
    <w:lvlOverride w:ilvl="0">
      <w:startOverride w:val="1"/>
    </w:lvlOverride>
  </w:num>
  <w:num w:numId="15" w16cid:durableId="1659066437">
    <w:abstractNumId w:val="10"/>
  </w:num>
  <w:num w:numId="16" w16cid:durableId="388650435">
    <w:abstractNumId w:val="0"/>
  </w:num>
  <w:num w:numId="17" w16cid:durableId="17888153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76B"/>
    <w:rsid w:val="00040B7D"/>
    <w:rsid w:val="0004336B"/>
    <w:rsid w:val="00064CF7"/>
    <w:rsid w:val="00081F91"/>
    <w:rsid w:val="000A1BDB"/>
    <w:rsid w:val="000D35D4"/>
    <w:rsid w:val="000D6C49"/>
    <w:rsid w:val="00111B1A"/>
    <w:rsid w:val="00144940"/>
    <w:rsid w:val="001654AE"/>
    <w:rsid w:val="0017403A"/>
    <w:rsid w:val="001F0FAE"/>
    <w:rsid w:val="001F5552"/>
    <w:rsid w:val="00201B11"/>
    <w:rsid w:val="00202600"/>
    <w:rsid w:val="00203B5A"/>
    <w:rsid w:val="00204750"/>
    <w:rsid w:val="00284392"/>
    <w:rsid w:val="002C1045"/>
    <w:rsid w:val="002E7A70"/>
    <w:rsid w:val="002F6453"/>
    <w:rsid w:val="003712C9"/>
    <w:rsid w:val="0037329C"/>
    <w:rsid w:val="00394E5A"/>
    <w:rsid w:val="003D49EB"/>
    <w:rsid w:val="004132C2"/>
    <w:rsid w:val="004214CC"/>
    <w:rsid w:val="0043455B"/>
    <w:rsid w:val="00486BEF"/>
    <w:rsid w:val="004A24AE"/>
    <w:rsid w:val="004E685E"/>
    <w:rsid w:val="00513F96"/>
    <w:rsid w:val="00557871"/>
    <w:rsid w:val="005F1306"/>
    <w:rsid w:val="006277CE"/>
    <w:rsid w:val="00641276"/>
    <w:rsid w:val="006451BA"/>
    <w:rsid w:val="006E04A5"/>
    <w:rsid w:val="006E3E90"/>
    <w:rsid w:val="006E71EF"/>
    <w:rsid w:val="00703565"/>
    <w:rsid w:val="007241E5"/>
    <w:rsid w:val="00736EA0"/>
    <w:rsid w:val="00741524"/>
    <w:rsid w:val="0078134C"/>
    <w:rsid w:val="00796868"/>
    <w:rsid w:val="007A49AC"/>
    <w:rsid w:val="007B1B49"/>
    <w:rsid w:val="00883AF5"/>
    <w:rsid w:val="00905174"/>
    <w:rsid w:val="009125C2"/>
    <w:rsid w:val="00942A73"/>
    <w:rsid w:val="00987FAE"/>
    <w:rsid w:val="009916FD"/>
    <w:rsid w:val="009C07B5"/>
    <w:rsid w:val="00A0247B"/>
    <w:rsid w:val="00A1130D"/>
    <w:rsid w:val="00A402C7"/>
    <w:rsid w:val="00A46249"/>
    <w:rsid w:val="00A748F2"/>
    <w:rsid w:val="00A77BA6"/>
    <w:rsid w:val="00A95A84"/>
    <w:rsid w:val="00AA4335"/>
    <w:rsid w:val="00AE1666"/>
    <w:rsid w:val="00B054F4"/>
    <w:rsid w:val="00B2702C"/>
    <w:rsid w:val="00B83494"/>
    <w:rsid w:val="00BC3E10"/>
    <w:rsid w:val="00BD6168"/>
    <w:rsid w:val="00BF37D0"/>
    <w:rsid w:val="00C75047"/>
    <w:rsid w:val="00C951F1"/>
    <w:rsid w:val="00CC1319"/>
    <w:rsid w:val="00CF0D7F"/>
    <w:rsid w:val="00D0618D"/>
    <w:rsid w:val="00D340D7"/>
    <w:rsid w:val="00D470D9"/>
    <w:rsid w:val="00DA0729"/>
    <w:rsid w:val="00DA527F"/>
    <w:rsid w:val="00DB09CE"/>
    <w:rsid w:val="00DD039A"/>
    <w:rsid w:val="00E210C5"/>
    <w:rsid w:val="00E3791B"/>
    <w:rsid w:val="00E65891"/>
    <w:rsid w:val="00E84586"/>
    <w:rsid w:val="00E9076B"/>
    <w:rsid w:val="00EB5276"/>
    <w:rsid w:val="00ED3160"/>
    <w:rsid w:val="00ED547C"/>
    <w:rsid w:val="00F51D0D"/>
    <w:rsid w:val="00FA68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D250D"/>
  <w15:chartTrackingRefBased/>
  <w15:docId w15:val="{8FA14EFC-53EE-4B01-BE4F-A8A333264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0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0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76B"/>
    <w:rPr>
      <w:rFonts w:eastAsiaTheme="majorEastAsia" w:cstheme="majorBidi"/>
      <w:color w:val="272727" w:themeColor="text1" w:themeTint="D8"/>
    </w:rPr>
  </w:style>
  <w:style w:type="paragraph" w:styleId="Title">
    <w:name w:val="Title"/>
    <w:basedOn w:val="Normal"/>
    <w:next w:val="Normal"/>
    <w:link w:val="TitleChar"/>
    <w:uiPriority w:val="10"/>
    <w:qFormat/>
    <w:rsid w:val="00E90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76B"/>
    <w:pPr>
      <w:spacing w:before="160"/>
      <w:jc w:val="center"/>
    </w:pPr>
    <w:rPr>
      <w:i/>
      <w:iCs/>
      <w:color w:val="404040" w:themeColor="text1" w:themeTint="BF"/>
    </w:rPr>
  </w:style>
  <w:style w:type="character" w:customStyle="1" w:styleId="QuoteChar">
    <w:name w:val="Quote Char"/>
    <w:basedOn w:val="DefaultParagraphFont"/>
    <w:link w:val="Quote"/>
    <w:uiPriority w:val="29"/>
    <w:rsid w:val="00E9076B"/>
    <w:rPr>
      <w:i/>
      <w:iCs/>
      <w:color w:val="404040" w:themeColor="text1" w:themeTint="BF"/>
    </w:rPr>
  </w:style>
  <w:style w:type="paragraph" w:styleId="ListParagraph">
    <w:name w:val="List Paragraph"/>
    <w:basedOn w:val="Normal"/>
    <w:qFormat/>
    <w:rsid w:val="00E9076B"/>
    <w:pPr>
      <w:ind w:left="720"/>
      <w:contextualSpacing/>
    </w:pPr>
  </w:style>
  <w:style w:type="character" w:styleId="IntenseEmphasis">
    <w:name w:val="Intense Emphasis"/>
    <w:basedOn w:val="DefaultParagraphFont"/>
    <w:uiPriority w:val="21"/>
    <w:qFormat/>
    <w:rsid w:val="00E9076B"/>
    <w:rPr>
      <w:i/>
      <w:iCs/>
      <w:color w:val="2F5496" w:themeColor="accent1" w:themeShade="BF"/>
    </w:rPr>
  </w:style>
  <w:style w:type="paragraph" w:styleId="IntenseQuote">
    <w:name w:val="Intense Quote"/>
    <w:basedOn w:val="Normal"/>
    <w:next w:val="Normal"/>
    <w:link w:val="IntenseQuoteChar"/>
    <w:uiPriority w:val="30"/>
    <w:qFormat/>
    <w:rsid w:val="00E90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76B"/>
    <w:rPr>
      <w:i/>
      <w:iCs/>
      <w:color w:val="2F5496" w:themeColor="accent1" w:themeShade="BF"/>
    </w:rPr>
  </w:style>
  <w:style w:type="character" w:styleId="IntenseReference">
    <w:name w:val="Intense Reference"/>
    <w:basedOn w:val="DefaultParagraphFont"/>
    <w:uiPriority w:val="32"/>
    <w:qFormat/>
    <w:rsid w:val="00E9076B"/>
    <w:rPr>
      <w:b/>
      <w:bCs/>
      <w:smallCaps/>
      <w:color w:val="2F5496" w:themeColor="accent1" w:themeShade="BF"/>
      <w:spacing w:val="5"/>
    </w:rPr>
  </w:style>
  <w:style w:type="table" w:styleId="PlainTable2">
    <w:name w:val="Plain Table 2"/>
    <w:basedOn w:val="TableNormal"/>
    <w:uiPriority w:val="42"/>
    <w:rsid w:val="007B1B4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B1B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DA527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A527F"/>
    <w:pPr>
      <w:spacing w:after="100"/>
    </w:pPr>
  </w:style>
  <w:style w:type="paragraph" w:styleId="TOC2">
    <w:name w:val="toc 2"/>
    <w:basedOn w:val="Normal"/>
    <w:next w:val="Normal"/>
    <w:autoRedefine/>
    <w:uiPriority w:val="39"/>
    <w:unhideWhenUsed/>
    <w:rsid w:val="00DA527F"/>
    <w:pPr>
      <w:spacing w:after="100"/>
      <w:ind w:left="220"/>
    </w:pPr>
  </w:style>
  <w:style w:type="paragraph" w:styleId="TOC3">
    <w:name w:val="toc 3"/>
    <w:basedOn w:val="Normal"/>
    <w:next w:val="Normal"/>
    <w:autoRedefine/>
    <w:uiPriority w:val="39"/>
    <w:unhideWhenUsed/>
    <w:rsid w:val="00DA527F"/>
    <w:pPr>
      <w:spacing w:after="100"/>
      <w:ind w:left="440"/>
    </w:pPr>
  </w:style>
  <w:style w:type="character" w:styleId="Hyperlink">
    <w:name w:val="Hyperlink"/>
    <w:basedOn w:val="DefaultParagraphFont"/>
    <w:uiPriority w:val="99"/>
    <w:unhideWhenUsed/>
    <w:rsid w:val="00DA527F"/>
    <w:rPr>
      <w:color w:val="0563C1" w:themeColor="hyperlink"/>
      <w:u w:val="single"/>
    </w:rPr>
  </w:style>
  <w:style w:type="character" w:styleId="UnresolvedMention">
    <w:name w:val="Unresolved Mention"/>
    <w:basedOn w:val="DefaultParagraphFont"/>
    <w:uiPriority w:val="99"/>
    <w:semiHidden/>
    <w:unhideWhenUsed/>
    <w:rsid w:val="00AA4335"/>
    <w:rPr>
      <w:color w:val="605E5C"/>
      <w:shd w:val="clear" w:color="auto" w:fill="E1DFDD"/>
    </w:rPr>
  </w:style>
  <w:style w:type="paragraph" w:styleId="Header">
    <w:name w:val="header"/>
    <w:basedOn w:val="Normal"/>
    <w:link w:val="HeaderChar"/>
    <w:uiPriority w:val="99"/>
    <w:unhideWhenUsed/>
    <w:rsid w:val="007415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1524"/>
  </w:style>
  <w:style w:type="paragraph" w:styleId="Footer">
    <w:name w:val="footer"/>
    <w:basedOn w:val="Normal"/>
    <w:link w:val="FooterChar"/>
    <w:uiPriority w:val="99"/>
    <w:unhideWhenUsed/>
    <w:rsid w:val="007415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D:\A&amp;F_Projects\BankResearch\Bank_Research_Maste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A&amp;F_Projects\BankResearch\Bank_Research_Maste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A&amp;F_Projects\BankResearch\Bank_Research_Maste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A&amp;F_Projects\BankResearch\Bank_Research_Maste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A&amp;F_Projects\BankResearch\Bank_Research_Master.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A&amp;F_Projects\BankResearch\Bank_Research_Master.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[Bank_Research_Master.xlsx]Trend Chart!PivotTable1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PK" sz="1400" b="0" i="0" u="none" strike="noStrike" baseline="0"/>
              <a:t>Operating Expense Ratio Trend (2019–2024)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'Trend Chart'!$B$3:$B$4</c:f>
              <c:strCache>
                <c:ptCount val="1"/>
                <c:pt idx="0">
                  <c:v>Askari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'Trend Chart'!$A$5:$A$10</c:f>
              <c:strCache>
                <c:ptCount val="6"/>
                <c:pt idx="0">
                  <c:v>2019</c:v>
                </c:pt>
                <c:pt idx="1">
                  <c:v>2020</c:v>
                </c:pt>
                <c:pt idx="2">
                  <c:v>2021</c:v>
                </c:pt>
                <c:pt idx="3">
                  <c:v>2022</c:v>
                </c:pt>
                <c:pt idx="4">
                  <c:v>2023</c:v>
                </c:pt>
                <c:pt idx="5">
                  <c:v>2024</c:v>
                </c:pt>
              </c:strCache>
            </c:strRef>
          </c:cat>
          <c:val>
            <c:numRef>
              <c:f>'Trend Chart'!$B$5:$B$10</c:f>
              <c:numCache>
                <c:formatCode>0.00%</c:formatCode>
                <c:ptCount val="6"/>
                <c:pt idx="0">
                  <c:v>2.1885755860103918E-2</c:v>
                </c:pt>
                <c:pt idx="1">
                  <c:v>2.027521316303578E-2</c:v>
                </c:pt>
                <c:pt idx="2">
                  <c:v>1.6591051691923535E-2</c:v>
                </c:pt>
                <c:pt idx="3">
                  <c:v>1.479057011657669E-2</c:v>
                </c:pt>
                <c:pt idx="4">
                  <c:v>1.3450729683192946E-2</c:v>
                </c:pt>
                <c:pt idx="5">
                  <c:v>1.4172613905930076E-2</c:v>
                </c:pt>
              </c:numCache>
            </c:numRef>
          </c:val>
          <c:smooth val="0"/>
          <c:extLst>
            <c:ext xmlns:c16="http://schemas.microsoft.com/office/drawing/2014/chart" uri="{C3380CC4-5D6E-409C-BE32-E72D297353CC}">
              <c16:uniqueId val="{00000000-F36C-4B53-BBFC-A6B83BFFEE5A}"/>
            </c:ext>
          </c:extLst>
        </c:ser>
        <c:ser>
          <c:idx val="1"/>
          <c:order val="1"/>
          <c:tx>
            <c:strRef>
              <c:f>'Trend Chart'!$C$3:$C$4</c:f>
              <c:strCache>
                <c:ptCount val="1"/>
                <c:pt idx="0">
                  <c:v>BankIslami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'Trend Chart'!$A$5:$A$10</c:f>
              <c:strCache>
                <c:ptCount val="6"/>
                <c:pt idx="0">
                  <c:v>2019</c:v>
                </c:pt>
                <c:pt idx="1">
                  <c:v>2020</c:v>
                </c:pt>
                <c:pt idx="2">
                  <c:v>2021</c:v>
                </c:pt>
                <c:pt idx="3">
                  <c:v>2022</c:v>
                </c:pt>
                <c:pt idx="4">
                  <c:v>2023</c:v>
                </c:pt>
                <c:pt idx="5">
                  <c:v>2024</c:v>
                </c:pt>
              </c:strCache>
            </c:strRef>
          </c:cat>
          <c:val>
            <c:numRef>
              <c:f>'Trend Chart'!$C$5:$C$10</c:f>
              <c:numCache>
                <c:formatCode>0.00%</c:formatCode>
                <c:ptCount val="6"/>
                <c:pt idx="0">
                  <c:v>2.7273968995179431E-2</c:v>
                </c:pt>
                <c:pt idx="1">
                  <c:v>2.5507317635362028E-2</c:v>
                </c:pt>
                <c:pt idx="2">
                  <c:v>2.3383554766917579E-2</c:v>
                </c:pt>
                <c:pt idx="3">
                  <c:v>2.4163021214930708E-2</c:v>
                </c:pt>
                <c:pt idx="4">
                  <c:v>2.4676282730105706E-2</c:v>
                </c:pt>
                <c:pt idx="5">
                  <c:v>3.0032597100682637E-2</c:v>
                </c:pt>
              </c:numCache>
            </c:numRef>
          </c:val>
          <c:smooth val="0"/>
          <c:extLst>
            <c:ext xmlns:c16="http://schemas.microsoft.com/office/drawing/2014/chart" uri="{C3380CC4-5D6E-409C-BE32-E72D297353CC}">
              <c16:uniqueId val="{00000001-F36C-4B53-BBFC-A6B83BFFEE5A}"/>
            </c:ext>
          </c:extLst>
        </c:ser>
        <c:ser>
          <c:idx val="2"/>
          <c:order val="2"/>
          <c:tx>
            <c:strRef>
              <c:f>'Trend Chart'!$D$3:$D$4</c:f>
              <c:strCache>
                <c:ptCount val="1"/>
                <c:pt idx="0">
                  <c:v>HBL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'Trend Chart'!$A$5:$A$10</c:f>
              <c:strCache>
                <c:ptCount val="6"/>
                <c:pt idx="0">
                  <c:v>2019</c:v>
                </c:pt>
                <c:pt idx="1">
                  <c:v>2020</c:v>
                </c:pt>
                <c:pt idx="2">
                  <c:v>2021</c:v>
                </c:pt>
                <c:pt idx="3">
                  <c:v>2022</c:v>
                </c:pt>
                <c:pt idx="4">
                  <c:v>2023</c:v>
                </c:pt>
                <c:pt idx="5">
                  <c:v>2024</c:v>
                </c:pt>
              </c:strCache>
            </c:strRef>
          </c:cat>
          <c:val>
            <c:numRef>
              <c:f>'Trend Chart'!$D$5:$D$10</c:f>
              <c:numCache>
                <c:formatCode>0.00%</c:formatCode>
                <c:ptCount val="6"/>
                <c:pt idx="0">
                  <c:v>2.7084614668435373E-2</c:v>
                </c:pt>
                <c:pt idx="1">
                  <c:v>2.2820577858448144E-2</c:v>
                </c:pt>
                <c:pt idx="2">
                  <c:v>2.0764727310458427E-2</c:v>
                </c:pt>
                <c:pt idx="3">
                  <c:v>2.5366888982140189E-2</c:v>
                </c:pt>
                <c:pt idx="4">
                  <c:v>2.9286614095024831E-2</c:v>
                </c:pt>
                <c:pt idx="5">
                  <c:v>3.0153323706274108E-2</c:v>
                </c:pt>
              </c:numCache>
            </c:numRef>
          </c:val>
          <c:smooth val="0"/>
          <c:extLst>
            <c:ext xmlns:c16="http://schemas.microsoft.com/office/drawing/2014/chart" uri="{C3380CC4-5D6E-409C-BE32-E72D297353CC}">
              <c16:uniqueId val="{00000002-F36C-4B53-BBFC-A6B83BFFEE5A}"/>
            </c:ext>
          </c:extLst>
        </c:ser>
        <c:ser>
          <c:idx val="3"/>
          <c:order val="3"/>
          <c:tx>
            <c:strRef>
              <c:f>'Trend Chart'!$E$3:$E$4</c:f>
              <c:strCache>
                <c:ptCount val="1"/>
                <c:pt idx="0">
                  <c:v>JS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'Trend Chart'!$A$5:$A$10</c:f>
              <c:strCache>
                <c:ptCount val="6"/>
                <c:pt idx="0">
                  <c:v>2019</c:v>
                </c:pt>
                <c:pt idx="1">
                  <c:v>2020</c:v>
                </c:pt>
                <c:pt idx="2">
                  <c:v>2021</c:v>
                </c:pt>
                <c:pt idx="3">
                  <c:v>2022</c:v>
                </c:pt>
                <c:pt idx="4">
                  <c:v>2023</c:v>
                </c:pt>
                <c:pt idx="5">
                  <c:v>2024</c:v>
                </c:pt>
              </c:strCache>
            </c:strRef>
          </c:cat>
          <c:val>
            <c:numRef>
              <c:f>'Trend Chart'!$E$5:$E$10</c:f>
              <c:numCache>
                <c:formatCode>0.00%</c:formatCode>
                <c:ptCount val="6"/>
                <c:pt idx="0">
                  <c:v>2.2940241106289474E-2</c:v>
                </c:pt>
                <c:pt idx="1">
                  <c:v>2.4464060532477839E-2</c:v>
                </c:pt>
                <c:pt idx="2">
                  <c:v>2.1774678590736903E-2</c:v>
                </c:pt>
                <c:pt idx="3">
                  <c:v>2.7158338310141982E-2</c:v>
                </c:pt>
                <c:pt idx="4">
                  <c:v>3.9091086158000478E-2</c:v>
                </c:pt>
                <c:pt idx="5">
                  <c:v>4.2989977281630433E-2</c:v>
                </c:pt>
              </c:numCache>
            </c:numRef>
          </c:val>
          <c:smooth val="0"/>
          <c:extLst>
            <c:ext xmlns:c16="http://schemas.microsoft.com/office/drawing/2014/chart" uri="{C3380CC4-5D6E-409C-BE32-E72D297353CC}">
              <c16:uniqueId val="{00000003-F36C-4B53-BBFC-A6B83BFFEE5A}"/>
            </c:ext>
          </c:extLst>
        </c:ser>
        <c:ser>
          <c:idx val="4"/>
          <c:order val="4"/>
          <c:tx>
            <c:strRef>
              <c:f>'Trend Chart'!$F$3:$F$4</c:f>
              <c:strCache>
                <c:ptCount val="1"/>
                <c:pt idx="0">
                  <c:v>Meezan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'Trend Chart'!$A$5:$A$10</c:f>
              <c:strCache>
                <c:ptCount val="6"/>
                <c:pt idx="0">
                  <c:v>2019</c:v>
                </c:pt>
                <c:pt idx="1">
                  <c:v>2020</c:v>
                </c:pt>
                <c:pt idx="2">
                  <c:v>2021</c:v>
                </c:pt>
                <c:pt idx="3">
                  <c:v>2022</c:v>
                </c:pt>
                <c:pt idx="4">
                  <c:v>2023</c:v>
                </c:pt>
                <c:pt idx="5">
                  <c:v>2024</c:v>
                </c:pt>
              </c:strCache>
            </c:strRef>
          </c:cat>
          <c:val>
            <c:numRef>
              <c:f>'Trend Chart'!$F$5:$F$10</c:f>
              <c:numCache>
                <c:formatCode>0.00%</c:formatCode>
                <c:ptCount val="6"/>
                <c:pt idx="0">
                  <c:v>2.2145352251739144E-2</c:v>
                </c:pt>
                <c:pt idx="1">
                  <c:v>1.8933574862200441E-2</c:v>
                </c:pt>
                <c:pt idx="2">
                  <c:v>1.8054024879196818E-2</c:v>
                </c:pt>
                <c:pt idx="3">
                  <c:v>1.794051200975184E-2</c:v>
                </c:pt>
                <c:pt idx="4">
                  <c:v>2.2534576429970518E-2</c:v>
                </c:pt>
                <c:pt idx="5">
                  <c:v>2.0384926684130004E-2</c:v>
                </c:pt>
              </c:numCache>
            </c:numRef>
          </c:val>
          <c:smooth val="0"/>
          <c:extLst>
            <c:ext xmlns:c16="http://schemas.microsoft.com/office/drawing/2014/chart" uri="{C3380CC4-5D6E-409C-BE32-E72D297353CC}">
              <c16:uniqueId val="{00000004-F36C-4B53-BBFC-A6B83BFFEE5A}"/>
            </c:ext>
          </c:extLst>
        </c:ser>
        <c:ser>
          <c:idx val="5"/>
          <c:order val="5"/>
          <c:tx>
            <c:strRef>
              <c:f>'Trend Chart'!$G$3:$G$4</c:f>
              <c:strCache>
                <c:ptCount val="1"/>
                <c:pt idx="0">
                  <c:v>Dubai Islamic Bank</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'Trend Chart'!$A$5:$A$10</c:f>
              <c:strCache>
                <c:ptCount val="6"/>
                <c:pt idx="0">
                  <c:v>2019</c:v>
                </c:pt>
                <c:pt idx="1">
                  <c:v>2020</c:v>
                </c:pt>
                <c:pt idx="2">
                  <c:v>2021</c:v>
                </c:pt>
                <c:pt idx="3">
                  <c:v>2022</c:v>
                </c:pt>
                <c:pt idx="4">
                  <c:v>2023</c:v>
                </c:pt>
                <c:pt idx="5">
                  <c:v>2024</c:v>
                </c:pt>
              </c:strCache>
            </c:strRef>
          </c:cat>
          <c:val>
            <c:numRef>
              <c:f>'Trend Chart'!$G$5:$G$10</c:f>
              <c:numCache>
                <c:formatCode>0.00%</c:formatCode>
                <c:ptCount val="6"/>
                <c:pt idx="0">
                  <c:v>2.5161509118824071E-2</c:v>
                </c:pt>
                <c:pt idx="1">
                  <c:v>2.4301323736189272E-2</c:v>
                </c:pt>
                <c:pt idx="2">
                  <c:v>2.3573750125965874E-2</c:v>
                </c:pt>
                <c:pt idx="3">
                  <c:v>2.2748688767385415E-2</c:v>
                </c:pt>
                <c:pt idx="4">
                  <c:v>2.8783353365125962E-2</c:v>
                </c:pt>
                <c:pt idx="5">
                  <c:v>3.497448929623595E-2</c:v>
                </c:pt>
              </c:numCache>
            </c:numRef>
          </c:val>
          <c:smooth val="0"/>
          <c:extLst>
            <c:ext xmlns:c16="http://schemas.microsoft.com/office/drawing/2014/chart" uri="{C3380CC4-5D6E-409C-BE32-E72D297353CC}">
              <c16:uniqueId val="{00000005-F36C-4B53-BBFC-A6B83BFFEE5A}"/>
            </c:ext>
          </c:extLst>
        </c:ser>
        <c:dLbls>
          <c:showLegendKey val="0"/>
          <c:showVal val="0"/>
          <c:showCatName val="0"/>
          <c:showSerName val="0"/>
          <c:showPercent val="0"/>
          <c:showBubbleSize val="0"/>
        </c:dLbls>
        <c:marker val="1"/>
        <c:smooth val="0"/>
        <c:axId val="530463224"/>
        <c:axId val="535808688"/>
      </c:lineChart>
      <c:catAx>
        <c:axId val="5304632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PK"/>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535808688"/>
        <c:crosses val="autoZero"/>
        <c:auto val="1"/>
        <c:lblAlgn val="ctr"/>
        <c:lblOffset val="100"/>
        <c:noMultiLvlLbl val="0"/>
      </c:catAx>
      <c:valAx>
        <c:axId val="535808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Operating Expense</a:t>
                </a:r>
                <a:r>
                  <a:rPr lang="en-US" baseline="0"/>
                  <a:t> Ratio</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PK"/>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5304632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pPr>
      <a:endParaRPr lang="en-PK"/>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[Bank_Research_Master.xlsx]Trend Chart!PivotTable2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PK" sz="1400" b="0" i="0" u="none" strike="noStrike" baseline="0"/>
              <a:t>Cost-to-Income Ratio</a:t>
            </a:r>
            <a:r>
              <a:rPr lang="en-US" sz="1400" b="0" i="0" u="none" strike="noStrike" baseline="0"/>
              <a:t> Trend (2019-2024)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'Trend Chart'!$B$12:$B$13</c:f>
              <c:strCache>
                <c:ptCount val="1"/>
                <c:pt idx="0">
                  <c:v>Askari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'Trend Chart'!$A$14:$A$19</c:f>
              <c:strCache>
                <c:ptCount val="6"/>
                <c:pt idx="0">
                  <c:v>2019</c:v>
                </c:pt>
                <c:pt idx="1">
                  <c:v>2020</c:v>
                </c:pt>
                <c:pt idx="2">
                  <c:v>2021</c:v>
                </c:pt>
                <c:pt idx="3">
                  <c:v>2022</c:v>
                </c:pt>
                <c:pt idx="4">
                  <c:v>2023</c:v>
                </c:pt>
                <c:pt idx="5">
                  <c:v>2024</c:v>
                </c:pt>
              </c:strCache>
            </c:strRef>
          </c:cat>
          <c:val>
            <c:numRef>
              <c:f>'Trend Chart'!$B$14:$B$19</c:f>
              <c:numCache>
                <c:formatCode>0.00%</c:formatCode>
                <c:ptCount val="6"/>
                <c:pt idx="0">
                  <c:v>0.61731174177167314</c:v>
                </c:pt>
                <c:pt idx="1">
                  <c:v>0.50363359081091397</c:v>
                </c:pt>
                <c:pt idx="2">
                  <c:v>0.50002009364860955</c:v>
                </c:pt>
                <c:pt idx="3">
                  <c:v>0.43760578150818941</c:v>
                </c:pt>
                <c:pt idx="4">
                  <c:v>0.39482948519385458</c:v>
                </c:pt>
                <c:pt idx="5">
                  <c:v>0.44979999371955431</c:v>
                </c:pt>
              </c:numCache>
            </c:numRef>
          </c:val>
          <c:smooth val="0"/>
          <c:extLst>
            <c:ext xmlns:c16="http://schemas.microsoft.com/office/drawing/2014/chart" uri="{C3380CC4-5D6E-409C-BE32-E72D297353CC}">
              <c16:uniqueId val="{00000000-2CD3-42DE-AEAB-591D2B1CD0A1}"/>
            </c:ext>
          </c:extLst>
        </c:ser>
        <c:ser>
          <c:idx val="1"/>
          <c:order val="1"/>
          <c:tx>
            <c:strRef>
              <c:f>'Trend Chart'!$C$12:$C$13</c:f>
              <c:strCache>
                <c:ptCount val="1"/>
                <c:pt idx="0">
                  <c:v>BankIslami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'Trend Chart'!$A$14:$A$19</c:f>
              <c:strCache>
                <c:ptCount val="6"/>
                <c:pt idx="0">
                  <c:v>2019</c:v>
                </c:pt>
                <c:pt idx="1">
                  <c:v>2020</c:v>
                </c:pt>
                <c:pt idx="2">
                  <c:v>2021</c:v>
                </c:pt>
                <c:pt idx="3">
                  <c:v>2022</c:v>
                </c:pt>
                <c:pt idx="4">
                  <c:v>2023</c:v>
                </c:pt>
                <c:pt idx="5">
                  <c:v>2024</c:v>
                </c:pt>
              </c:strCache>
            </c:strRef>
          </c:cat>
          <c:val>
            <c:numRef>
              <c:f>'Trend Chart'!$C$14:$C$19</c:f>
              <c:numCache>
                <c:formatCode>0.00%</c:formatCode>
                <c:ptCount val="6"/>
                <c:pt idx="0">
                  <c:v>0.62149300825245546</c:v>
                </c:pt>
                <c:pt idx="1">
                  <c:v>0.60732351543297214</c:v>
                </c:pt>
                <c:pt idx="2">
                  <c:v>0.73168002209073413</c:v>
                </c:pt>
                <c:pt idx="3">
                  <c:v>0.49052375293740264</c:v>
                </c:pt>
                <c:pt idx="4">
                  <c:v>0.37153478100558812</c:v>
                </c:pt>
                <c:pt idx="5">
                  <c:v>0.43468626205593791</c:v>
                </c:pt>
              </c:numCache>
            </c:numRef>
          </c:val>
          <c:smooth val="0"/>
          <c:extLst>
            <c:ext xmlns:c16="http://schemas.microsoft.com/office/drawing/2014/chart" uri="{C3380CC4-5D6E-409C-BE32-E72D297353CC}">
              <c16:uniqueId val="{00000001-2CD3-42DE-AEAB-591D2B1CD0A1}"/>
            </c:ext>
          </c:extLst>
        </c:ser>
        <c:ser>
          <c:idx val="2"/>
          <c:order val="2"/>
          <c:tx>
            <c:strRef>
              <c:f>'Trend Chart'!$D$12:$D$13</c:f>
              <c:strCache>
                <c:ptCount val="1"/>
                <c:pt idx="0">
                  <c:v>HBL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'Trend Chart'!$A$14:$A$19</c:f>
              <c:strCache>
                <c:ptCount val="6"/>
                <c:pt idx="0">
                  <c:v>2019</c:v>
                </c:pt>
                <c:pt idx="1">
                  <c:v>2020</c:v>
                </c:pt>
                <c:pt idx="2">
                  <c:v>2021</c:v>
                </c:pt>
                <c:pt idx="3">
                  <c:v>2022</c:v>
                </c:pt>
                <c:pt idx="4">
                  <c:v>2023</c:v>
                </c:pt>
                <c:pt idx="5">
                  <c:v>2024</c:v>
                </c:pt>
              </c:strCache>
            </c:strRef>
          </c:cat>
          <c:val>
            <c:numRef>
              <c:f>'Trend Chart'!$D$14:$D$19</c:f>
              <c:numCache>
                <c:formatCode>0.00%</c:formatCode>
                <c:ptCount val="6"/>
                <c:pt idx="0">
                  <c:v>0.72945523870067697</c:v>
                </c:pt>
                <c:pt idx="1">
                  <c:v>0.5626153664831719</c:v>
                </c:pt>
                <c:pt idx="2">
                  <c:v>0.55783452896286134</c:v>
                </c:pt>
                <c:pt idx="3">
                  <c:v>0.58024744140236828</c:v>
                </c:pt>
                <c:pt idx="4">
                  <c:v>0.54937204147089647</c:v>
                </c:pt>
                <c:pt idx="5">
                  <c:v>0.54483537798153547</c:v>
                </c:pt>
              </c:numCache>
            </c:numRef>
          </c:val>
          <c:smooth val="0"/>
          <c:extLst>
            <c:ext xmlns:c16="http://schemas.microsoft.com/office/drawing/2014/chart" uri="{C3380CC4-5D6E-409C-BE32-E72D297353CC}">
              <c16:uniqueId val="{00000002-2CD3-42DE-AEAB-591D2B1CD0A1}"/>
            </c:ext>
          </c:extLst>
        </c:ser>
        <c:ser>
          <c:idx val="3"/>
          <c:order val="3"/>
          <c:tx>
            <c:strRef>
              <c:f>'Trend Chart'!$E$12:$E$13</c:f>
              <c:strCache>
                <c:ptCount val="1"/>
                <c:pt idx="0">
                  <c:v>JS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'Trend Chart'!$A$14:$A$19</c:f>
              <c:strCache>
                <c:ptCount val="6"/>
                <c:pt idx="0">
                  <c:v>2019</c:v>
                </c:pt>
                <c:pt idx="1">
                  <c:v>2020</c:v>
                </c:pt>
                <c:pt idx="2">
                  <c:v>2021</c:v>
                </c:pt>
                <c:pt idx="3">
                  <c:v>2022</c:v>
                </c:pt>
                <c:pt idx="4">
                  <c:v>2023</c:v>
                </c:pt>
                <c:pt idx="5">
                  <c:v>2024</c:v>
                </c:pt>
              </c:strCache>
            </c:strRef>
          </c:cat>
          <c:val>
            <c:numRef>
              <c:f>'Trend Chart'!$E$14:$E$19</c:f>
              <c:numCache>
                <c:formatCode>0.00%</c:formatCode>
                <c:ptCount val="6"/>
                <c:pt idx="0">
                  <c:v>0.98360734630195279</c:v>
                </c:pt>
                <c:pt idx="1">
                  <c:v>0.79125310083210731</c:v>
                </c:pt>
                <c:pt idx="2">
                  <c:v>0.74965436017625864</c:v>
                </c:pt>
                <c:pt idx="3">
                  <c:v>0.83096545679571687</c:v>
                </c:pt>
                <c:pt idx="4">
                  <c:v>0.66567904936815314</c:v>
                </c:pt>
                <c:pt idx="5">
                  <c:v>0.70748083743728685</c:v>
                </c:pt>
              </c:numCache>
            </c:numRef>
          </c:val>
          <c:smooth val="0"/>
          <c:extLst>
            <c:ext xmlns:c16="http://schemas.microsoft.com/office/drawing/2014/chart" uri="{C3380CC4-5D6E-409C-BE32-E72D297353CC}">
              <c16:uniqueId val="{00000003-2CD3-42DE-AEAB-591D2B1CD0A1}"/>
            </c:ext>
          </c:extLst>
        </c:ser>
        <c:ser>
          <c:idx val="4"/>
          <c:order val="4"/>
          <c:tx>
            <c:strRef>
              <c:f>'Trend Chart'!$F$12:$F$13</c:f>
              <c:strCache>
                <c:ptCount val="1"/>
                <c:pt idx="0">
                  <c:v>Meezan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'Trend Chart'!$A$14:$A$19</c:f>
              <c:strCache>
                <c:ptCount val="6"/>
                <c:pt idx="0">
                  <c:v>2019</c:v>
                </c:pt>
                <c:pt idx="1">
                  <c:v>2020</c:v>
                </c:pt>
                <c:pt idx="2">
                  <c:v>2021</c:v>
                </c:pt>
                <c:pt idx="3">
                  <c:v>2022</c:v>
                </c:pt>
                <c:pt idx="4">
                  <c:v>2023</c:v>
                </c:pt>
                <c:pt idx="5">
                  <c:v>2024</c:v>
                </c:pt>
              </c:strCache>
            </c:strRef>
          </c:cat>
          <c:val>
            <c:numRef>
              <c:f>'Trend Chart'!$F$14:$F$19</c:f>
              <c:numCache>
                <c:formatCode>0.00%</c:formatCode>
                <c:ptCount val="6"/>
                <c:pt idx="0">
                  <c:v>0.44451936048841911</c:v>
                </c:pt>
                <c:pt idx="1">
                  <c:v>0.38452028929757537</c:v>
                </c:pt>
                <c:pt idx="2">
                  <c:v>0.40991648434491157</c:v>
                </c:pt>
                <c:pt idx="3">
                  <c:v>0.32839199813156772</c:v>
                </c:pt>
                <c:pt idx="4">
                  <c:v>0.2731057055830825</c:v>
                </c:pt>
                <c:pt idx="5">
                  <c:v>0.25167851757914939</c:v>
                </c:pt>
              </c:numCache>
            </c:numRef>
          </c:val>
          <c:smooth val="0"/>
          <c:extLst>
            <c:ext xmlns:c16="http://schemas.microsoft.com/office/drawing/2014/chart" uri="{C3380CC4-5D6E-409C-BE32-E72D297353CC}">
              <c16:uniqueId val="{00000004-2CD3-42DE-AEAB-591D2B1CD0A1}"/>
            </c:ext>
          </c:extLst>
        </c:ser>
        <c:ser>
          <c:idx val="5"/>
          <c:order val="5"/>
          <c:tx>
            <c:strRef>
              <c:f>'Trend Chart'!$G$12:$G$13</c:f>
              <c:strCache>
                <c:ptCount val="1"/>
                <c:pt idx="0">
                  <c:v>Dubai Islamic Bank</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'Trend Chart'!$A$14:$A$19</c:f>
              <c:strCache>
                <c:ptCount val="6"/>
                <c:pt idx="0">
                  <c:v>2019</c:v>
                </c:pt>
                <c:pt idx="1">
                  <c:v>2020</c:v>
                </c:pt>
                <c:pt idx="2">
                  <c:v>2021</c:v>
                </c:pt>
                <c:pt idx="3">
                  <c:v>2022</c:v>
                </c:pt>
                <c:pt idx="4">
                  <c:v>2023</c:v>
                </c:pt>
                <c:pt idx="5">
                  <c:v>2024</c:v>
                </c:pt>
              </c:strCache>
            </c:strRef>
          </c:cat>
          <c:val>
            <c:numRef>
              <c:f>'Trend Chart'!$G$14:$G$19</c:f>
              <c:numCache>
                <c:formatCode>0.00%</c:formatCode>
                <c:ptCount val="6"/>
                <c:pt idx="0">
                  <c:v>0.50127522530711888</c:v>
                </c:pt>
                <c:pt idx="1">
                  <c:v>0.51211800168638166</c:v>
                </c:pt>
                <c:pt idx="2">
                  <c:v>0.53271571235283965</c:v>
                </c:pt>
                <c:pt idx="3">
                  <c:v>0.44149117673344035</c:v>
                </c:pt>
                <c:pt idx="4">
                  <c:v>0.36239832474331835</c:v>
                </c:pt>
                <c:pt idx="5">
                  <c:v>0.46307911691310877</c:v>
                </c:pt>
              </c:numCache>
            </c:numRef>
          </c:val>
          <c:smooth val="0"/>
          <c:extLst>
            <c:ext xmlns:c16="http://schemas.microsoft.com/office/drawing/2014/chart" uri="{C3380CC4-5D6E-409C-BE32-E72D297353CC}">
              <c16:uniqueId val="{00000005-2CD3-42DE-AEAB-591D2B1CD0A1}"/>
            </c:ext>
          </c:extLst>
        </c:ser>
        <c:dLbls>
          <c:showLegendKey val="0"/>
          <c:showVal val="0"/>
          <c:showCatName val="0"/>
          <c:showSerName val="0"/>
          <c:showPercent val="0"/>
          <c:showBubbleSize val="0"/>
        </c:dLbls>
        <c:marker val="1"/>
        <c:smooth val="0"/>
        <c:axId val="541966064"/>
        <c:axId val="541963184"/>
      </c:lineChart>
      <c:catAx>
        <c:axId val="5419660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p>
            </c:rich>
          </c:tx>
          <c:layout>
            <c:manualLayout>
              <c:xMode val="edge"/>
              <c:yMode val="edge"/>
              <c:x val="0.69170580994649022"/>
              <c:y val="0.9315598571257435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PK"/>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541963184"/>
        <c:crosses val="autoZero"/>
        <c:auto val="1"/>
        <c:lblAlgn val="ctr"/>
        <c:lblOffset val="100"/>
        <c:noMultiLvlLbl val="0"/>
      </c:catAx>
      <c:valAx>
        <c:axId val="541963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Cost</a:t>
                </a:r>
                <a:r>
                  <a:rPr lang="en-US" baseline="0"/>
                  <a:t> ti Income Ratio</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54196606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pPr>
      <a:endParaRPr lang="en-PK"/>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[Bank_Research_Master.xlsx]Trend Chart!PivotTable3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ROA</a:t>
            </a:r>
            <a:r>
              <a:rPr lang="en-US" baseline="0"/>
              <a:t> Trend (2019 - 2024)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'Trend Chart'!$B$21:$B$22</c:f>
              <c:strCache>
                <c:ptCount val="1"/>
                <c:pt idx="0">
                  <c:v>Askari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'Trend Chart'!$A$23:$A$28</c:f>
              <c:strCache>
                <c:ptCount val="6"/>
                <c:pt idx="0">
                  <c:v>2019</c:v>
                </c:pt>
                <c:pt idx="1">
                  <c:v>2020</c:v>
                </c:pt>
                <c:pt idx="2">
                  <c:v>2021</c:v>
                </c:pt>
                <c:pt idx="3">
                  <c:v>2022</c:v>
                </c:pt>
                <c:pt idx="4">
                  <c:v>2023</c:v>
                </c:pt>
                <c:pt idx="5">
                  <c:v>2024</c:v>
                </c:pt>
              </c:strCache>
            </c:strRef>
          </c:cat>
          <c:val>
            <c:numRef>
              <c:f>'Trend Chart'!$B$23:$B$28</c:f>
              <c:numCache>
                <c:formatCode>0.00%</c:formatCode>
                <c:ptCount val="6"/>
                <c:pt idx="0">
                  <c:v>8.4216929619852932E-3</c:v>
                </c:pt>
                <c:pt idx="1">
                  <c:v>1.0881802856100423E-2</c:v>
                </c:pt>
                <c:pt idx="2">
                  <c:v>7.7047463675184455E-3</c:v>
                </c:pt>
                <c:pt idx="3">
                  <c:v>9.2138681471541344E-3</c:v>
                </c:pt>
                <c:pt idx="4">
                  <c:v>1.0091619050867267E-2</c:v>
                </c:pt>
                <c:pt idx="5">
                  <c:v>8.4145405271665464E-3</c:v>
                </c:pt>
              </c:numCache>
            </c:numRef>
          </c:val>
          <c:smooth val="0"/>
          <c:extLst>
            <c:ext xmlns:c16="http://schemas.microsoft.com/office/drawing/2014/chart" uri="{C3380CC4-5D6E-409C-BE32-E72D297353CC}">
              <c16:uniqueId val="{00000000-23CB-4F2F-9DD3-6B1BAF7BE714}"/>
            </c:ext>
          </c:extLst>
        </c:ser>
        <c:ser>
          <c:idx val="1"/>
          <c:order val="1"/>
          <c:tx>
            <c:strRef>
              <c:f>'Trend Chart'!$C$21:$C$22</c:f>
              <c:strCache>
                <c:ptCount val="1"/>
                <c:pt idx="0">
                  <c:v>BankIslami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'Trend Chart'!$A$23:$A$28</c:f>
              <c:strCache>
                <c:ptCount val="6"/>
                <c:pt idx="0">
                  <c:v>2019</c:v>
                </c:pt>
                <c:pt idx="1">
                  <c:v>2020</c:v>
                </c:pt>
                <c:pt idx="2">
                  <c:v>2021</c:v>
                </c:pt>
                <c:pt idx="3">
                  <c:v>2022</c:v>
                </c:pt>
                <c:pt idx="4">
                  <c:v>2023</c:v>
                </c:pt>
                <c:pt idx="5">
                  <c:v>2024</c:v>
                </c:pt>
              </c:strCache>
            </c:strRef>
          </c:cat>
          <c:val>
            <c:numRef>
              <c:f>'Trend Chart'!$C$23:$C$28</c:f>
              <c:numCache>
                <c:formatCode>0.00%</c:formatCode>
                <c:ptCount val="6"/>
                <c:pt idx="0">
                  <c:v>3.8408741296527679E-3</c:v>
                </c:pt>
                <c:pt idx="1">
                  <c:v>5.0643731309432047E-3</c:v>
                </c:pt>
                <c:pt idx="2">
                  <c:v>5.2189061728013077E-3</c:v>
                </c:pt>
                <c:pt idx="3">
                  <c:v>9.1118198245135947E-3</c:v>
                </c:pt>
                <c:pt idx="4">
                  <c:v>1.68661997325938E-2</c:v>
                </c:pt>
                <c:pt idx="5">
                  <c:v>1.6038215369642245E-2</c:v>
                </c:pt>
              </c:numCache>
            </c:numRef>
          </c:val>
          <c:smooth val="0"/>
          <c:extLst>
            <c:ext xmlns:c16="http://schemas.microsoft.com/office/drawing/2014/chart" uri="{C3380CC4-5D6E-409C-BE32-E72D297353CC}">
              <c16:uniqueId val="{00000001-23CB-4F2F-9DD3-6B1BAF7BE714}"/>
            </c:ext>
          </c:extLst>
        </c:ser>
        <c:ser>
          <c:idx val="2"/>
          <c:order val="2"/>
          <c:tx>
            <c:strRef>
              <c:f>'Trend Chart'!$D$21:$D$22</c:f>
              <c:strCache>
                <c:ptCount val="1"/>
                <c:pt idx="0">
                  <c:v>HBL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'Trend Chart'!$A$23:$A$28</c:f>
              <c:strCache>
                <c:ptCount val="6"/>
                <c:pt idx="0">
                  <c:v>2019</c:v>
                </c:pt>
                <c:pt idx="1">
                  <c:v>2020</c:v>
                </c:pt>
                <c:pt idx="2">
                  <c:v>2021</c:v>
                </c:pt>
                <c:pt idx="3">
                  <c:v>2022</c:v>
                </c:pt>
                <c:pt idx="4">
                  <c:v>2023</c:v>
                </c:pt>
                <c:pt idx="5">
                  <c:v>2024</c:v>
                </c:pt>
              </c:strCache>
            </c:strRef>
          </c:cat>
          <c:val>
            <c:numRef>
              <c:f>'Trend Chart'!$D$23:$D$28</c:f>
              <c:numCache>
                <c:formatCode>0.00%</c:formatCode>
                <c:ptCount val="6"/>
                <c:pt idx="0">
                  <c:v>4.9330394259816798E-3</c:v>
                </c:pt>
                <c:pt idx="1">
                  <c:v>8.6515302039317198E-3</c:v>
                </c:pt>
                <c:pt idx="2">
                  <c:v>8.4110325430024578E-3</c:v>
                </c:pt>
                <c:pt idx="3">
                  <c:v>7.0875582307965432E-3</c:v>
                </c:pt>
                <c:pt idx="4">
                  <c:v>1.0930332429397364E-2</c:v>
                </c:pt>
                <c:pt idx="5">
                  <c:v>1.0029644260656292E-2</c:v>
                </c:pt>
              </c:numCache>
            </c:numRef>
          </c:val>
          <c:smooth val="0"/>
          <c:extLst>
            <c:ext xmlns:c16="http://schemas.microsoft.com/office/drawing/2014/chart" uri="{C3380CC4-5D6E-409C-BE32-E72D297353CC}">
              <c16:uniqueId val="{00000002-23CB-4F2F-9DD3-6B1BAF7BE714}"/>
            </c:ext>
          </c:extLst>
        </c:ser>
        <c:ser>
          <c:idx val="3"/>
          <c:order val="3"/>
          <c:tx>
            <c:strRef>
              <c:f>'Trend Chart'!$E$21:$E$22</c:f>
              <c:strCache>
                <c:ptCount val="1"/>
                <c:pt idx="0">
                  <c:v>JS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'Trend Chart'!$A$23:$A$28</c:f>
              <c:strCache>
                <c:ptCount val="6"/>
                <c:pt idx="0">
                  <c:v>2019</c:v>
                </c:pt>
                <c:pt idx="1">
                  <c:v>2020</c:v>
                </c:pt>
                <c:pt idx="2">
                  <c:v>2021</c:v>
                </c:pt>
                <c:pt idx="3">
                  <c:v>2022</c:v>
                </c:pt>
                <c:pt idx="4">
                  <c:v>2023</c:v>
                </c:pt>
                <c:pt idx="5">
                  <c:v>2024</c:v>
                </c:pt>
              </c:strCache>
            </c:strRef>
          </c:cat>
          <c:val>
            <c:numRef>
              <c:f>'Trend Chart'!$E$23:$E$28</c:f>
              <c:numCache>
                <c:formatCode>0.00%</c:formatCode>
                <c:ptCount val="6"/>
                <c:pt idx="0">
                  <c:v>5.2405584361007029E-5</c:v>
                </c:pt>
                <c:pt idx="1">
                  <c:v>2.1610828370828374E-3</c:v>
                </c:pt>
                <c:pt idx="2">
                  <c:v>2.2324437494746392E-3</c:v>
                </c:pt>
                <c:pt idx="3">
                  <c:v>1.5643810005596859E-3</c:v>
                </c:pt>
                <c:pt idx="4">
                  <c:v>7.3543930965539054E-3</c:v>
                </c:pt>
                <c:pt idx="5">
                  <c:v>4.4779648705412997E-3</c:v>
                </c:pt>
              </c:numCache>
            </c:numRef>
          </c:val>
          <c:smooth val="0"/>
          <c:extLst>
            <c:ext xmlns:c16="http://schemas.microsoft.com/office/drawing/2014/chart" uri="{C3380CC4-5D6E-409C-BE32-E72D297353CC}">
              <c16:uniqueId val="{00000003-23CB-4F2F-9DD3-6B1BAF7BE714}"/>
            </c:ext>
          </c:extLst>
        </c:ser>
        <c:ser>
          <c:idx val="4"/>
          <c:order val="4"/>
          <c:tx>
            <c:strRef>
              <c:f>'Trend Chart'!$F$21:$F$22</c:f>
              <c:strCache>
                <c:ptCount val="1"/>
                <c:pt idx="0">
                  <c:v>Meezan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'Trend Chart'!$A$23:$A$28</c:f>
              <c:strCache>
                <c:ptCount val="6"/>
                <c:pt idx="0">
                  <c:v>2019</c:v>
                </c:pt>
                <c:pt idx="1">
                  <c:v>2020</c:v>
                </c:pt>
                <c:pt idx="2">
                  <c:v>2021</c:v>
                </c:pt>
                <c:pt idx="3">
                  <c:v>2022</c:v>
                </c:pt>
                <c:pt idx="4">
                  <c:v>2023</c:v>
                </c:pt>
                <c:pt idx="5">
                  <c:v>2024</c:v>
                </c:pt>
              </c:strCache>
            </c:strRef>
          </c:cat>
          <c:val>
            <c:numRef>
              <c:f>'Trend Chart'!$F$23:$F$28</c:f>
              <c:numCache>
                <c:formatCode>0.00%</c:formatCode>
                <c:ptCount val="6"/>
                <c:pt idx="0">
                  <c:v>1.3584804344280886E-2</c:v>
                </c:pt>
                <c:pt idx="1">
                  <c:v>1.4567689623050901E-2</c:v>
                </c:pt>
                <c:pt idx="2">
                  <c:v>1.4900464084746623E-2</c:v>
                </c:pt>
                <c:pt idx="3">
                  <c:v>1.7462036728101735E-2</c:v>
                </c:pt>
                <c:pt idx="4">
                  <c:v>2.8045349227076397E-2</c:v>
                </c:pt>
                <c:pt idx="5">
                  <c:v>2.6024825438090399E-2</c:v>
                </c:pt>
              </c:numCache>
            </c:numRef>
          </c:val>
          <c:smooth val="0"/>
          <c:extLst>
            <c:ext xmlns:c16="http://schemas.microsoft.com/office/drawing/2014/chart" uri="{C3380CC4-5D6E-409C-BE32-E72D297353CC}">
              <c16:uniqueId val="{00000004-23CB-4F2F-9DD3-6B1BAF7BE714}"/>
            </c:ext>
          </c:extLst>
        </c:ser>
        <c:ser>
          <c:idx val="5"/>
          <c:order val="5"/>
          <c:tx>
            <c:strRef>
              <c:f>'Trend Chart'!$G$21:$G$22</c:f>
              <c:strCache>
                <c:ptCount val="1"/>
                <c:pt idx="0">
                  <c:v>Dubai Islamic Bank</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'Trend Chart'!$A$23:$A$28</c:f>
              <c:strCache>
                <c:ptCount val="6"/>
                <c:pt idx="0">
                  <c:v>2019</c:v>
                </c:pt>
                <c:pt idx="1">
                  <c:v>2020</c:v>
                </c:pt>
                <c:pt idx="2">
                  <c:v>2021</c:v>
                </c:pt>
                <c:pt idx="3">
                  <c:v>2022</c:v>
                </c:pt>
                <c:pt idx="4">
                  <c:v>2023</c:v>
                </c:pt>
                <c:pt idx="5">
                  <c:v>2024</c:v>
                </c:pt>
              </c:strCache>
            </c:strRef>
          </c:cat>
          <c:val>
            <c:numRef>
              <c:f>'Trend Chart'!$G$23:$G$28</c:f>
              <c:numCache>
                <c:formatCode>0.00%</c:formatCode>
                <c:ptCount val="6"/>
                <c:pt idx="0">
                  <c:v>1.2642134489985886E-2</c:v>
                </c:pt>
                <c:pt idx="1">
                  <c:v>9.5425389417934086E-3</c:v>
                </c:pt>
                <c:pt idx="2">
                  <c:v>8.7895793215341331E-3</c:v>
                </c:pt>
                <c:pt idx="3">
                  <c:v>8.7913288093717651E-3</c:v>
                </c:pt>
                <c:pt idx="4">
                  <c:v>1.5590018051850434E-2</c:v>
                </c:pt>
                <c:pt idx="5">
                  <c:v>1.4731169609882562E-2</c:v>
                </c:pt>
              </c:numCache>
            </c:numRef>
          </c:val>
          <c:smooth val="0"/>
          <c:extLst>
            <c:ext xmlns:c16="http://schemas.microsoft.com/office/drawing/2014/chart" uri="{C3380CC4-5D6E-409C-BE32-E72D297353CC}">
              <c16:uniqueId val="{00000005-23CB-4F2F-9DD3-6B1BAF7BE714}"/>
            </c:ext>
          </c:extLst>
        </c:ser>
        <c:dLbls>
          <c:showLegendKey val="0"/>
          <c:showVal val="0"/>
          <c:showCatName val="0"/>
          <c:showSerName val="0"/>
          <c:showPercent val="0"/>
          <c:showBubbleSize val="0"/>
        </c:dLbls>
        <c:marker val="1"/>
        <c:smooth val="0"/>
        <c:axId val="604259272"/>
        <c:axId val="604264672"/>
      </c:lineChart>
      <c:catAx>
        <c:axId val="6042592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PK"/>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604264672"/>
        <c:crosses val="autoZero"/>
        <c:auto val="1"/>
        <c:lblAlgn val="ctr"/>
        <c:lblOffset val="100"/>
        <c:noMultiLvlLbl val="0"/>
      </c:catAx>
      <c:valAx>
        <c:axId val="604264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ROA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PK"/>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6042592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pPr>
      <a:endParaRPr lang="en-PK"/>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Operating Expense Ratio Comparison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PK"/>
        </a:p>
      </c:txPr>
    </c:title>
    <c:autoTitleDeleted val="0"/>
    <c:plotArea>
      <c:layout/>
      <c:barChart>
        <c:barDir val="col"/>
        <c:grouping val="clustered"/>
        <c:varyColors val="0"/>
        <c:ser>
          <c:idx val="0"/>
          <c:order val="0"/>
          <c:tx>
            <c:strRef>
              <c:f>'Comparison Charts'!$B$2</c:f>
              <c:strCache>
                <c:ptCount val="1"/>
                <c:pt idx="0">
                  <c:v>Islamic Average</c:v>
                </c:pt>
              </c:strCache>
            </c:strRef>
          </c:tx>
          <c:spPr>
            <a:solidFill>
              <a:schemeClr val="accent1"/>
            </a:solidFill>
            <a:ln>
              <a:noFill/>
            </a:ln>
            <a:effectLst/>
          </c:spPr>
          <c:invertIfNegative val="0"/>
          <c:cat>
            <c:numRef>
              <c:f>'Comparison Charts'!$A$3:$A$8</c:f>
              <c:numCache>
                <c:formatCode>General</c:formatCode>
                <c:ptCount val="6"/>
                <c:pt idx="0">
                  <c:v>2019</c:v>
                </c:pt>
                <c:pt idx="1">
                  <c:v>2020</c:v>
                </c:pt>
                <c:pt idx="2">
                  <c:v>2021</c:v>
                </c:pt>
                <c:pt idx="3">
                  <c:v>2022</c:v>
                </c:pt>
                <c:pt idx="4">
                  <c:v>2023</c:v>
                </c:pt>
                <c:pt idx="5">
                  <c:v>2024</c:v>
                </c:pt>
              </c:numCache>
            </c:numRef>
          </c:cat>
          <c:val>
            <c:numRef>
              <c:f>'Comparison Charts'!$B$3:$B$8</c:f>
              <c:numCache>
                <c:formatCode>0.00%</c:formatCode>
                <c:ptCount val="6"/>
                <c:pt idx="0">
                  <c:v>2.4860276788580882E-2</c:v>
                </c:pt>
                <c:pt idx="1">
                  <c:v>2.2914072077917246E-2</c:v>
                </c:pt>
                <c:pt idx="2">
                  <c:v>2.1670443257360089E-2</c:v>
                </c:pt>
                <c:pt idx="3">
                  <c:v>2.1617407330689318E-2</c:v>
                </c:pt>
                <c:pt idx="4">
                  <c:v>2.5331404175067396E-2</c:v>
                </c:pt>
                <c:pt idx="5">
                  <c:v>2.8464004360349529E-2</c:v>
                </c:pt>
              </c:numCache>
            </c:numRef>
          </c:val>
          <c:extLst>
            <c:ext xmlns:c16="http://schemas.microsoft.com/office/drawing/2014/chart" uri="{C3380CC4-5D6E-409C-BE32-E72D297353CC}">
              <c16:uniqueId val="{00000000-23C6-4393-902E-F618AE857DC6}"/>
            </c:ext>
          </c:extLst>
        </c:ser>
        <c:ser>
          <c:idx val="1"/>
          <c:order val="1"/>
          <c:tx>
            <c:strRef>
              <c:f>'Comparison Charts'!$C$2</c:f>
              <c:strCache>
                <c:ptCount val="1"/>
                <c:pt idx="0">
                  <c:v>Conventional Average</c:v>
                </c:pt>
              </c:strCache>
            </c:strRef>
          </c:tx>
          <c:spPr>
            <a:solidFill>
              <a:schemeClr val="accent2"/>
            </a:solidFill>
            <a:ln>
              <a:noFill/>
            </a:ln>
            <a:effectLst/>
          </c:spPr>
          <c:invertIfNegative val="0"/>
          <c:cat>
            <c:numRef>
              <c:f>'Comparison Charts'!$A$3:$A$8</c:f>
              <c:numCache>
                <c:formatCode>General</c:formatCode>
                <c:ptCount val="6"/>
                <c:pt idx="0">
                  <c:v>2019</c:v>
                </c:pt>
                <c:pt idx="1">
                  <c:v>2020</c:v>
                </c:pt>
                <c:pt idx="2">
                  <c:v>2021</c:v>
                </c:pt>
                <c:pt idx="3">
                  <c:v>2022</c:v>
                </c:pt>
                <c:pt idx="4">
                  <c:v>2023</c:v>
                </c:pt>
                <c:pt idx="5">
                  <c:v>2024</c:v>
                </c:pt>
              </c:numCache>
            </c:numRef>
          </c:cat>
          <c:val>
            <c:numRef>
              <c:f>'Comparison Charts'!$C$3:$C$8</c:f>
              <c:numCache>
                <c:formatCode>0.00%</c:formatCode>
                <c:ptCount val="6"/>
                <c:pt idx="0">
                  <c:v>2.3970203878276256E-2</c:v>
                </c:pt>
                <c:pt idx="1">
                  <c:v>2.2519950517987251E-2</c:v>
                </c:pt>
                <c:pt idx="2">
                  <c:v>1.971015253103962E-2</c:v>
                </c:pt>
                <c:pt idx="3">
                  <c:v>2.2438599136286288E-2</c:v>
                </c:pt>
                <c:pt idx="4">
                  <c:v>2.7276143312072749E-2</c:v>
                </c:pt>
                <c:pt idx="5">
                  <c:v>2.9105304964611538E-2</c:v>
                </c:pt>
              </c:numCache>
            </c:numRef>
          </c:val>
          <c:extLst>
            <c:ext xmlns:c16="http://schemas.microsoft.com/office/drawing/2014/chart" uri="{C3380CC4-5D6E-409C-BE32-E72D297353CC}">
              <c16:uniqueId val="{00000001-23C6-4393-902E-F618AE857DC6}"/>
            </c:ext>
          </c:extLst>
        </c:ser>
        <c:dLbls>
          <c:showLegendKey val="0"/>
          <c:showVal val="0"/>
          <c:showCatName val="0"/>
          <c:showSerName val="0"/>
          <c:showPercent val="0"/>
          <c:showBubbleSize val="0"/>
        </c:dLbls>
        <c:gapWidth val="219"/>
        <c:overlap val="-27"/>
        <c:axId val="541969664"/>
        <c:axId val="541970744"/>
      </c:barChart>
      <c:catAx>
        <c:axId val="541969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541970744"/>
        <c:crosses val="autoZero"/>
        <c:auto val="1"/>
        <c:lblAlgn val="ctr"/>
        <c:lblOffset val="100"/>
        <c:noMultiLvlLbl val="0"/>
      </c:catAx>
      <c:valAx>
        <c:axId val="5419707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541969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Cost to</a:t>
            </a:r>
            <a:r>
              <a:rPr lang="en-US" baseline="0"/>
              <a:t> Income Ratio Comparison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'Comparison Charts'!$F$2</c:f>
              <c:strCache>
                <c:ptCount val="1"/>
                <c:pt idx="0">
                  <c:v>Islamic Average</c:v>
                </c:pt>
              </c:strCache>
            </c:strRef>
          </c:tx>
          <c:spPr>
            <a:solidFill>
              <a:schemeClr val="accent1"/>
            </a:solidFill>
            <a:ln>
              <a:noFill/>
            </a:ln>
            <a:effectLst/>
          </c:spPr>
          <c:invertIfNegative val="0"/>
          <c:cat>
            <c:numRef>
              <c:f>'Comparison Charts'!$E$3:$E$8</c:f>
              <c:numCache>
                <c:formatCode>General</c:formatCode>
                <c:ptCount val="6"/>
                <c:pt idx="0">
                  <c:v>2019</c:v>
                </c:pt>
                <c:pt idx="1">
                  <c:v>2020</c:v>
                </c:pt>
                <c:pt idx="2">
                  <c:v>2021</c:v>
                </c:pt>
                <c:pt idx="3">
                  <c:v>2022</c:v>
                </c:pt>
                <c:pt idx="4">
                  <c:v>2023</c:v>
                </c:pt>
                <c:pt idx="5">
                  <c:v>2024</c:v>
                </c:pt>
              </c:numCache>
            </c:numRef>
          </c:cat>
          <c:val>
            <c:numRef>
              <c:f>'Comparison Charts'!$F$3:$F$8</c:f>
              <c:numCache>
                <c:formatCode>0.00%</c:formatCode>
                <c:ptCount val="6"/>
                <c:pt idx="0">
                  <c:v>0.52242919801599774</c:v>
                </c:pt>
                <c:pt idx="1">
                  <c:v>0.50132060213897633</c:v>
                </c:pt>
                <c:pt idx="2">
                  <c:v>0.55810407292949515</c:v>
                </c:pt>
                <c:pt idx="3">
                  <c:v>0.4201356426008036</c:v>
                </c:pt>
                <c:pt idx="4">
                  <c:v>0.33567960377732958</c:v>
                </c:pt>
                <c:pt idx="5">
                  <c:v>0.38314796551606539</c:v>
                </c:pt>
              </c:numCache>
            </c:numRef>
          </c:val>
          <c:extLst>
            <c:ext xmlns:c16="http://schemas.microsoft.com/office/drawing/2014/chart" uri="{C3380CC4-5D6E-409C-BE32-E72D297353CC}">
              <c16:uniqueId val="{00000000-6B5D-4603-B556-76BE4EFCFBBD}"/>
            </c:ext>
          </c:extLst>
        </c:ser>
        <c:ser>
          <c:idx val="1"/>
          <c:order val="1"/>
          <c:tx>
            <c:strRef>
              <c:f>'Comparison Charts'!$G$2</c:f>
              <c:strCache>
                <c:ptCount val="1"/>
                <c:pt idx="0">
                  <c:v>Conventional Average</c:v>
                </c:pt>
              </c:strCache>
            </c:strRef>
          </c:tx>
          <c:spPr>
            <a:solidFill>
              <a:schemeClr val="accent2"/>
            </a:solidFill>
            <a:ln>
              <a:noFill/>
            </a:ln>
            <a:effectLst/>
          </c:spPr>
          <c:invertIfNegative val="0"/>
          <c:cat>
            <c:numRef>
              <c:f>'Comparison Charts'!$E$3:$E$8</c:f>
              <c:numCache>
                <c:formatCode>General</c:formatCode>
                <c:ptCount val="6"/>
                <c:pt idx="0">
                  <c:v>2019</c:v>
                </c:pt>
                <c:pt idx="1">
                  <c:v>2020</c:v>
                </c:pt>
                <c:pt idx="2">
                  <c:v>2021</c:v>
                </c:pt>
                <c:pt idx="3">
                  <c:v>2022</c:v>
                </c:pt>
                <c:pt idx="4">
                  <c:v>2023</c:v>
                </c:pt>
                <c:pt idx="5">
                  <c:v>2024</c:v>
                </c:pt>
              </c:numCache>
            </c:numRef>
          </c:cat>
          <c:val>
            <c:numRef>
              <c:f>'Comparison Charts'!$G$3:$G$8</c:f>
              <c:numCache>
                <c:formatCode>0.00%</c:formatCode>
                <c:ptCount val="6"/>
                <c:pt idx="0">
                  <c:v>0.77679144225810093</c:v>
                </c:pt>
                <c:pt idx="1">
                  <c:v>0.61916735270873102</c:v>
                </c:pt>
                <c:pt idx="2">
                  <c:v>0.60250299426257647</c:v>
                </c:pt>
                <c:pt idx="3">
                  <c:v>0.61627289323542478</c:v>
                </c:pt>
                <c:pt idx="4">
                  <c:v>0.53662685867763471</c:v>
                </c:pt>
                <c:pt idx="5">
                  <c:v>0.56737206971279219</c:v>
                </c:pt>
              </c:numCache>
            </c:numRef>
          </c:val>
          <c:extLst>
            <c:ext xmlns:c16="http://schemas.microsoft.com/office/drawing/2014/chart" uri="{C3380CC4-5D6E-409C-BE32-E72D297353CC}">
              <c16:uniqueId val="{00000001-6B5D-4603-B556-76BE4EFCFBBD}"/>
            </c:ext>
          </c:extLst>
        </c:ser>
        <c:dLbls>
          <c:showLegendKey val="0"/>
          <c:showVal val="0"/>
          <c:showCatName val="0"/>
          <c:showSerName val="0"/>
          <c:showPercent val="0"/>
          <c:showBubbleSize val="0"/>
        </c:dLbls>
        <c:gapWidth val="219"/>
        <c:overlap val="-27"/>
        <c:axId val="604262872"/>
        <c:axId val="604266112"/>
      </c:barChart>
      <c:catAx>
        <c:axId val="604262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604266112"/>
        <c:crosses val="autoZero"/>
        <c:auto val="1"/>
        <c:lblAlgn val="ctr"/>
        <c:lblOffset val="100"/>
        <c:noMultiLvlLbl val="0"/>
      </c:catAx>
      <c:valAx>
        <c:axId val="6042661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604262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Cash</a:t>
            </a:r>
            <a:r>
              <a:rPr lang="en-US" baseline="0"/>
              <a:t> to Asset Ratio Comparison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PK"/>
        </a:p>
      </c:txPr>
    </c:title>
    <c:autoTitleDeleted val="0"/>
    <c:plotArea>
      <c:layout/>
      <c:barChart>
        <c:barDir val="col"/>
        <c:grouping val="clustered"/>
        <c:varyColors val="0"/>
        <c:ser>
          <c:idx val="0"/>
          <c:order val="0"/>
          <c:tx>
            <c:strRef>
              <c:f>'Comparison Charts'!$B$15</c:f>
              <c:strCache>
                <c:ptCount val="1"/>
                <c:pt idx="0">
                  <c:v>Islamic Average</c:v>
                </c:pt>
              </c:strCache>
            </c:strRef>
          </c:tx>
          <c:spPr>
            <a:solidFill>
              <a:schemeClr val="accent1"/>
            </a:solidFill>
            <a:ln>
              <a:noFill/>
            </a:ln>
            <a:effectLst/>
          </c:spPr>
          <c:invertIfNegative val="0"/>
          <c:cat>
            <c:numRef>
              <c:f>'Comparison Charts'!$A$16:$A$21</c:f>
              <c:numCache>
                <c:formatCode>General</c:formatCode>
                <c:ptCount val="6"/>
                <c:pt idx="0">
                  <c:v>2019</c:v>
                </c:pt>
                <c:pt idx="1">
                  <c:v>2020</c:v>
                </c:pt>
                <c:pt idx="2">
                  <c:v>2021</c:v>
                </c:pt>
                <c:pt idx="3">
                  <c:v>2022</c:v>
                </c:pt>
                <c:pt idx="4">
                  <c:v>2023</c:v>
                </c:pt>
                <c:pt idx="5">
                  <c:v>2024</c:v>
                </c:pt>
              </c:numCache>
            </c:numRef>
          </c:cat>
          <c:val>
            <c:numRef>
              <c:f>'Comparison Charts'!$B$16:$B$21</c:f>
              <c:numCache>
                <c:formatCode>0.00%</c:formatCode>
                <c:ptCount val="6"/>
                <c:pt idx="0">
                  <c:v>6.9103630905758606E-2</c:v>
                </c:pt>
                <c:pt idx="1">
                  <c:v>7.2677465133973926E-2</c:v>
                </c:pt>
                <c:pt idx="2">
                  <c:v>7.4337249257655946E-2</c:v>
                </c:pt>
                <c:pt idx="3">
                  <c:v>7.6725433008629745E-2</c:v>
                </c:pt>
                <c:pt idx="4">
                  <c:v>7.0216959094323586E-2</c:v>
                </c:pt>
                <c:pt idx="5">
                  <c:v>6.3247015811179016E-2</c:v>
                </c:pt>
              </c:numCache>
            </c:numRef>
          </c:val>
          <c:extLst>
            <c:ext xmlns:c16="http://schemas.microsoft.com/office/drawing/2014/chart" uri="{C3380CC4-5D6E-409C-BE32-E72D297353CC}">
              <c16:uniqueId val="{00000000-AF40-4006-92C8-1F4039D95A2A}"/>
            </c:ext>
          </c:extLst>
        </c:ser>
        <c:ser>
          <c:idx val="1"/>
          <c:order val="1"/>
          <c:tx>
            <c:strRef>
              <c:f>'Comparison Charts'!$C$15</c:f>
              <c:strCache>
                <c:ptCount val="1"/>
                <c:pt idx="0">
                  <c:v>Conventional Average</c:v>
                </c:pt>
              </c:strCache>
            </c:strRef>
          </c:tx>
          <c:spPr>
            <a:solidFill>
              <a:schemeClr val="accent2"/>
            </a:solidFill>
            <a:ln>
              <a:noFill/>
            </a:ln>
            <a:effectLst/>
          </c:spPr>
          <c:invertIfNegative val="0"/>
          <c:cat>
            <c:numRef>
              <c:f>'Comparison Charts'!$A$16:$A$21</c:f>
              <c:numCache>
                <c:formatCode>General</c:formatCode>
                <c:ptCount val="6"/>
                <c:pt idx="0">
                  <c:v>2019</c:v>
                </c:pt>
                <c:pt idx="1">
                  <c:v>2020</c:v>
                </c:pt>
                <c:pt idx="2">
                  <c:v>2021</c:v>
                </c:pt>
                <c:pt idx="3">
                  <c:v>2022</c:v>
                </c:pt>
                <c:pt idx="4">
                  <c:v>2023</c:v>
                </c:pt>
                <c:pt idx="5">
                  <c:v>2024</c:v>
                </c:pt>
              </c:numCache>
            </c:numRef>
          </c:cat>
          <c:val>
            <c:numRef>
              <c:f>'Comparison Charts'!$C$16:$C$21</c:f>
              <c:numCache>
                <c:formatCode>0.00%</c:formatCode>
                <c:ptCount val="6"/>
                <c:pt idx="0">
                  <c:v>8.0163455018429863E-2</c:v>
                </c:pt>
                <c:pt idx="1">
                  <c:v>7.5625197754396523E-2</c:v>
                </c:pt>
                <c:pt idx="2">
                  <c:v>7.6727125282670477E-2</c:v>
                </c:pt>
                <c:pt idx="3">
                  <c:v>4.8580710747353567E-2</c:v>
                </c:pt>
                <c:pt idx="4">
                  <c:v>8.0623292245352404E-2</c:v>
                </c:pt>
                <c:pt idx="5">
                  <c:v>6.5178360976996266E-2</c:v>
                </c:pt>
              </c:numCache>
            </c:numRef>
          </c:val>
          <c:extLst>
            <c:ext xmlns:c16="http://schemas.microsoft.com/office/drawing/2014/chart" uri="{C3380CC4-5D6E-409C-BE32-E72D297353CC}">
              <c16:uniqueId val="{00000001-AF40-4006-92C8-1F4039D95A2A}"/>
            </c:ext>
          </c:extLst>
        </c:ser>
        <c:dLbls>
          <c:showLegendKey val="0"/>
          <c:showVal val="0"/>
          <c:showCatName val="0"/>
          <c:showSerName val="0"/>
          <c:showPercent val="0"/>
          <c:showBubbleSize val="0"/>
        </c:dLbls>
        <c:gapWidth val="219"/>
        <c:overlap val="-27"/>
        <c:axId val="604266832"/>
        <c:axId val="604262512"/>
      </c:barChart>
      <c:catAx>
        <c:axId val="604266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604262512"/>
        <c:crosses val="autoZero"/>
        <c:auto val="1"/>
        <c:lblAlgn val="ctr"/>
        <c:lblOffset val="100"/>
        <c:noMultiLvlLbl val="0"/>
      </c:catAx>
      <c:valAx>
        <c:axId val="6042625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604266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2E278-CAA5-41DF-AADF-919B114D6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18</Pages>
  <Words>5892</Words>
  <Characters>33590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TAYYAB LATIF</dc:creator>
  <cp:keywords/>
  <dc:description/>
  <cp:lastModifiedBy>MUHAMMAD TAYYAB LATIF</cp:lastModifiedBy>
  <cp:revision>133</cp:revision>
  <dcterms:created xsi:type="dcterms:W3CDTF">2026-07-03T09:59:00Z</dcterms:created>
  <dcterms:modified xsi:type="dcterms:W3CDTF">2026-07-05T01:03:00Z</dcterms:modified>
</cp:coreProperties>
</file>