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bookmarkStart w:id="0" w:colFirst="0" w:name="h.4thk5p8at060" w:colLast="0"/>
      <w:bookmarkEnd w:id="0"/>
      <w:r w:rsidRPr="00000000" w:rsidR="00000000" w:rsidDel="00000000">
        <w:rPr>
          <w:sz w:val="36"/>
          <w:rtl w:val="0"/>
        </w:rPr>
        <w:t xml:space="preserve">Descrição detalhada do Caso de uso 04 (UC04).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1" w:colFirst="0" w:name="h.gjdgxs" w:colLast="0"/>
      <w:bookmarkEnd w:id="1"/>
      <w:r w:rsidRPr="00000000" w:rsidR="00000000" w:rsidDel="00000000">
        <w:rPr>
          <w:b w:val="1"/>
          <w:rtl w:val="0"/>
        </w:rPr>
        <w:t xml:space="preserve">NOME</w:t>
      </w:r>
      <w:r w:rsidRPr="00000000" w:rsidR="00000000" w:rsidDel="00000000">
        <w:rPr>
          <w:rtl w:val="0"/>
        </w:rPr>
        <w:t xml:space="preserve">: Iniciar Consulta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Objetivo</w:t>
      </w:r>
      <w:r w:rsidRPr="00000000" w:rsidR="00000000" w:rsidDel="00000000">
        <w:rPr>
          <w:rtl w:val="0"/>
        </w:rPr>
        <w:t xml:space="preserve">: Enviar informações para médico sobre  sintomas da doença.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Pré-condição</w:t>
      </w:r>
      <w:r w:rsidRPr="00000000" w:rsidR="00000000" w:rsidDel="00000000">
        <w:rPr>
          <w:rtl w:val="0"/>
        </w:rPr>
        <w:t xml:space="preserve">: Paciente deve esta cadastrado no sistema.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Pós -condição</w:t>
      </w:r>
      <w:r w:rsidRPr="00000000" w:rsidR="00000000" w:rsidDel="00000000">
        <w:rPr>
          <w:rtl w:val="0"/>
        </w:rPr>
        <w:t xml:space="preserve">:  Uma consulta foi iniciada as informações foram gravadas e estão prontas para ser enviadas para médico pessoal ou da emergência.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Ator</w:t>
      </w:r>
      <w:r w:rsidRPr="00000000" w:rsidR="00000000" w:rsidDel="00000000">
        <w:rPr>
          <w:rtl w:val="0"/>
        </w:rPr>
        <w:t xml:space="preserve">: Paciente.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Cenário(fluxo)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1- Paciente realiza login no sistema.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2- Paciente envia informações dos sintomas que esta sentindo.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3- Paciente escolhe a consulta de emergência ou pessoal.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3.1- Modo de emergência: A consulta é enviada para o médico que estiver disponível no momento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3.2- Modo pessoal: A consulta é enviada para o médico de preferência do paciente independente da disponibilidade dele.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4- A consulta fica aguardando resposta.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160" w:line="259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UC04.docx.docx</dc:title>
</cp:coreProperties>
</file>