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F4E79"/>
          <w:sz w:val="48"/>
        </w:rPr>
        <w:t>Paper Trader — Project State Tracker</w:t>
      </w:r>
    </w:p>
    <w:p>
      <w:r>
        <w:rPr>
          <w:rFonts w:ascii="Arial" w:hAnsi="Arial"/>
          <w:b w:val="0"/>
          <w:i/>
          <w:sz w:val="20"/>
        </w:rPr>
        <w:t>Canonical project-state doc. Built from the Claude Code audit (2026-05-11) plus strategic context — Polygon piggyback analysis, prioritization framing, cleanup commit summary, and the post-PR-#15-merge refresh. Lives at docs/Project_State_Tracker.docx; update via Claude Code when state changes meaningfully.</w:t>
      </w:r>
    </w:p>
    <w:p>
      <w:pPr>
        <w:pStyle w:val="Heading1"/>
      </w:pPr>
      <w:r>
        <w:t>Executive Summary</w:t>
      </w:r>
    </w:p>
    <w:p>
      <w:r>
        <w:rPr>
          <w:rFonts w:ascii="Arial" w:hAnsi="Arial"/>
          <w:b w:val="0"/>
          <w:i w:val="0"/>
          <w:sz w:val="22"/>
        </w:rPr>
        <w:t>Where the project actually stands as of May 11, 2026 (post-PR-#15-merge):</w:t>
      </w:r>
    </w:p>
    <w:p>
      <w:pPr>
        <w:pStyle w:val="ListBullet"/>
      </w:pPr>
      <w:r>
        <w:rPr>
          <w:rFonts w:ascii="Arial" w:hAnsi="Arial"/>
          <w:b/>
          <w:i w:val="0"/>
          <w:sz w:val="22"/>
        </w:rPr>
        <w:t>Equity research framework (Mike) is production-stable.</w:t>
      </w:r>
      <w:r>
        <w:rPr>
          <w:rFonts w:ascii="Arial" w:hAnsi="Arial"/>
          <w:b w:val="0"/>
          <w:i w:val="0"/>
          <w:sz w:val="22"/>
        </w:rPr>
        <w:t xml:space="preserve"> Three promoted studies live on the cloud. NVDA/META concentration finding documented but not yet surfaced in dashboard exec summaries.</w:t>
      </w:r>
    </w:p>
    <w:p>
      <w:pPr>
        <w:pStyle w:val="ListBullet"/>
      </w:pPr>
      <w:r>
        <w:rPr>
          <w:rFonts w:ascii="Arial" w:hAnsi="Arial"/>
          <w:b/>
          <w:i w:val="0"/>
          <w:sz w:val="22"/>
        </w:rPr>
        <w:t>Crypto extension is paused.</w:t>
      </w:r>
      <w:r>
        <w:rPr>
          <w:rFonts w:ascii="Arial" w:hAnsi="Arial"/>
          <w:b w:val="0"/>
          <w:i w:val="0"/>
          <w:sz w:val="22"/>
        </w:rPr>
        <w:t xml:space="preserve"> 4-file stub committed, Chris pivoted to options. Crypto Phase 2 strategy code never started.</w:t>
      </w:r>
    </w:p>
    <w:p>
      <w:pPr>
        <w:pStyle w:val="ListBullet"/>
      </w:pPr>
      <w:r>
        <w:rPr>
          <w:rFonts w:ascii="Arial" w:hAnsi="Arial"/>
          <w:b/>
          <w:i w:val="0"/>
          <w:sz w:val="22"/>
        </w:rPr>
        <w:t>Options extension is the active build-out.</w:t>
      </w:r>
      <w:r>
        <w:rPr>
          <w:rFonts w:ascii="Arial" w:hAnsi="Arial"/>
          <w:b w:val="0"/>
          <w:i w:val="0"/>
          <w:sz w:val="22"/>
        </w:rPr>
        <w:t xml:space="preserve"> Chris shipped Sections 1-8 + 2.5 to main over 2 days. PR #15 (hang fix + concurrency refactor) merged 2026-05-11 (commit 993527f); v1 production study is now ready to run and is pending Chris's launch.</w:t>
      </w:r>
    </w:p>
    <w:p>
      <w:pPr>
        <w:pStyle w:val="ListBullet"/>
      </w:pPr>
      <w:r>
        <w:rPr>
          <w:rFonts w:ascii="Arial" w:hAnsi="Arial"/>
          <w:b/>
          <w:i w:val="0"/>
          <w:sz w:val="22"/>
        </w:rPr>
        <w:t>Cloud dashboard equity content is current; options content is pending Chris's v1 study output.</w:t>
      </w:r>
      <w:r>
        <w:rPr>
          <w:rFonts w:ascii="Arial" w:hAnsi="Arial"/>
          <w:b w:val="0"/>
          <w:i w:val="0"/>
          <w:sz w:val="22"/>
        </w:rPr>
        <w:t xml:space="preserve"> R2 synced 2026-05-11 at git_sha 993527f. The options/ prefix stays empty in R2 until the v1 study produces artifacts under models/cache/options/.</w:t>
      </w:r>
    </w:p>
    <w:p>
      <w:pPr>
        <w:pStyle w:val="ListBullet"/>
      </w:pPr>
      <w:r>
        <w:rPr>
          <w:rFonts w:ascii="Arial" w:hAnsi="Arial"/>
          <w:b/>
          <w:i w:val="0"/>
          <w:sz w:val="22"/>
        </w:rPr>
        <w:t>Mike's venv is healthy.</w:t>
      </w:r>
      <w:r>
        <w:rPr>
          <w:rFonts w:ascii="Arial" w:hAnsi="Arial"/>
          <w:b w:val="0"/>
          <w:i w:val="0"/>
          <w:sz w:val="22"/>
        </w:rPr>
        <w:t xml:space="preserve"> Test collection bug fixed (commit c1346cd); truststore + pytest installed; full test suite runs.</w:t>
      </w:r>
    </w:p>
    <w:p>
      <w:pPr>
        <w:pStyle w:val="ListBullet"/>
      </w:pPr>
      <w:r>
        <w:rPr>
          <w:rFonts w:ascii="Arial" w:hAnsi="Arial"/>
          <w:b/>
          <w:i w:val="0"/>
          <w:sz w:val="22"/>
        </w:rPr>
        <w:t>.env.example now documents the full key set.</w:t>
      </w:r>
      <w:r>
        <w:rPr>
          <w:rFonts w:ascii="Arial" w:hAnsi="Arial"/>
          <w:b w:val="0"/>
          <w:i w:val="0"/>
          <w:sz w:val="22"/>
        </w:rPr>
        <w:t xml:space="preserve"> Tradier, Polygon, FRED, Finnhub, R2, plus the optional PAPER_TRADER_* runtime knobs — see Finding 4.</w:t>
      </w:r>
    </w:p>
    <w:p>
      <w:pPr>
        <w:pStyle w:val="ListBullet"/>
      </w:pPr>
      <w:r>
        <w:rPr>
          <w:rFonts w:ascii="Arial" w:hAnsi="Arial"/>
          <w:b/>
          <w:i w:val="0"/>
          <w:sz w:val="22"/>
        </w:rPr>
        <w:t>SP1500 universe expansion remains stashed, awaiting Finnhub TOS clarity.</w:t>
      </w:r>
      <w:r>
        <w:rPr>
          <w:rFonts w:ascii="Arial" w:hAnsi="Arial"/>
          <w:b w:val="0"/>
          <w:i w:val="0"/>
          <w:sz w:val="22"/>
        </w:rPr>
        <w:t xml:space="preserve"> Polygon/Massive (Chris's data source) may make this question obsolete — see Section 3 for the piggyback math.</w:t>
      </w:r>
    </w:p>
    <w:p>
      <w:r>
        <w:rPr>
          <w:rFonts w:ascii="Arial" w:hAnsi="Arial"/>
          <w:b/>
          <w:i w:val="0"/>
          <w:sz w:val="22"/>
        </w:rPr>
        <w:t xml:space="preserve">Honest read: </w:t>
      </w:r>
      <w:r>
        <w:rPr>
          <w:rFonts w:ascii="Arial" w:hAnsi="Arial"/>
          <w:b w:val="0"/>
          <w:i w:val="0"/>
          <w:sz w:val="22"/>
        </w:rPr>
        <w:t>URGENT items are now cleared. PR #15 is merged, equity R2 is current, venv dependencies are installed, .env.example is complete. The next forcing function is Chris launching the v1 production study — once that completes, options content gets uploaded to R2 and we get the first end-to-end options-side dashboard. Three different research domains (equity, crypto, options) coexist without conflict thanks to Phase 1's asset-class refactor.</w:t>
      </w:r>
    </w:p>
    <w:p>
      <w:pPr>
        <w:pStyle w:val="Heading2"/>
      </w:pPr>
      <w:r>
        <w:t>Status table at a glance</w:t>
      </w:r>
    </w:p>
    <w:p>
      <w:r>
        <w:rPr>
          <w:rFonts w:ascii="Arial" w:hAnsi="Arial"/>
          <w:b w:val="0"/>
          <w:i/>
          <w:sz w:val="20"/>
        </w:rPr>
        <w:t>Red rows are URGENT (blocking work); yellow rows are warnings (needs attention but not blocking); green rows are working as designed. As of 2026-05-11 post-merge, no rows are red.</w:t>
      </w:r>
    </w:p>
    <w:tbl>
      <w:tblPr>
        <w:tblW w:type="auto" w:w="0"/>
        <w:tblLayout w:type="fixed"/>
        <w:tblLook w:firstColumn="1" w:firstRow="1" w:lastColumn="0" w:lastRow="0" w:noHBand="0" w:noVBand="1" w:val="04A0"/>
      </w:tblPr>
      <w:tblGrid>
        <w:gridCol w:w="2736"/>
        <w:gridCol w:w="2448"/>
        <w:gridCol w:w="1008"/>
        <w:gridCol w:w="3168"/>
      </w:tblGrid>
      <w:tr>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Workstream</w:t>
            </w:r>
          </w:p>
        </w:tc>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Status</w:t>
            </w:r>
          </w:p>
        </w:tc>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Owner</w:t>
            </w:r>
          </w:p>
        </w:tc>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Blocker / Next</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Equity research framework</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WORKING</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None; dashboard updates needed for NVDA/META finding</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Cloud dashboard (equities)</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WORKING — R2 current</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Synced 2026-05-11 at git_sha 993527f</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Options Sections 1-8 + 2.5</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MERGED</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Done; foundation for v1 study</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Options PR #15 (hang fix)</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MERGED</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Merged 2026-05-11; commit 993527f</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Options v1 study</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READY — pending Chris launch</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Chris launches v1 production study</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Crypto Phase 2 strategy code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PAUSED — STUB ONLY</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Indefinitely; Chris on options</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SP1500 expansion</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PAUSED — STASHED</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Finnhub TOS OR pivot to Polygon (see §3)</w:t>
            </w:r>
          </w:p>
        </w:tc>
      </w:tr>
      <w:tr>
        <w:tc>
          <w:tcPr>
            <w:tcW w:type="dxa" w:w="2340"/>
            <w:tcBorders>
              <w:top w:val="single" w:sz="4" w:color="808080"/>
              <w:left w:val="single" w:sz="4" w:color="808080"/>
              <w:bottom w:val="single" w:sz="4" w:color="808080"/>
              <w:right w:val="single" w:sz="4" w:color="808080"/>
            </w:tcBorders>
          </w:tcPr>
          <w:p>
            <w:r/>
            <w:r>
              <w:rPr>
                <w:rFonts w:ascii="Arial" w:hAnsi="Arial"/>
                <w:sz w:val="18"/>
              </w:rPr>
              <w:t>NVDA/META dashboard surfacing</w:t>
            </w:r>
          </w:p>
        </w:tc>
        <w:tc>
          <w:tcPr>
            <w:tcW w:type="dxa" w:w="2340"/>
            <w:tcBorders>
              <w:top w:val="single" w:sz="4" w:color="808080"/>
              <w:left w:val="single" w:sz="4" w:color="808080"/>
              <w:bottom w:val="single" w:sz="4" w:color="808080"/>
              <w:right w:val="single" w:sz="4" w:color="808080"/>
            </w:tcBorders>
          </w:tcPr>
          <w:p>
            <w:r/>
            <w:r>
              <w:rPr>
                <w:rFonts w:ascii="Arial" w:hAnsi="Arial"/>
                <w:sz w:val="18"/>
              </w:rPr>
              <w:t>QUEUED</w:t>
            </w:r>
          </w:p>
        </w:tc>
        <w:tc>
          <w:tcPr>
            <w:tcW w:type="dxa" w:w="2340"/>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tcBorders>
              <w:top w:val="single" w:sz="4" w:color="808080"/>
              <w:left w:val="single" w:sz="4" w:color="808080"/>
              <w:bottom w:val="single" w:sz="4" w:color="808080"/>
              <w:right w:val="single" w:sz="4" w:color="808080"/>
            </w:tcBorders>
          </w:tcPr>
          <w:p>
            <w:r/>
            <w:r>
              <w:rPr>
                <w:rFonts w:ascii="Arial" w:hAnsi="Arial"/>
                <w:sz w:val="18"/>
              </w:rPr>
              <w:t>Small Claude Code session; commits ready (f46bd05)</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Test suite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374 pass / 2 venv-fixable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Shared</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Run pip install -r requirements.txt</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Repo hygiene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CLEANED 2026-05-11</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Commit 5c39cc5</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Options R2 sync</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PENDING — no v1 study output yet</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Run v1 production study; that produces the artifacts snapshot_for_cloud.py expects under models/cache/options/</w:t>
            </w:r>
          </w:p>
        </w:tc>
      </w:tr>
    </w:tbl>
    <w:p>
      <w:pPr>
        <w:pStyle w:val="Heading1"/>
      </w:pPr>
      <w:r>
        <w:t>Claude Session Onboarding</w:t>
      </w:r>
    </w:p>
    <w:p>
      <w:r>
        <w:rPr>
          <w:rFonts w:ascii="Arial" w:hAnsi="Arial"/>
          <w:b w:val="0"/>
          <w:i w:val="0"/>
          <w:sz w:val="22"/>
        </w:rPr>
        <w:t>When opening a new Claude.ai or Claude Code session about this project, paste the prompt below into the first message. This gives Claude immediate context on project state, recent decisions, and what's in flight — so the session doesn't waste turns asking what the project is or rediscovering things this tracker already documents.</w:t>
      </w:r>
    </w:p>
    <w:tbl>
      <w:tblPr>
        <w:tblW w:type="auto" w:w="0"/>
        <w:tblLayout w:type="autofit"/>
        <w:tblLook w:firstColumn="1" w:firstRow="1" w:lastColumn="0" w:lastRow="0" w:noHBand="0" w:noVBand="1" w:val="04A0"/>
      </w:tblPr>
      <w:tblGrid>
        <w:gridCol w:w="9360"/>
      </w:tblGrid>
      <w:tr>
        <w:tc>
          <w:tcPr>
            <w:tcW w:type="dxa" w:w="9360"/>
            <w:shd w:val="clear" w:color="auto" w:fill="F5F5F5"/>
          </w:tcPr>
          <w:p>
            <w:pPr>
              <w:spacing w:after="0" w:before="0"/>
            </w:pPr>
            <w:r>
              <w:rPr>
                <w:rFonts w:ascii="Consolas" w:hAnsi="Consolas"/>
                <w:sz w:val="18"/>
              </w:rPr>
              <w:t>I'm working on a quant equity / options paper trading project at</w:t>
            </w:r>
          </w:p>
          <w:p>
            <w:pPr>
              <w:spacing w:after="0" w:before="0"/>
            </w:pPr>
            <w:r>
              <w:rPr>
                <w:rFonts w:ascii="Consolas" w:hAnsi="Consolas"/>
                <w:sz w:val="18"/>
              </w:rPr>
              <w:t>github.com/mteevan90/paper_trader_dashboard. Two contributors: Mike</w:t>
            </w:r>
          </w:p>
          <w:p>
            <w:pPr>
              <w:spacing w:after="0" w:before="0"/>
            </w:pPr>
            <w:r>
              <w:rPr>
                <w:rFonts w:ascii="Consolas" w:hAnsi="Consolas"/>
                <w:sz w:val="18"/>
              </w:rPr>
              <w:t>(equity research; account @mteevan90) and Chris (options + paused</w:t>
            </w:r>
          </w:p>
          <w:p>
            <w:pPr>
              <w:spacing w:after="0" w:before="0"/>
            </w:pPr>
            <w:r>
              <w:rPr>
                <w:rFonts w:ascii="Consolas" w:hAnsi="Consolas"/>
                <w:sz w:val="18"/>
              </w:rPr>
              <w:t>crypto; @cmjteevan).</w:t>
            </w:r>
          </w:p>
          <w:p>
            <w:pPr>
              <w:spacing w:after="0" w:before="0"/>
            </w:pPr>
            <w:r>
              <w:rPr>
                <w:rFonts w:ascii="Consolas" w:hAnsi="Consolas"/>
                <w:sz w:val="18"/>
              </w:rPr>
              <w:t xml:space="preserve"> </w:t>
            </w:r>
          </w:p>
          <w:p>
            <w:pPr>
              <w:spacing w:after="0" w:before="0"/>
            </w:pPr>
            <w:r>
              <w:rPr>
                <w:rFonts w:ascii="Consolas" w:hAnsi="Consolas"/>
                <w:sz w:val="18"/>
              </w:rPr>
              <w:t>Before answering my first question, please read these in order:</w:t>
            </w:r>
          </w:p>
          <w:p>
            <w:pPr>
              <w:spacing w:after="0" w:before="0"/>
            </w:pPr>
            <w:r>
              <w:rPr>
                <w:rFonts w:ascii="Consolas" w:hAnsi="Consolas"/>
                <w:sz w:val="18"/>
              </w:rPr>
              <w:t xml:space="preserve"> </w:t>
            </w:r>
          </w:p>
          <w:p>
            <w:pPr>
              <w:spacing w:after="0" w:before="0"/>
            </w:pPr>
            <w:r>
              <w:rPr>
                <w:rFonts w:ascii="Consolas" w:hAnsi="Consolas"/>
                <w:sz w:val="18"/>
              </w:rPr>
              <w:t>1. docs/Project_State_Tracker.docx — canonical current state, action</w:t>
            </w:r>
          </w:p>
          <w:p>
            <w:pPr>
              <w:spacing w:after="0" w:before="0"/>
            </w:pPr>
            <w:r>
              <w:rPr>
                <w:rFonts w:ascii="Consolas" w:hAnsi="Consolas"/>
                <w:sz w:val="18"/>
              </w:rPr>
              <w:t xml:space="preserve">   items, strategic context. THIS is your primary orientation doc.</w:t>
            </w:r>
          </w:p>
          <w:p>
            <w:pPr>
              <w:spacing w:after="0" w:before="0"/>
            </w:pPr>
            <w:r>
              <w:rPr>
                <w:rFonts w:ascii="Consolas" w:hAnsi="Consolas"/>
                <w:sz w:val="18"/>
              </w:rPr>
              <w:t xml:space="preserve"> </w:t>
            </w:r>
          </w:p>
          <w:p>
            <w:pPr>
              <w:spacing w:after="0" w:before="0"/>
            </w:pPr>
            <w:r>
              <w:rPr>
                <w:rFonts w:ascii="Consolas" w:hAnsi="Consolas"/>
                <w:sz w:val="18"/>
              </w:rPr>
              <w:t>2. docs/Comprehensive_User_Guide.docx — full technical reference</w:t>
            </w:r>
          </w:p>
          <w:p>
            <w:pPr>
              <w:spacing w:after="0" w:before="0"/>
            </w:pPr>
            <w:r>
              <w:rPr>
                <w:rFonts w:ascii="Consolas" w:hAnsi="Consolas"/>
                <w:sz w:val="18"/>
              </w:rPr>
              <w:t xml:space="preserve">   (architecture, data layer, dashboard patterns, gotchas). Reference</w:t>
            </w:r>
          </w:p>
          <w:p>
            <w:pPr>
              <w:spacing w:after="0" w:before="0"/>
            </w:pPr>
            <w:r>
              <w:rPr>
                <w:rFonts w:ascii="Consolas" w:hAnsi="Consolas"/>
                <w:sz w:val="18"/>
              </w:rPr>
              <w:t xml:space="preserve">   for depth.</w:t>
            </w:r>
          </w:p>
          <w:p>
            <w:pPr>
              <w:spacing w:after="0" w:before="0"/>
            </w:pPr>
            <w:r>
              <w:rPr>
                <w:rFonts w:ascii="Consolas" w:hAnsi="Consolas"/>
                <w:sz w:val="18"/>
              </w:rPr>
              <w:t xml:space="preserve"> </w:t>
            </w:r>
          </w:p>
          <w:p>
            <w:pPr>
              <w:spacing w:after="0" w:before="0"/>
            </w:pPr>
            <w:r>
              <w:rPr>
                <w:rFonts w:ascii="Consolas" w:hAnsi="Consolas"/>
                <w:sz w:val="18"/>
              </w:rPr>
              <w:t>3. docs/Project_State_Audit.docx — most recent audit from Claude Code</w:t>
            </w:r>
          </w:p>
          <w:p>
            <w:pPr>
              <w:spacing w:after="0" w:before="0"/>
            </w:pPr>
            <w:r>
              <w:rPr>
                <w:rFonts w:ascii="Consolas" w:hAnsi="Consolas"/>
                <w:sz w:val="18"/>
              </w:rPr>
              <w:t xml:space="preserve">   (2026-05-11), with file-level details on what's broken / stale /</w:t>
            </w:r>
          </w:p>
          <w:p>
            <w:pPr>
              <w:spacing w:after="0" w:before="0"/>
            </w:pPr>
            <w:r>
              <w:rPr>
                <w:rFonts w:ascii="Consolas" w:hAnsi="Consolas"/>
                <w:sz w:val="18"/>
              </w:rPr>
              <w:t xml:space="preserve">   clean.</w:t>
            </w:r>
          </w:p>
          <w:p>
            <w:pPr>
              <w:spacing w:after="0" w:before="0"/>
            </w:pPr>
            <w:r>
              <w:rPr>
                <w:rFonts w:ascii="Consolas" w:hAnsi="Consolas"/>
                <w:sz w:val="18"/>
              </w:rPr>
              <w:t xml:space="preserve"> </w:t>
            </w:r>
          </w:p>
          <w:p>
            <w:pPr>
              <w:spacing w:after="0" w:before="0"/>
            </w:pPr>
            <w:r>
              <w:rPr>
                <w:rFonts w:ascii="Consolas" w:hAnsi="Consolas"/>
                <w:sz w:val="18"/>
              </w:rPr>
              <w:t>4. docs/Options_Extension_Decisions.md — Chris's options architecture</w:t>
            </w:r>
          </w:p>
          <w:p>
            <w:pPr>
              <w:spacing w:after="0" w:before="0"/>
            </w:pPr>
            <w:r>
              <w:rPr>
                <w:rFonts w:ascii="Consolas" w:hAnsi="Consolas"/>
                <w:sz w:val="18"/>
              </w:rPr>
              <w:t xml:space="preserve">   decisions.</w:t>
            </w:r>
          </w:p>
          <w:p>
            <w:pPr>
              <w:spacing w:after="0" w:before="0"/>
            </w:pPr>
            <w:r>
              <w:rPr>
                <w:rFonts w:ascii="Consolas" w:hAnsi="Consolas"/>
                <w:sz w:val="18"/>
              </w:rPr>
              <w:t xml:space="preserve"> </w:t>
            </w:r>
          </w:p>
          <w:p>
            <w:pPr>
              <w:spacing w:after="0" w:before="0"/>
            </w:pPr>
            <w:r>
              <w:rPr>
                <w:rFonts w:ascii="Consolas" w:hAnsi="Consolas"/>
                <w:sz w:val="18"/>
              </w:rPr>
              <w:t>5. docs/Crypto_Extension_Decisions.md — Crypto extension architectural</w:t>
            </w:r>
          </w:p>
          <w:p>
            <w:pPr>
              <w:spacing w:after="0" w:before="0"/>
            </w:pPr>
            <w:r>
              <w:rPr>
                <w:rFonts w:ascii="Consolas" w:hAnsi="Consolas"/>
                <w:sz w:val="18"/>
              </w:rPr>
              <w:t xml:space="preserve">   decisions (extension is paused but doc is authoritative if work</w:t>
            </w:r>
          </w:p>
          <w:p>
            <w:pPr>
              <w:spacing w:after="0" w:before="0"/>
            </w:pPr>
            <w:r>
              <w:rPr>
                <w:rFonts w:ascii="Consolas" w:hAnsi="Consolas"/>
                <w:sz w:val="18"/>
              </w:rPr>
              <w:t xml:space="preserve">   resumes).</w:t>
            </w:r>
          </w:p>
          <w:p>
            <w:pPr>
              <w:spacing w:after="0" w:before="0"/>
            </w:pPr>
            <w:r>
              <w:rPr>
                <w:rFonts w:ascii="Consolas" w:hAnsi="Consolas"/>
                <w:sz w:val="18"/>
              </w:rPr>
              <w:t xml:space="preserve"> </w:t>
            </w:r>
          </w:p>
          <w:p>
            <w:pPr>
              <w:spacing w:after="0" w:before="0"/>
            </w:pPr>
            <w:r>
              <w:rPr>
                <w:rFonts w:ascii="Consolas" w:hAnsi="Consolas"/>
                <w:sz w:val="18"/>
              </w:rPr>
              <w:t>6. docs/future_work.md — deferred items, including hardware-aware work</w:t>
            </w:r>
          </w:p>
          <w:p>
            <w:pPr>
              <w:spacing w:after="0" w:before="0"/>
            </w:pPr>
            <w:r>
              <w:rPr>
                <w:rFonts w:ascii="Consolas" w:hAnsi="Consolas"/>
                <w:sz w:val="18"/>
              </w:rPr>
              <w:t xml:space="preserve">   allocation and distributed Optuna trigger.</w:t>
            </w:r>
          </w:p>
          <w:p>
            <w:pPr>
              <w:spacing w:after="0" w:before="0"/>
            </w:pPr>
            <w:r>
              <w:rPr>
                <w:rFonts w:ascii="Consolas" w:hAnsi="Consolas"/>
                <w:sz w:val="18"/>
              </w:rPr>
              <w:t xml:space="preserve"> </w:t>
            </w:r>
          </w:p>
          <w:p>
            <w:pPr>
              <w:spacing w:after="0" w:before="0"/>
            </w:pPr>
            <w:r>
              <w:rPr>
                <w:rFonts w:ascii="Consolas" w:hAnsi="Consolas"/>
                <w:sz w:val="18"/>
              </w:rPr>
              <w:t>Once you've read these, give me a 3-sentence summary of where the</w:t>
            </w:r>
          </w:p>
          <w:p>
            <w:pPr>
              <w:spacing w:after="0" w:before="0"/>
            </w:pPr>
            <w:r>
              <w:rPr>
                <w:rFonts w:ascii="Consolas" w:hAnsi="Consolas"/>
                <w:sz w:val="18"/>
              </w:rPr>
              <w:t>project stands and what URGENT items remain, then ask what I want to</w:t>
            </w:r>
          </w:p>
          <w:p>
            <w:pPr>
              <w:spacing w:after="0" w:before="0"/>
            </w:pPr>
            <w:r>
              <w:rPr>
                <w:rFonts w:ascii="Consolas" w:hAnsi="Consolas"/>
                <w:sz w:val="18"/>
              </w:rPr>
              <w:t>work on. Don't write any code or run any tools until I respond. Don't</w:t>
            </w:r>
          </w:p>
          <w:p>
            <w:pPr>
              <w:spacing w:after="0" w:before="0"/>
            </w:pPr>
            <w:r>
              <w:rPr>
                <w:rFonts w:ascii="Consolas" w:hAnsi="Consolas"/>
                <w:sz w:val="18"/>
              </w:rPr>
              <w:t>make assumptions about my role (Mike or Chris) — ask if it's not</w:t>
            </w:r>
          </w:p>
          <w:p>
            <w:pPr>
              <w:spacing w:after="0" w:before="0"/>
            </w:pPr>
            <w:r>
              <w:rPr>
                <w:rFonts w:ascii="Consolas" w:hAnsi="Consolas"/>
                <w:sz w:val="18"/>
              </w:rPr>
              <w:t>clear from context.</w:t>
            </w:r>
          </w:p>
          <w:p>
            <w:pPr>
              <w:spacing w:after="0" w:before="0"/>
            </w:pPr>
            <w:r>
              <w:rPr>
                <w:rFonts w:ascii="Consolas" w:hAnsi="Consolas"/>
                <w:sz w:val="18"/>
              </w:rPr>
              <w:t xml:space="preserve"> </w:t>
            </w:r>
          </w:p>
          <w:p>
            <w:pPr>
              <w:spacing w:after="0" w:before="0"/>
            </w:pPr>
            <w:r>
              <w:rPr>
                <w:rFonts w:ascii="Consolas" w:hAnsi="Consolas"/>
                <w:sz w:val="18"/>
              </w:rPr>
              <w:t>Key project conventions to absorb:</w:t>
            </w:r>
          </w:p>
          <w:p>
            <w:pPr>
              <w:spacing w:after="0" w:before="0"/>
            </w:pPr>
            <w:r>
              <w:rPr>
                <w:rFonts w:ascii="Consolas" w:hAnsi="Consolas"/>
                <w:sz w:val="18"/>
              </w:rPr>
              <w:t>- Mike owns equity work + shared infrastructure</w:t>
            </w:r>
          </w:p>
          <w:p>
            <w:pPr>
              <w:spacing w:after="0" w:before="0"/>
            </w:pPr>
            <w:r>
              <w:rPr>
                <w:rFonts w:ascii="Consolas" w:hAnsi="Consolas"/>
                <w:sz w:val="18"/>
              </w:rPr>
              <w:t>- Chris owns options + crypto code</w:t>
            </w:r>
          </w:p>
          <w:p>
            <w:pPr>
              <w:spacing w:after="0" w:before="0"/>
            </w:pPr>
            <w:r>
              <w:rPr>
                <w:rFonts w:ascii="Consolas" w:hAnsi="Consolas"/>
                <w:sz w:val="18"/>
              </w:rPr>
              <w:t>- CODEOWNERS in .github/ enforces cross-namespace boundaries</w:t>
            </w:r>
          </w:p>
          <w:p>
            <w:pPr>
              <w:spacing w:after="0" w:before="0"/>
            </w:pPr>
            <w:r>
              <w:rPr>
                <w:rFonts w:ascii="Consolas" w:hAnsi="Consolas"/>
                <w:sz w:val="18"/>
              </w:rPr>
              <w:t>- Cloud dashboard at paper-trader-mteev.streamlit.app (read-only,</w:t>
            </w:r>
          </w:p>
          <w:p>
            <w:pPr>
              <w:spacing w:after="0" w:before="0"/>
            </w:pPr>
            <w:r>
              <w:rPr>
                <w:rFonts w:ascii="Consolas" w:hAnsi="Consolas"/>
                <w:sz w:val="18"/>
              </w:rPr>
              <w:t xml:space="preserve">  R2-backed)</w:t>
            </w:r>
          </w:p>
          <w:p>
            <w:pPr>
              <w:spacing w:after="0" w:before="0"/>
            </w:pPr>
            <w:r>
              <w:rPr>
                <w:rFonts w:ascii="Consolas" w:hAnsi="Consolas"/>
                <w:sz w:val="18"/>
              </w:rPr>
              <w:t>- Asset-class-namespaced data layer: equities/, crypto/, options/</w:t>
            </w:r>
          </w:p>
          <w:p>
            <w:pPr>
              <w:spacing w:after="0" w:before="0"/>
            </w:pPr>
            <w:r>
              <w:rPr>
                <w:rFonts w:ascii="Consolas" w:hAnsi="Consolas"/>
                <w:sz w:val="18"/>
              </w:rPr>
              <w:t xml:space="preserve">  subdirs under models/cache/ and models/snapshots/</w:t>
            </w:r>
          </w:p>
          <w:p>
            <w:pPr>
              <w:spacing w:after="0" w:before="0"/>
            </w:pPr>
            <w:r>
              <w:rPr>
                <w:rFonts w:ascii="Consolas" w:hAnsi="Consolas"/>
                <w:sz w:val="18"/>
              </w:rPr>
              <w:t>- The tracker doc supersedes prior versions of any other handoff doc</w:t>
            </w:r>
          </w:p>
          <w:p>
            <w:pPr>
              <w:spacing w:after="0" w:before="0"/>
            </w:pPr>
            <w:r>
              <w:rPr>
                <w:rFonts w:ascii="Consolas" w:hAnsi="Consolas"/>
                <w:sz w:val="18"/>
              </w:rPr>
              <w:t xml:space="preserve"> </w:t>
            </w:r>
          </w:p>
          <w:p>
            <w:pPr>
              <w:spacing w:after="0" w:before="0"/>
            </w:pPr>
            <w:r>
              <w:rPr>
                <w:rFonts w:ascii="Consolas" w:hAnsi="Consolas"/>
                <w:sz w:val="18"/>
              </w:rPr>
              <w:t>Three things you should specifically NOT do without explicit</w:t>
            </w:r>
          </w:p>
          <w:p>
            <w:pPr>
              <w:spacing w:after="0" w:before="0"/>
            </w:pPr>
            <w:r>
              <w:rPr>
                <w:rFonts w:ascii="Consolas" w:hAnsi="Consolas"/>
                <w:sz w:val="18"/>
              </w:rPr>
              <w:t>confirmation:</w:t>
            </w:r>
          </w:p>
          <w:p>
            <w:pPr>
              <w:spacing w:after="0" w:before="0"/>
            </w:pPr>
            <w:r>
              <w:rPr>
                <w:rFonts w:ascii="Consolas" w:hAnsi="Consolas"/>
                <w:sz w:val="18"/>
              </w:rPr>
              <w:t>- Don't push to main (use feature branches; let me merge via PR)</w:t>
            </w:r>
          </w:p>
          <w:p>
            <w:pPr>
              <w:spacing w:after="0" w:before="0"/>
            </w:pPr>
            <w:r>
              <w:rPr>
                <w:rFonts w:ascii="Consolas" w:hAnsi="Consolas"/>
                <w:sz w:val="18"/>
              </w:rPr>
              <w:t>- Don't run snapshot_for_cloud.py without --dry-run first</w:t>
            </w:r>
          </w:p>
          <w:p>
            <w:pPr>
              <w:spacing w:after="0" w:before="0"/>
            </w:pPr>
            <w:r>
              <w:rPr>
                <w:rFonts w:ascii="Consolas" w:hAnsi="Consolas"/>
                <w:sz w:val="18"/>
              </w:rPr>
              <w:t>- Don't pop or modify stash@{0} (deferred SP1500 work)</w:t>
            </w:r>
          </w:p>
          <w:p>
            <w:pPr>
              <w:spacing w:after="0" w:before="0"/>
            </w:pPr>
            <w:r>
              <w:rPr>
                <w:rFonts w:ascii="Consolas" w:hAnsi="Consolas"/>
                <w:sz w:val="18"/>
              </w:rPr>
              <w:t xml:space="preserve"> </w:t>
            </w:r>
          </w:p>
          <w:p>
            <w:pPr>
              <w:spacing w:after="0" w:before="0"/>
            </w:pPr>
            <w:r>
              <w:rPr>
                <w:rFonts w:ascii="Consolas" w:hAnsi="Consolas"/>
                <w:sz w:val="18"/>
              </w:rPr>
              <w:t>If you find yourself working without having read the tracker doc</w:t>
            </w:r>
          </w:p>
          <w:p>
            <w:pPr>
              <w:spacing w:after="0" w:before="0"/>
            </w:pPr>
            <w:r>
              <w:rPr>
                <w:rFonts w:ascii="Consolas" w:hAnsi="Consolas"/>
                <w:sz w:val="18"/>
              </w:rPr>
              <w:t>first, stop and read it. The tracker is updated when project state</w:t>
            </w:r>
          </w:p>
          <w:p>
            <w:pPr>
              <w:spacing w:after="0" w:before="0"/>
            </w:pPr>
            <w:r>
              <w:rPr>
                <w:rFonts w:ascii="Consolas" w:hAnsi="Consolas"/>
                <w:sz w:val="18"/>
              </w:rPr>
              <w:t>changes meaningfully — its commit date in git log tells you how</w:t>
            </w:r>
          </w:p>
          <w:p>
            <w:pPr>
              <w:spacing w:after="0" w:before="0"/>
            </w:pPr>
            <w:r>
              <w:rPr>
                <w:rFonts w:ascii="Consolas" w:hAnsi="Consolas"/>
                <w:sz w:val="18"/>
              </w:rPr>
              <w:t>recently.</w:t>
            </w:r>
          </w:p>
        </w:tc>
      </w:tr>
    </w:tbl>
    <w:p>
      <w:r>
        <w:rPr>
          <w:rFonts w:ascii="Arial" w:hAnsi="Arial"/>
          <w:b w:val="0"/>
          <w:i/>
          <w:sz w:val="20"/>
        </w:rPr>
        <w:t>After pasting, Claude will read this tracker and any referenced docs before answering your first question. Update this prompt's reference list if you add new authoritative docs to the repo.</w:t>
      </w:r>
    </w:p>
    <w:p>
      <w:pPr>
        <w:pStyle w:val="Heading1"/>
      </w:pPr>
      <w:r>
        <w:t>1. Top 5 Most Important Findings</w:t>
      </w:r>
    </w:p>
    <w:p>
      <w:pPr>
        <w:pStyle w:val="Heading2"/>
      </w:pPr>
      <w:r>
        <w:t>Finding 1: PR #15 blocks the options v1 study — RESOLVED</w:t>
      </w:r>
    </w:p>
    <w:p>
      <w:r>
        <w:rPr>
          <w:rFonts w:ascii="Arial" w:hAnsi="Arial"/>
          <w:b/>
          <w:i w:val="0"/>
          <w:sz w:val="22"/>
        </w:rPr>
        <w:t xml:space="preserve">Resolved 2026-05-11: </w:t>
      </w:r>
      <w:r>
        <w:rPr>
          <w:rFonts w:ascii="Arial" w:hAnsi="Arial"/>
          <w:b w:val="0"/>
          <w:i w:val="0"/>
          <w:sz w:val="22"/>
        </w:rPr>
        <w:t>PR #15 merged at commit 993527f. Branch chris/options-fix-v1-study-hang folded into main; v1 study is now unblocked and pending Chris's launch.</w:t>
      </w:r>
    </w:p>
    <w:p>
      <w:r>
        <w:rPr>
          <w:rFonts w:ascii="Arial" w:hAnsi="Arial"/>
          <w:b w:val="0"/>
          <w:i w:val="0"/>
          <w:sz w:val="22"/>
        </w:rPr>
        <w:t>Historical context — original finding kept for the record:</w:t>
      </w:r>
    </w:p>
    <w:p>
      <w:r>
        <w:rPr>
          <w:rFonts w:ascii="Arial" w:hAnsi="Arial"/>
          <w:b w:val="0"/>
          <w:i w:val="0"/>
          <w:sz w:val="22"/>
        </w:rPr>
        <w:t>Branch chris/options-fix-v1-study-hang @ 7e0881c was 1 commit ahead of main. Real fix, not cosmetic. Root cause: engine.py was still passing Tradier's fetch_history to chain_reconstruction after PR #14 swapped the default to Polygon. Tradier returns null for expired OCCs, so reconstruct_chain looped on empty data.</w:t>
      </w:r>
    </w:p>
    <w:p>
      <w:r>
        <w:rPr>
          <w:rFonts w:ascii="Arial" w:hAnsi="Arial"/>
          <w:b w:val="0"/>
          <w:i w:val="0"/>
          <w:sz w:val="22"/>
        </w:rPr>
        <w:t>Bundled fixes:</w:t>
      </w:r>
    </w:p>
    <w:p>
      <w:pPr>
        <w:pStyle w:val="ListBullet"/>
      </w:pPr>
      <w:r>
        <w:rPr>
          <w:rFonts w:ascii="Arial" w:hAnsi="Arial"/>
          <w:sz w:val="22"/>
        </w:rPr>
        <w:t>Separate RateLimiter per data source (Tradier 60/min vs Polygon 300/min)</w:t>
      </w:r>
    </w:p>
    <w:p>
      <w:pPr>
        <w:pStyle w:val="ListBullet"/>
      </w:pPr>
      <w:r>
        <w:rPr>
          <w:rFonts w:ascii="Arial" w:hAnsi="Arial"/>
          <w:sz w:val="22"/>
        </w:rPr>
        <w:t>Thread-safe lock on rate-limit deque (16 concurrent chain workers)</w:t>
      </w:r>
    </w:p>
    <w:p>
      <w:pPr>
        <w:pStyle w:val="ListBullet"/>
      </w:pPr>
      <w:r>
        <w:rPr>
          <w:rFonts w:ascii="Arial" w:hAnsi="Arial"/>
          <w:sz w:val="22"/>
        </w:rPr>
        <w:t>Capped header-driven sleep at 60s</w:t>
      </w:r>
    </w:p>
    <w:p>
      <w:pPr>
        <w:pStyle w:val="ListBullet"/>
      </w:pPr>
      <w:r>
        <w:rPr>
          <w:rFonts w:ascii="Arial" w:hAnsi="Arial"/>
          <w:sz w:val="22"/>
        </w:rPr>
        <w:t>Multi-day pre-fetch in _default_deps</w:t>
      </w:r>
    </w:p>
    <w:p>
      <w:pPr>
        <w:pStyle w:val="ListBullet"/>
      </w:pPr>
      <w:r>
        <w:rPr>
          <w:rFonts w:ascii="Arial" w:hAnsi="Arial"/>
          <w:sz w:val="22"/>
        </w:rPr>
        <w:t>Removed Polygon cache-write sanity gate that was rejecting legitimate sparse-expiry contracts</w:t>
      </w:r>
    </w:p>
    <w:p>
      <w:r>
        <w:rPr>
          <w:rFonts w:ascii="Arial" w:hAnsi="Arial"/>
          <w:b w:val="0"/>
          <w:i w:val="0"/>
          <w:sz w:val="22"/>
        </w:rPr>
        <w:t>8 files, +526/-106 lines, new tests included.</w:t>
      </w:r>
    </w:p>
    <w:p>
      <w:pPr>
        <w:pStyle w:val="Heading2"/>
      </w:pPr>
      <w:r>
        <w:t>Finding 2: R2 stale — RESOLVED for equities; options pending Chris's v1 study</w:t>
      </w:r>
    </w:p>
    <w:p>
      <w:r>
        <w:rPr>
          <w:rFonts w:ascii="Arial" w:hAnsi="Arial"/>
          <w:b/>
          <w:i w:val="0"/>
          <w:sz w:val="22"/>
        </w:rPr>
        <w:t xml:space="preserve">Resolved 2026-05-11 (equities): </w:t>
      </w:r>
      <w:r>
        <w:rPr>
          <w:rFonts w:ascii="Arial" w:hAnsi="Arial"/>
          <w:b w:val="0"/>
          <w:i w:val="0"/>
          <w:sz w:val="22"/>
        </w:rPr>
        <w:t>R2 synced at git_sha 993527f. Equity content on the cloud dashboard is current. Options content still pending — there is no v1 study output to upload yet, so the options/ prefix in R2 remains empty until Chris launches the v1 production study.</w:t>
      </w:r>
    </w:p>
    <w:p>
      <w:r>
        <w:rPr>
          <w:rFonts w:ascii="Arial" w:hAnsi="Arial"/>
          <w:b w:val="0"/>
          <w:i w:val="0"/>
          <w:sz w:val="22"/>
        </w:rPr>
        <w:t>Historical context — original finding kept for the record:</w:t>
      </w:r>
    </w:p>
    <w:p>
      <w:r>
        <w:rPr>
          <w:rFonts w:ascii="Arial" w:hAnsi="Arial"/>
          <w:b w:val="0"/>
          <w:i w:val="0"/>
          <w:sz w:val="22"/>
        </w:rPr>
        <w:t>R2 bucket snapshot_manifest.json had been at git_sha=bfee6dc, generated_at=2026-05-09T17:20:38Z while main had advanced to f3c3800. Functionally, equity content was still correct because none of those 13 commits touched equity files — they were all options work. But options content had never been uploaded to R2 at all.</w:t>
      </w:r>
    </w:p>
    <w:p>
      <w:pPr>
        <w:pStyle w:val="Heading2"/>
      </w:pPr>
      <w:r>
        <w:t>Finding 3: Mike's venv missing truststore and pytest — RESOLVED</w:t>
      </w:r>
    </w:p>
    <w:p>
      <w:r>
        <w:rPr>
          <w:rFonts w:ascii="Arial" w:hAnsi="Arial"/>
          <w:b/>
          <w:i w:val="0"/>
          <w:sz w:val="22"/>
        </w:rPr>
        <w:t xml:space="preserve">Resolved 2026-05-11: </w:t>
      </w:r>
      <w:r>
        <w:rPr>
          <w:rFonts w:ascii="Arial" w:hAnsi="Arial"/>
          <w:b w:val="0"/>
          <w:i w:val="0"/>
          <w:sz w:val="22"/>
        </w:rPr>
        <w:t>Test collection bug fixed in commit c1346cd; venv dependencies installed via pip install -r requirements.txt. Full test suite now collects and runs.</w:t>
      </w:r>
    </w:p>
    <w:p>
      <w:r>
        <w:rPr>
          <w:rFonts w:ascii="Arial" w:hAnsi="Arial"/>
          <w:b w:val="0"/>
          <w:i w:val="0"/>
          <w:sz w:val="22"/>
        </w:rPr>
        <w:t>Historical context — original finding kept for the record:</w:t>
      </w:r>
    </w:p>
    <w:p>
      <w:r>
        <w:rPr>
          <w:rFonts w:ascii="Arial" w:hAnsi="Arial"/>
          <w:b w:val="0"/>
          <w:i w:val="0"/>
          <w:sz w:val="22"/>
        </w:rPr>
        <w:t>truststore==0.10.4 was in requirements.txt but not installed on Mike's machine. Two test failures, both same root cause:</w:t>
      </w:r>
    </w:p>
    <w:p>
      <w:pPr>
        <w:pStyle w:val="ListBullet"/>
      </w:pPr>
      <w:r>
        <w:rPr>
          <w:rFonts w:ascii="Arial" w:hAnsi="Arial"/>
          <w:sz w:val="22"/>
        </w:rPr>
        <w:t>test_ssl_setup.py: collection error (ModuleNotFoundError: No module named 'truststore')</w:t>
      </w:r>
    </w:p>
    <w:p>
      <w:pPr>
        <w:pStyle w:val="ListBullet"/>
      </w:pPr>
      <w:r>
        <w:rPr>
          <w:rFonts w:ascii="Arial" w:hAnsi="Arial"/>
          <w:sz w:val="22"/>
        </w:rPr>
        <w:t>test_optuna_runner.py::test_smoke_study_constants_match_locked_config: failed for the same reason transitively via src/options/_ssl.py</w:t>
      </w:r>
    </w:p>
    <w:p>
      <w:r>
        <w:rPr>
          <w:rFonts w:ascii="Arial" w:hAnsi="Arial"/>
          <w:b w:val="0"/>
          <w:i w:val="0"/>
          <w:sz w:val="22"/>
        </w:rPr>
        <w:t>After fixing: 374 tests pass, 1 skipped. Also flagged at the time: pytest itself wasn't in requirements.txt at all. Add it as a dev dep so future fresh venvs are self-bootstrapping.</w:t>
      </w:r>
    </w:p>
    <w:p>
      <w:pPr>
        <w:pStyle w:val="Heading2"/>
      </w:pPr>
      <w:r>
        <w:t>Finding 4: .env.example missing POLYGON_API_KEY — RESOLVED</w:t>
      </w:r>
    </w:p>
    <w:p>
      <w:r>
        <w:rPr>
          <w:rFonts w:ascii="Arial" w:hAnsi="Arial"/>
          <w:b/>
          <w:i w:val="0"/>
          <w:sz w:val="22"/>
        </w:rPr>
        <w:t xml:space="preserve">Resolved in this commit: </w:t>
      </w:r>
      <w:r>
        <w:rPr>
          <w:rFonts w:ascii="Arial" w:hAnsi="Arial"/>
          <w:b w:val="0"/>
          <w:i w:val="0"/>
          <w:sz w:val="22"/>
        </w:rPr>
        <w:t>.env.example now enumerates every environment variable the codebase reads at runtime (Tradier, Polygon, FRED, Finnhub, R2, and the optional PAPER_TRADER_* runtime knobs), grouped by purpose with signup links where relevant.</w:t>
      </w:r>
    </w:p>
    <w:p>
      <w:r>
        <w:rPr>
          <w:rFonts w:ascii="Arial" w:hAnsi="Arial"/>
          <w:b w:val="0"/>
          <w:i w:val="0"/>
          <w:sz w:val="22"/>
        </w:rPr>
        <w:t>Historical context — original finding kept for the record:</w:t>
      </w:r>
    </w:p>
    <w:p>
      <w:r>
        <w:rPr>
          <w:rFonts w:ascii="Arial" w:hAnsi="Arial"/>
          <w:b w:val="0"/>
          <w:i w:val="0"/>
          <w:sz w:val="22"/>
        </w:rPr>
        <w:t>src/options/polygon.py required POLYGON_API_KEY and even cited Massive.com as the signup destination. But .env.example only documented Tradier env vars. A new contributor (or Mike on a fresh checkout) would have hit a runtime error with no docs path forward.</w:t>
      </w:r>
    </w:p>
    <w:p>
      <w:pPr>
        <w:pStyle w:val="Heading2"/>
      </w:pPr>
      <w:r>
        <w:t>Finding 5: Repo hygiene cleanup completed (2026-05-11, commit 5c39cc5)</w:t>
      </w:r>
    </w:p>
    <w:p>
      <w:r>
        <w:rPr>
          <w:rFonts w:ascii="Arial" w:hAnsi="Arial"/>
          <w:b w:val="0"/>
          <w:i w:val="0"/>
          <w:sz w:val="22"/>
        </w:rPr>
        <w:t>This was the previous "phantom CODEOWNERS paths + 3 orphan snapshots + 27 scratch files" finding. Status as of cleanup commit 5c39cc5:</w:t>
      </w:r>
    </w:p>
    <w:p>
      <w:r>
        <w:rPr>
          <w:rFonts w:ascii="Arial" w:hAnsi="Arial"/>
          <w:b/>
          <w:i w:val="0"/>
          <w:sz w:val="22"/>
        </w:rPr>
        <w:t>Done:</w:t>
      </w:r>
    </w:p>
    <w:p>
      <w:pPr>
        <w:pStyle w:val="ListBullet"/>
      </w:pPr>
      <w:r>
        <w:rPr>
          <w:rFonts w:ascii="Arial" w:hAnsi="Arial"/>
          <w:sz w:val="22"/>
        </w:rPr>
        <w:t>35 ephemeral files deleted (27 debug scripts, 8 log files; all gitignored)</w:t>
      </w:r>
    </w:p>
    <w:p>
      <w:pPr>
        <w:pStyle w:val="ListBullet"/>
      </w:pPr>
      <w:r>
        <w:rPr>
          <w:rFonts w:ascii="Arial" w:hAnsi="Arial"/>
          <w:sz w:val="22"/>
        </w:rPr>
        <w:t>3 equity snapshots moved under models/snapshots/equities/ for consistency</w:t>
      </w:r>
    </w:p>
    <w:p>
      <w:pPr>
        <w:pStyle w:val="ListBullet"/>
      </w:pPr>
      <w:r>
        <w:rPr>
          <w:rFonts w:ascii="Arial" w:hAnsi="Arial"/>
          <w:sz w:val="22"/>
        </w:rPr>
        <w:t>3 tracked research scripts moved to scripts/research/</w:t>
      </w:r>
    </w:p>
    <w:p>
      <w:pPr>
        <w:pStyle w:val="ListBullet"/>
      </w:pPr>
      <w:r>
        <w:rPr>
          <w:rFonts w:ascii="Arial" w:hAnsi="Arial"/>
          <w:sz w:val="22"/>
        </w:rPr>
        <w:t>docs/sp1500_fetch_failures.txt → docs/diagnostics/</w:t>
      </w:r>
    </w:p>
    <w:p>
      <w:pPr>
        <w:pStyle w:val="ListBullet"/>
      </w:pPr>
      <w:r>
        <w:rPr>
          <w:rFonts w:ascii="Arial" w:hAnsi="Arial"/>
          <w:sz w:val="22"/>
        </w:rPr>
        <w:t>Dashboard_Viz_Implementation_Spec.docx → docs/specs/</w:t>
      </w:r>
    </w:p>
    <w:p>
      <w:pPr>
        <w:pStyle w:val="ListBullet"/>
      </w:pPr>
      <w:r>
        <w:rPr>
          <w:rFonts w:ascii="Arial" w:hAnsi="Arial"/>
          <w:sz w:val="22"/>
        </w:rPr>
        <w:t>Phantom /src/equities/ rule removed from CODEOWNERS</w:t>
      </w:r>
    </w:p>
    <w:p>
      <w:pPr>
        <w:pStyle w:val="ListBullet"/>
      </w:pPr>
      <w:r>
        <w:rPr>
          <w:rFonts w:ascii="Arial" w:hAnsi="Arial"/>
          <w:sz w:val="22"/>
        </w:rPr>
        <w:t>Stale remote branch origin/chris/options-phase-1-shared-edge deleted</w:t>
      </w:r>
    </w:p>
    <w:p>
      <w:pPr>
        <w:pStyle w:val="ListBullet"/>
      </w:pPr>
      <w:r>
        <w:rPr>
          <w:rFonts w:ascii="Arial" w:hAnsi="Arial"/>
          <w:sz w:val="22"/>
        </w:rPr>
        <w:t>Pre-existing gitignore bug fixed: !docs/*.docx was only 1-depth; now !docs/**/*.docx covers all depths. This also auto-tracked docs/specs/Dashboard_Rebuild_Spec.docx which had been silently ignored for weeks.</w:t>
      </w:r>
    </w:p>
    <w:p>
      <w:r>
        <w:rPr>
          <w:rFonts w:ascii="Arial" w:hAnsi="Arial"/>
          <w:b/>
          <w:i w:val="0"/>
          <w:sz w:val="22"/>
        </w:rPr>
        <w:t xml:space="preserve">Net result: </w:t>
      </w:r>
      <w:r>
        <w:rPr>
          <w:rFonts w:ascii="Arial" w:hAnsi="Arial"/>
          <w:b w:val="0"/>
          <w:i w:val="0"/>
          <w:sz w:val="22"/>
        </w:rPr>
        <w:t>Repo root now has 5 files (requirements.txt, 3 SP1500 paused-state logs kept intentionally, v3_track2_runner.py which is referenced by dashboard). Clean state.</w:t>
      </w:r>
    </w:p>
    <w:p>
      <w:pPr>
        <w:pStyle w:val="Heading1"/>
      </w:pPr>
      <w:r>
        <w:t>2. Recommended Action Sequence</w:t>
      </w:r>
    </w:p>
    <w:p>
      <w:r>
        <w:rPr>
          <w:rFonts w:ascii="Arial" w:hAnsi="Arial"/>
          <w:b w:val="0"/>
          <w:i w:val="0"/>
          <w:sz w:val="22"/>
        </w:rPr>
        <w:t>Numbered in execution order. Items below are prioritized by what they unblock or risk if deferred.</w:t>
      </w:r>
    </w:p>
    <w:p>
      <w:pPr>
        <w:pStyle w:val="Heading2"/>
      </w:pPr>
      <w:r>
        <w:t>URGENT (do today)</w:t>
      </w:r>
    </w:p>
    <w:p>
      <w:r>
        <w:rPr>
          <w:rFonts w:ascii="Arial" w:hAnsi="Arial"/>
          <w:b w:val="0"/>
          <w:i w:val="0"/>
          <w:sz w:val="22"/>
        </w:rPr>
        <w:t>URGENT items resolved 2026-05-11. Next URGENT item will surface when Chris runs the v1 study and we need to verify the options dashboard renders correctly.</w:t>
      </w:r>
    </w:p>
    <w:p>
      <w:pPr>
        <w:pStyle w:val="Heading2"/>
      </w:pPr>
      <w:r>
        <w:t>HIGH (this week)</w:t>
      </w:r>
    </w:p>
    <w:p>
      <w:pPr>
        <w:pStyle w:val="ListBullet"/>
      </w:pPr>
      <w:r>
        <w:rPr>
          <w:rFonts w:ascii="Arial" w:hAnsi="Arial"/>
          <w:b/>
          <w:i w:val="0"/>
          <w:sz w:val="22"/>
        </w:rPr>
        <w:t>Sync .env between Mike and Chris's machines (one-time).</w:t>
      </w:r>
      <w:r>
        <w:rPr>
          <w:rFonts w:ascii="Arial" w:hAnsi="Arial"/>
          <w:b w:val="0"/>
          <w:i w:val="0"/>
          <w:sz w:val="22"/>
        </w:rPr>
        <w:t xml:space="preserve"> Out-of-band task. Both contributors need identical .env content so either workstation can run any task. .env.example in this commit enumerates the full key set — each contributor fills in their copy and shares it with the other via a secure channel.</w:t>
      </w:r>
    </w:p>
    <w:p>
      <w:pPr>
        <w:pStyle w:val="ListBullet"/>
      </w:pPr>
      <w:r>
        <w:rPr>
          <w:rFonts w:ascii="Arial" w:hAnsi="Arial"/>
          <w:b/>
          <w:i w:val="0"/>
          <w:sz w:val="22"/>
        </w:rPr>
        <w:t>Wait for Chris to run v1 study; then sync options R2.</w:t>
      </w:r>
      <w:r>
        <w:rPr>
          <w:rFonts w:ascii="Arial" w:hAnsi="Arial"/>
          <w:b w:val="0"/>
          <w:i w:val="0"/>
          <w:sz w:val="22"/>
        </w:rPr>
        <w:t xml:space="preserve"> Once Chris launches and the v1 study produces models/cache/options/ artifacts, run snapshot_for_cloud.py --asset-class options to push them to R2.</w:t>
      </w:r>
    </w:p>
    <w:p>
      <w:pPr>
        <w:pStyle w:val="ListBullet"/>
      </w:pPr>
      <w:r>
        <w:rPr>
          <w:rFonts w:ascii="Arial" w:hAnsi="Arial"/>
          <w:b/>
          <w:i w:val="0"/>
          <w:sz w:val="22"/>
        </w:rPr>
        <w:t>Verify options dashboard end-to-end after R2 sync.</w:t>
      </w:r>
      <w:r>
        <w:rPr>
          <w:rFonts w:ascii="Arial" w:hAnsi="Arial"/>
          <w:b w:val="0"/>
          <w:i w:val="0"/>
          <w:sz w:val="22"/>
        </w:rPr>
        <w:t xml:space="preserve"> Equity tabs already verified at git_sha 993527f. Options verification is pending Chris's v1 study + the subsequent options R2 sync.</w:t>
      </w:r>
    </w:p>
    <w:p>
      <w:pPr>
        <w:pStyle w:val="ListBullet"/>
      </w:pPr>
      <w:r>
        <w:rPr>
          <w:rFonts w:ascii="Arial" w:hAnsi="Arial"/>
          <w:b/>
          <w:i w:val="0"/>
          <w:sz w:val="22"/>
        </w:rPr>
        <w:t>Update Options_Extension_Decisions.md Status row.</w:t>
      </w:r>
      <w:r>
        <w:rPr>
          <w:rFonts w:ascii="Arial" w:hAnsi="Arial"/>
          <w:b w:val="0"/>
          <w:i w:val="0"/>
          <w:sz w:val="22"/>
        </w:rPr>
        <w:t xml:space="preserve"> Currently says "Sections 1, 2, 3 merged"; reality is 1-8 + 2.5. Stale memos get ignored.</w:t>
      </w:r>
    </w:p>
    <w:p>
      <w:pPr>
        <w:pStyle w:val="ListBullet"/>
      </w:pPr>
      <w:r>
        <w:rPr>
          <w:rFonts w:ascii="Arial" w:hAnsi="Arial"/>
          <w:b/>
          <w:i w:val="0"/>
          <w:sz w:val="22"/>
        </w:rPr>
        <w:t>Surface NVDA/META finding in dashboard exec summaries.</w:t>
      </w:r>
      <w:r>
        <w:rPr>
          <w:rFonts w:ascii="Arial" w:hAnsi="Arial"/>
          <w:b w:val="0"/>
          <w:i w:val="0"/>
          <w:sz w:val="22"/>
        </w:rPr>
        <w:t xml:space="preserve"> Commit f46bd05 already exists locally with the research artifacts. Performance tab exec summary should say: </w:t>
      </w:r>
      <w:r>
        <w:rPr>
          <w:rFonts w:ascii="Arial" w:hAnsi="Arial"/>
          <w:b w:val="0"/>
          <w:i/>
          <w:sz w:val="22"/>
        </w:rPr>
        <w:t>"Approximately 62% of this strategy's risk-adjusted edge comes from holdings in NVDA and META during the AI rally."</w:t>
      </w:r>
      <w:r>
        <w:rPr>
          <w:rFonts w:ascii="Arial" w:hAnsi="Arial"/>
          <w:b w:val="0"/>
          <w:i w:val="0"/>
          <w:sz w:val="22"/>
        </w:rPr>
        <w:t xml:space="preserve"> Switch headline alpha from arithmetic (+63.7pp/yr) to CAPM (+39.3pp/yr).</w:t>
      </w:r>
    </w:p>
    <w:p>
      <w:pPr>
        <w:pStyle w:val="ListBullet"/>
      </w:pPr>
      <w:r>
        <w:rPr>
          <w:rFonts w:ascii="Arial" w:hAnsi="Arial"/>
          <w:b/>
          <w:i w:val="0"/>
          <w:sz w:val="22"/>
        </w:rPr>
        <w:t>Decide on Polygon/Massive piggyback for stocks side.</w:t>
      </w:r>
      <w:r>
        <w:rPr>
          <w:rFonts w:ascii="Arial" w:hAnsi="Arial"/>
          <w:b w:val="0"/>
          <w:i w:val="0"/>
          <w:sz w:val="22"/>
        </w:rPr>
        <w:t xml:space="preserve"> See Section 3 for the analysis. This decision unblocks SP1500 and provides a long-term solution to yfinance unreliability.</w:t>
      </w:r>
    </w:p>
    <w:p>
      <w:pPr>
        <w:pStyle w:val="Heading2"/>
      </w:pPr>
      <w:r>
        <w:t>MEDIUM (when convenient)</w:t>
      </w:r>
    </w:p>
    <w:p>
      <w:pPr>
        <w:pStyle w:val="ListBullet"/>
      </w:pPr>
      <w:r>
        <w:rPr>
          <w:rFonts w:ascii="Arial" w:hAnsi="Arial"/>
          <w:b/>
          <w:i w:val="0"/>
          <w:sz w:val="22"/>
        </w:rPr>
        <w:t>Add a CI workflow (.github/workflows/test.yml).</w:t>
      </w:r>
      <w:r>
        <w:rPr>
          <w:rFonts w:ascii="Arial" w:hAnsi="Arial"/>
          <w:b w:val="0"/>
          <w:i w:val="0"/>
          <w:sz w:val="22"/>
        </w:rPr>
        <w:t xml:space="preserve"> Free with GitHub Actions; would have caught the truststore-vs-venv drift before it became a noticed bug.</w:t>
      </w:r>
    </w:p>
    <w:p>
      <w:pPr>
        <w:pStyle w:val="ListBullet"/>
      </w:pPr>
      <w:r>
        <w:rPr>
          <w:rFonts w:ascii="Arial" w:hAnsi="Arial"/>
          <w:b/>
          <w:i w:val="0"/>
          <w:sz w:val="22"/>
        </w:rPr>
        <w:t>Add pytest to requirements.txt</w:t>
      </w:r>
      <w:r>
        <w:rPr>
          <w:rFonts w:ascii="Arial" w:hAnsi="Arial"/>
          <w:b w:val="0"/>
          <w:i w:val="0"/>
          <w:sz w:val="22"/>
        </w:rPr>
        <w:t xml:space="preserve"> with a dev-only comment.</w:t>
      </w:r>
    </w:p>
    <w:p>
      <w:pPr>
        <w:pStyle w:val="Heading2"/>
      </w:pPr>
      <w:r>
        <w:t>LOW (eventually)</w:t>
      </w:r>
    </w:p>
    <w:p>
      <w:pPr>
        <w:pStyle w:val="ListBullet"/>
      </w:pPr>
      <w:r>
        <w:rPr>
          <w:rFonts w:ascii="Arial" w:hAnsi="Arial"/>
          <w:b/>
          <w:i w:val="0"/>
          <w:sz w:val="22"/>
        </w:rPr>
        <w:t>Resolve SP1500 stash@{0}.</w:t>
      </w:r>
      <w:r>
        <w:rPr>
          <w:rFonts w:ascii="Arial" w:hAnsi="Arial"/>
          <w:b w:val="0"/>
          <w:i w:val="0"/>
          <w:sz w:val="22"/>
        </w:rPr>
        <w:t xml:space="preserve"> Either pop and commit (if Finnhub clarity has arrived or you pivot to Polygon) or convert to a named branch.</w:t>
      </w:r>
    </w:p>
    <w:p>
      <w:pPr>
        <w:pStyle w:val="ListBullet"/>
      </w:pPr>
      <w:r>
        <w:rPr>
          <w:rFonts w:ascii="Arial" w:hAnsi="Arial"/>
          <w:b/>
          <w:i w:val="0"/>
          <w:sz w:val="22"/>
        </w:rPr>
        <w:t>Address optuna_runner.py:275 thread-safety race TODO.</w:t>
      </w:r>
      <w:r>
        <w:rPr>
          <w:rFonts w:ascii="Arial" w:hAnsi="Arial"/>
          <w:b w:val="0"/>
          <w:i w:val="0"/>
          <w:sz w:val="22"/>
        </w:rPr>
        <w:t xml:space="preserve"> Race is masked by workload heterogeneity but real.</w:t>
      </w:r>
    </w:p>
    <w:p>
      <w:pPr>
        <w:pStyle w:val="Heading1"/>
      </w:pPr>
      <w:r>
        <w:t>3. Massive (Polygon) Piggyback Analysis</w:t>
      </w:r>
    </w:p>
    <w:p>
      <w:r>
        <w:rPr>
          <w:rFonts w:ascii="Arial" w:hAnsi="Arial"/>
          <w:b w:val="0"/>
          <w:i w:val="0"/>
          <w:sz w:val="22"/>
        </w:rPr>
        <w:t>This is the strategic question worth thinking about — whether to piggyback on Chris's Polygon subscription (rebranded as Massive since November 2025) for stocks-side data. The audit confirms Chris is already integrated with Polygon for the options work.</w:t>
      </w:r>
    </w:p>
    <w:p>
      <w:pPr>
        <w:pStyle w:val="Heading2"/>
      </w:pPr>
      <w:r>
        <w:t>What Chris's setup already does</w:t>
      </w:r>
    </w:p>
    <w:p>
      <w:pPr>
        <w:pStyle w:val="ListBullet"/>
      </w:pPr>
      <w:r>
        <w:rPr>
          <w:rFonts w:ascii="Arial" w:hAnsi="Arial"/>
          <w:b/>
          <w:i w:val="0"/>
          <w:sz w:val="22"/>
        </w:rPr>
        <w:t>Authenticated client.</w:t>
      </w:r>
      <w:r>
        <w:rPr>
          <w:rFonts w:ascii="Arial" w:hAnsi="Arial"/>
          <w:b w:val="0"/>
          <w:i w:val="0"/>
          <w:sz w:val="22"/>
        </w:rPr>
        <w:t xml:space="preserve"> src/options/polygon.py is wrapped with proper rate limiting, retry-after handling, atomic cache writes.</w:t>
      </w:r>
    </w:p>
    <w:p>
      <w:pPr>
        <w:pStyle w:val="ListBullet"/>
      </w:pPr>
      <w:r>
        <w:rPr>
          <w:rFonts w:ascii="Arial" w:hAnsi="Arial"/>
          <w:b/>
          <w:i w:val="0"/>
          <w:sz w:val="22"/>
        </w:rPr>
        <w:t>Rate limiter pattern.</w:t>
      </w:r>
      <w:r>
        <w:rPr>
          <w:rFonts w:ascii="Arial" w:hAnsi="Arial"/>
          <w:b w:val="0"/>
          <w:i w:val="0"/>
          <w:sz w:val="22"/>
        </w:rPr>
        <w:t xml:space="preserve"> Separate RateLimiter instance per data source. The PR #15 refactor makes 16-thread concurrency safe. You could lift this pattern verbatim for equity work.</w:t>
      </w:r>
    </w:p>
    <w:p>
      <w:pPr>
        <w:pStyle w:val="ListBullet"/>
      </w:pPr>
      <w:r>
        <w:rPr>
          <w:rFonts w:ascii="Arial" w:hAnsi="Arial"/>
          <w:b/>
          <w:i w:val="0"/>
          <w:sz w:val="22"/>
        </w:rPr>
        <w:t>Cache layer.</w:t>
      </w:r>
      <w:r>
        <w:rPr>
          <w:rFonts w:ascii="Arial" w:hAnsi="Arial"/>
          <w:b w:val="0"/>
          <w:i w:val="0"/>
          <w:sz w:val="22"/>
        </w:rPr>
        <w:t xml:space="preserve"> Polygon responses cache to models/cache/options/polygon_cache/. Same pattern would apply to equity prices.</w:t>
      </w:r>
    </w:p>
    <w:p>
      <w:pPr>
        <w:pStyle w:val="Heading2"/>
      </w:pPr>
      <w:r>
        <w:t>What Polygon offers for stocks (approximate, may have changed post-rebrand)</w:t>
      </w:r>
    </w:p>
    <w:tbl>
      <w:tblPr>
        <w:tblW w:type="auto" w:w="0"/>
        <w:tblLayout w:type="fixed"/>
        <w:tblLook w:firstColumn="1" w:firstRow="1" w:lastColumn="0" w:lastRow="0" w:noHBand="0" w:noVBand="1" w:val="04A0"/>
      </w:tblPr>
      <w:tblGrid>
        <w:gridCol w:w="1584"/>
        <w:gridCol w:w="1152"/>
        <w:gridCol w:w="2592"/>
        <w:gridCol w:w="1584"/>
        <w:gridCol w:w="2448"/>
      </w:tblGrid>
      <w:tr>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Tier</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Price/mo</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Historical depth</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Rate limit</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Real-time?</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Free (Basic)</w:t>
            </w:r>
          </w:p>
        </w:tc>
        <w:tc>
          <w:tcPr>
            <w:tcW w:type="dxa" w:w="1872"/>
            <w:tcBorders>
              <w:top w:val="single" w:sz="4" w:color="808080"/>
              <w:left w:val="single" w:sz="4" w:color="808080"/>
              <w:bottom w:val="single" w:sz="4" w:color="808080"/>
              <w:right w:val="single" w:sz="4" w:color="808080"/>
            </w:tcBorders>
          </w:tcPr>
          <w:p>
            <w:r/>
            <w:r>
              <w:rPr>
                <w:rFonts w:ascii="Arial" w:hAnsi="Arial"/>
                <w:sz w:val="18"/>
              </w:rPr>
              <w:t>$0</w:t>
            </w:r>
          </w:p>
        </w:tc>
        <w:tc>
          <w:tcPr>
            <w:tcW w:type="dxa" w:w="1872"/>
            <w:tcBorders>
              <w:top w:val="single" w:sz="4" w:color="808080"/>
              <w:left w:val="single" w:sz="4" w:color="808080"/>
              <w:bottom w:val="single" w:sz="4" w:color="808080"/>
              <w:right w:val="single" w:sz="4" w:color="808080"/>
            </w:tcBorders>
          </w:tcPr>
          <w:p>
            <w:r/>
            <w:r>
              <w:rPr>
                <w:rFonts w:ascii="Arial" w:hAnsi="Arial"/>
                <w:sz w:val="18"/>
              </w:rPr>
              <w:t>2 years EOD</w:t>
            </w:r>
          </w:p>
        </w:tc>
        <w:tc>
          <w:tcPr>
            <w:tcW w:type="dxa" w:w="1872"/>
            <w:tcBorders>
              <w:top w:val="single" w:sz="4" w:color="808080"/>
              <w:left w:val="single" w:sz="4" w:color="808080"/>
              <w:bottom w:val="single" w:sz="4" w:color="808080"/>
              <w:right w:val="single" w:sz="4" w:color="808080"/>
            </w:tcBorders>
          </w:tcPr>
          <w:p>
            <w:r/>
            <w:r>
              <w:rPr>
                <w:rFonts w:ascii="Arial" w:hAnsi="Arial"/>
                <w:sz w:val="18"/>
              </w:rPr>
              <w:t>5 calls/min</w:t>
            </w:r>
          </w:p>
        </w:tc>
        <w:tc>
          <w:tcPr>
            <w:tcW w:type="dxa" w:w="1872"/>
            <w:tcBorders>
              <w:top w:val="single" w:sz="4" w:color="808080"/>
              <w:left w:val="single" w:sz="4" w:color="808080"/>
              <w:bottom w:val="single" w:sz="4" w:color="808080"/>
              <w:right w:val="single" w:sz="4" w:color="808080"/>
            </w:tcBorders>
          </w:tcPr>
          <w:p>
            <w:r/>
            <w:r>
              <w:rPr>
                <w:rFonts w:ascii="Arial" w:hAnsi="Arial"/>
                <w:sz w:val="18"/>
              </w:rPr>
              <w:t>No (15-min delayed)</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Starter</w:t>
            </w:r>
          </w:p>
        </w:tc>
        <w:tc>
          <w:tcPr>
            <w:tcW w:type="dxa" w:w="1872"/>
            <w:tcBorders>
              <w:top w:val="single" w:sz="4" w:color="808080"/>
              <w:left w:val="single" w:sz="4" w:color="808080"/>
              <w:bottom w:val="single" w:sz="4" w:color="808080"/>
              <w:right w:val="single" w:sz="4" w:color="808080"/>
            </w:tcBorders>
          </w:tcPr>
          <w:p>
            <w:r/>
            <w:r>
              <w:rPr>
                <w:rFonts w:ascii="Arial" w:hAnsi="Arial"/>
                <w:sz w:val="18"/>
              </w:rPr>
              <w:t>~$29</w:t>
            </w:r>
          </w:p>
        </w:tc>
        <w:tc>
          <w:tcPr>
            <w:tcW w:type="dxa" w:w="1872"/>
            <w:tcBorders>
              <w:top w:val="single" w:sz="4" w:color="808080"/>
              <w:left w:val="single" w:sz="4" w:color="808080"/>
              <w:bottom w:val="single" w:sz="4" w:color="808080"/>
              <w:right w:val="single" w:sz="4" w:color="808080"/>
            </w:tcBorders>
          </w:tcPr>
          <w:p>
            <w:r/>
            <w:r>
              <w:rPr>
                <w:rFonts w:ascii="Arial" w:hAnsi="Arial"/>
                <w:sz w:val="18"/>
              </w:rPr>
              <w:t>5 years EOD</w:t>
            </w:r>
          </w:p>
        </w:tc>
        <w:tc>
          <w:tcPr>
            <w:tcW w:type="dxa" w:w="1872"/>
            <w:tcBorders>
              <w:top w:val="single" w:sz="4" w:color="808080"/>
              <w:left w:val="single" w:sz="4" w:color="808080"/>
              <w:bottom w:val="single" w:sz="4" w:color="808080"/>
              <w:right w:val="single" w:sz="4" w:color="808080"/>
            </w:tcBorders>
          </w:tcPr>
          <w:p>
            <w:r/>
            <w:r>
              <w:rPr>
                <w:rFonts w:ascii="Arial" w:hAnsi="Arial"/>
                <w:sz w:val="18"/>
              </w:rPr>
              <w:t>Unlimited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No (15-min delayed)</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Developer</w:t>
            </w:r>
          </w:p>
        </w:tc>
        <w:tc>
          <w:tcPr>
            <w:tcW w:type="dxa" w:w="1872"/>
            <w:tcBorders>
              <w:top w:val="single" w:sz="4" w:color="808080"/>
              <w:left w:val="single" w:sz="4" w:color="808080"/>
              <w:bottom w:val="single" w:sz="4" w:color="808080"/>
              <w:right w:val="single" w:sz="4" w:color="808080"/>
            </w:tcBorders>
          </w:tcPr>
          <w:p>
            <w:r/>
            <w:r>
              <w:rPr>
                <w:rFonts w:ascii="Arial" w:hAnsi="Arial"/>
                <w:sz w:val="18"/>
              </w:rPr>
              <w:t>~$79</w:t>
            </w:r>
          </w:p>
        </w:tc>
        <w:tc>
          <w:tcPr>
            <w:tcW w:type="dxa" w:w="1872"/>
            <w:tcBorders>
              <w:top w:val="single" w:sz="4" w:color="808080"/>
              <w:left w:val="single" w:sz="4" w:color="808080"/>
              <w:bottom w:val="single" w:sz="4" w:color="808080"/>
              <w:right w:val="single" w:sz="4" w:color="808080"/>
            </w:tcBorders>
          </w:tcPr>
          <w:p>
            <w:r/>
            <w:r>
              <w:rPr>
                <w:rFonts w:ascii="Arial" w:hAnsi="Arial"/>
                <w:sz w:val="18"/>
              </w:rPr>
              <w:t>10+ years EOD + intraday</w:t>
            </w:r>
          </w:p>
        </w:tc>
        <w:tc>
          <w:tcPr>
            <w:tcW w:type="dxa" w:w="1872"/>
            <w:tcBorders>
              <w:top w:val="single" w:sz="4" w:color="808080"/>
              <w:left w:val="single" w:sz="4" w:color="808080"/>
              <w:bottom w:val="single" w:sz="4" w:color="808080"/>
              <w:right w:val="single" w:sz="4" w:color="808080"/>
            </w:tcBorders>
          </w:tcPr>
          <w:p>
            <w:r/>
            <w:r>
              <w:rPr>
                <w:rFonts w:ascii="Arial" w:hAnsi="Arial"/>
                <w:sz w:val="18"/>
              </w:rPr>
              <w:t>Unlimited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Real-time included</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Advanced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~$199</w:t>
            </w:r>
          </w:p>
        </w:tc>
        <w:tc>
          <w:tcPr>
            <w:tcW w:type="dxa" w:w="1872"/>
            <w:tcBorders>
              <w:top w:val="single" w:sz="4" w:color="808080"/>
              <w:left w:val="single" w:sz="4" w:color="808080"/>
              <w:bottom w:val="single" w:sz="4" w:color="808080"/>
              <w:right w:val="single" w:sz="4" w:color="808080"/>
            </w:tcBorders>
          </w:tcPr>
          <w:p>
            <w:r/>
            <w:r>
              <w:rPr>
                <w:rFonts w:ascii="Arial" w:hAnsi="Arial"/>
                <w:sz w:val="18"/>
              </w:rPr>
              <w:t>20+ years + tick data</w:t>
            </w:r>
          </w:p>
        </w:tc>
        <w:tc>
          <w:tcPr>
            <w:tcW w:type="dxa" w:w="1872"/>
            <w:tcBorders>
              <w:top w:val="single" w:sz="4" w:color="808080"/>
              <w:left w:val="single" w:sz="4" w:color="808080"/>
              <w:bottom w:val="single" w:sz="4" w:color="808080"/>
              <w:right w:val="single" w:sz="4" w:color="808080"/>
            </w:tcBorders>
          </w:tcPr>
          <w:p>
            <w:r/>
            <w:r>
              <w:rPr>
                <w:rFonts w:ascii="Arial" w:hAnsi="Arial"/>
                <w:sz w:val="18"/>
              </w:rPr>
              <w:t>Unlimited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Real-time + WebSocket</w:t>
            </w:r>
          </w:p>
        </w:tc>
      </w:tr>
    </w:tbl>
    <w:p>
      <w:r>
        <w:rPr>
          <w:rFonts w:ascii="Arial" w:hAnsi="Arial"/>
          <w:b/>
          <w:i w:val="0"/>
          <w:sz w:val="22"/>
        </w:rPr>
        <w:t xml:space="preserve">Caveat: </w:t>
      </w:r>
      <w:r>
        <w:rPr>
          <w:rFonts w:ascii="Arial" w:hAnsi="Arial"/>
          <w:b w:val="0"/>
          <w:i/>
          <w:sz w:val="22"/>
        </w:rPr>
        <w:t>Pricing above is from public sources and may have changed since the Massive rebrand. Chris should confirm what tier he's actually on before any piggyback decision.</w:t>
      </w:r>
    </w:p>
    <w:p>
      <w:pPr>
        <w:pStyle w:val="Heading2"/>
      </w:pPr>
      <w:r>
        <w:t>What Polygon would solve</w:t>
      </w:r>
    </w:p>
    <w:p>
      <w:pPr>
        <w:pStyle w:val="ListBullet"/>
      </w:pPr>
      <w:r>
        <w:rPr>
          <w:rFonts w:ascii="Arial" w:hAnsi="Arial"/>
          <w:b/>
          <w:i w:val="0"/>
          <w:sz w:val="22"/>
        </w:rPr>
        <w:t>yfinance silent-empty problem.</w:t>
      </w:r>
      <w:r>
        <w:rPr>
          <w:rFonts w:ascii="Arial" w:hAnsi="Arial"/>
          <w:b w:val="0"/>
          <w:i w:val="0"/>
          <w:sz w:val="22"/>
        </w:rPr>
        <w:t xml:space="preserve"> yfinance returns empty lists when throttled; Polygon returns proper errors with retry-after headers. The retry/sanity-gate code currently stashed for SP1500 becomes unnecessary because the failure mode it protects against doesn't exist on Polygon.</w:t>
      </w:r>
    </w:p>
    <w:p>
      <w:pPr>
        <w:pStyle w:val="ListBullet"/>
      </w:pPr>
      <w:r>
        <w:rPr>
          <w:rFonts w:ascii="Arial" w:hAnsi="Arial"/>
          <w:b/>
          <w:i w:val="0"/>
          <w:sz w:val="22"/>
        </w:rPr>
        <w:t>SP1500 universe expansion.</w:t>
      </w:r>
      <w:r>
        <w:rPr>
          <w:rFonts w:ascii="Arial" w:hAnsi="Arial"/>
          <w:b w:val="0"/>
          <w:i w:val="0"/>
          <w:sz w:val="22"/>
        </w:rPr>
        <w:t xml:space="preserve"> The pause reason was yfinance earnings dates returning 16% non-empty. Polygon's stocks plans include earnings dates as part of the API, not gated behind a separate product like Finnhub.</w:t>
      </w:r>
    </w:p>
    <w:p>
      <w:pPr>
        <w:pStyle w:val="ListBullet"/>
      </w:pPr>
      <w:r>
        <w:rPr>
          <w:rFonts w:ascii="Arial" w:hAnsi="Arial"/>
          <w:b/>
          <w:i w:val="0"/>
          <w:sz w:val="22"/>
        </w:rPr>
        <w:t>Historical data depth.</w:t>
      </w:r>
      <w:r>
        <w:rPr>
          <w:rFonts w:ascii="Arial" w:hAnsi="Arial"/>
          <w:b w:val="0"/>
          <w:i w:val="0"/>
          <w:sz w:val="22"/>
        </w:rPr>
        <w:t xml:space="preserve"> yfinance has 20+ years but data quality degrades for older periods, restated tickers get re-mapped silently, splits/dividends sometimes wrong. Polygon's historical data is exchange-sourced and stable.</w:t>
      </w:r>
    </w:p>
    <w:p>
      <w:pPr>
        <w:pStyle w:val="ListBullet"/>
      </w:pPr>
      <w:r>
        <w:rPr>
          <w:rFonts w:ascii="Arial" w:hAnsi="Arial"/>
          <w:b/>
          <w:i w:val="0"/>
          <w:sz w:val="22"/>
        </w:rPr>
        <w:t>Bulk download for cold-start runs.</w:t>
      </w:r>
      <w:r>
        <w:rPr>
          <w:rFonts w:ascii="Arial" w:hAnsi="Arial"/>
          <w:b w:val="0"/>
          <w:i w:val="0"/>
          <w:sz w:val="22"/>
        </w:rPr>
        <w:t xml:space="preserve"> Polygon offers daily flat-file S3 dumps. For a full-universe historical fetch, this is dramatically faster than per-ticker API calls.</w:t>
      </w:r>
    </w:p>
    <w:p>
      <w:pPr>
        <w:pStyle w:val="Heading2"/>
      </w:pPr>
      <w:r>
        <w:t>Three piggyback paths, ranked</w:t>
      </w:r>
    </w:p>
    <w:p>
      <w:r>
        <w:rPr>
          <w:rFonts w:ascii="Arial" w:hAnsi="Arial"/>
          <w:b/>
          <w:i w:val="0"/>
          <w:sz w:val="22"/>
        </w:rPr>
        <w:t xml:space="preserve">Option A: </w:t>
      </w:r>
      <w:r>
        <w:rPr>
          <w:rFonts w:ascii="Arial" w:hAnsi="Arial"/>
          <w:b/>
          <w:i w:val="0"/>
          <w:sz w:val="22"/>
        </w:rPr>
        <w:t>Use Chris's existing key (single subscription, shared).</w:t>
      </w:r>
      <w:r>
        <w:rPr>
          <w:rFonts w:ascii="Arial" w:hAnsi="Arial"/>
          <w:b w:val="0"/>
          <w:i w:val="0"/>
          <w:sz w:val="22"/>
        </w:rPr>
        <w:t xml:space="preserve"> Mike uses Chris's POLYGON_API_KEY in Mike's .env. Both contributors hit the same Polygon account.</w:t>
      </w:r>
    </w:p>
    <w:p>
      <w:pPr>
        <w:pStyle w:val="ListBullet"/>
      </w:pPr>
      <w:r>
        <w:rPr>
          <w:rFonts w:ascii="Arial" w:hAnsi="Arial"/>
          <w:sz w:val="22"/>
        </w:rPr>
        <w:t>Pros: No additional cost. Same data layer for both asset classes.</w:t>
      </w:r>
    </w:p>
    <w:p>
      <w:pPr>
        <w:pStyle w:val="ListBullet"/>
      </w:pPr>
      <w:r>
        <w:rPr>
          <w:rFonts w:ascii="Arial" w:hAnsi="Arial"/>
          <w:sz w:val="22"/>
        </w:rPr>
        <w:t>Cons: Mike's heavy stock fetches eat into Chris's options rate budget. If Mike runs an SP1500 fetch while Chris is running an options study, they throttle each other.</w:t>
      </w:r>
    </w:p>
    <w:p>
      <w:pPr>
        <w:pStyle w:val="ListBullet"/>
      </w:pPr>
      <w:r>
        <w:rPr>
          <w:rFonts w:ascii="Arial" w:hAnsi="Arial"/>
          <w:sz w:val="22"/>
        </w:rPr>
        <w:t>When this works: if Mike's equity work is mostly background research with predictable, slow-paced fetches.</w:t>
      </w:r>
    </w:p>
    <w:p>
      <w:r>
        <w:rPr>
          <w:rFonts w:ascii="Arial" w:hAnsi="Arial"/>
          <w:b/>
          <w:i w:val="0"/>
          <w:sz w:val="22"/>
        </w:rPr>
        <w:t xml:space="preserve">Option B: </w:t>
      </w:r>
      <w:r>
        <w:rPr>
          <w:rFonts w:ascii="Arial" w:hAnsi="Arial"/>
          <w:b/>
          <w:i w:val="0"/>
          <w:sz w:val="22"/>
        </w:rPr>
        <w:t>Mike subscribes to his own Polygon tier.</w:t>
      </w:r>
      <w:r>
        <w:rPr>
          <w:rFonts w:ascii="Arial" w:hAnsi="Arial"/>
          <w:b w:val="0"/>
          <w:i w:val="0"/>
          <w:sz w:val="22"/>
        </w:rPr>
        <w:t xml:space="preserve"> Two separate accounts. Each contributor pays their own subscription.</w:t>
      </w:r>
    </w:p>
    <w:p>
      <w:pPr>
        <w:pStyle w:val="ListBullet"/>
      </w:pPr>
      <w:r>
        <w:rPr>
          <w:rFonts w:ascii="Arial" w:hAnsi="Arial"/>
          <w:sz w:val="22"/>
        </w:rPr>
        <w:t>Pros: Cleanest isolation. Predictable performance for both.</w:t>
      </w:r>
    </w:p>
    <w:p>
      <w:pPr>
        <w:pStyle w:val="ListBullet"/>
      </w:pPr>
      <w:r>
        <w:rPr>
          <w:rFonts w:ascii="Arial" w:hAnsi="Arial"/>
          <w:sz w:val="22"/>
        </w:rPr>
        <w:t>Cons: ~$29-79/mo for Mike's equity work depending on tier. Doubles the project's data costs.</w:t>
      </w:r>
    </w:p>
    <w:p>
      <w:pPr>
        <w:pStyle w:val="ListBullet"/>
      </w:pPr>
      <w:r>
        <w:rPr>
          <w:rFonts w:ascii="Arial" w:hAnsi="Arial"/>
          <w:sz w:val="22"/>
        </w:rPr>
        <w:t>When this works: if equity work is going to become serious / persistent.</w:t>
      </w:r>
    </w:p>
    <w:p>
      <w:r>
        <w:rPr>
          <w:rFonts w:ascii="Arial" w:hAnsi="Arial"/>
          <w:b/>
          <w:i w:val="0"/>
          <w:sz w:val="22"/>
        </w:rPr>
        <w:t xml:space="preserve">Option C: </w:t>
      </w:r>
      <w:r>
        <w:rPr>
          <w:rFonts w:ascii="Arial" w:hAnsi="Arial"/>
          <w:b/>
          <w:i w:val="0"/>
          <w:sz w:val="22"/>
        </w:rPr>
        <w:t>Hybrid — shared key for now, separate later.</w:t>
      </w:r>
      <w:r>
        <w:rPr>
          <w:rFonts w:ascii="Arial" w:hAnsi="Arial"/>
          <w:b w:val="0"/>
          <w:i w:val="0"/>
          <w:sz w:val="22"/>
        </w:rPr>
        <w:t xml:space="preserve"> Start with Option A. If quota fights become a problem, upgrade to Option B.</w:t>
      </w:r>
    </w:p>
    <w:p>
      <w:pPr>
        <w:pStyle w:val="ListBullet"/>
      </w:pPr>
      <w:r>
        <w:rPr>
          <w:rFonts w:ascii="Arial" w:hAnsi="Arial"/>
          <w:sz w:val="22"/>
        </w:rPr>
        <w:t>Pros: Cheapest start. Real data informs the upgrade decision.</w:t>
      </w:r>
    </w:p>
    <w:p>
      <w:pPr>
        <w:pStyle w:val="ListBullet"/>
      </w:pPr>
      <w:r>
        <w:rPr>
          <w:rFonts w:ascii="Arial" w:hAnsi="Arial"/>
          <w:sz w:val="22"/>
        </w:rPr>
        <w:t>Cons: Need an early-warning mechanism (e.g., log all rate-limit hits) so the upgrade trigger doesn't get missed.</w:t>
      </w:r>
    </w:p>
    <w:p>
      <w:pPr>
        <w:pStyle w:val="ListBullet"/>
      </w:pPr>
      <w:r>
        <w:rPr>
          <w:rFonts w:ascii="Arial" w:hAnsi="Arial"/>
          <w:sz w:val="22"/>
        </w:rPr>
        <w:t>When this works: most likely the right answer for the current phase.</w:t>
      </w:r>
    </w:p>
    <w:p>
      <w:pPr>
        <w:pStyle w:val="Heading2"/>
      </w:pPr>
      <w:r>
        <w:t>Implementation cost</w:t>
      </w:r>
    </w:p>
    <w:p>
      <w:r>
        <w:rPr>
          <w:rFonts w:ascii="Arial" w:hAnsi="Arial"/>
          <w:b w:val="0"/>
          <w:i w:val="0"/>
          <w:sz w:val="22"/>
        </w:rPr>
        <w:t>To pilot the piggyback approach for SP1500:</w:t>
      </w:r>
    </w:p>
    <w:p>
      <w:pPr>
        <w:pStyle w:val="ListBullet"/>
      </w:pPr>
      <w:r>
        <w:rPr>
          <w:rFonts w:ascii="Arial" w:hAnsi="Arial"/>
          <w:sz w:val="22"/>
        </w:rPr>
        <w:t>Write src/polygon_equities.py mirroring src/options/polygon.py structure — ~2-3 hours of Claude Code work</w:t>
      </w:r>
    </w:p>
    <w:p>
      <w:pPr>
        <w:pStyle w:val="ListBullet"/>
      </w:pPr>
      <w:r>
        <w:rPr>
          <w:rFonts w:ascii="Arial" w:hAnsi="Arial"/>
          <w:sz w:val="22"/>
        </w:rPr>
        <w:t>Pop the SP1500 stash; rewrite earnings_dates fetch to use Polygon instead of yfinance — ~1-2 hours</w:t>
      </w:r>
    </w:p>
    <w:p>
      <w:pPr>
        <w:pStyle w:val="ListBullet"/>
      </w:pPr>
      <w:r>
        <w:rPr>
          <w:rFonts w:ascii="Arial" w:hAnsi="Arial"/>
          <w:sz w:val="22"/>
        </w:rPr>
        <w:t>Run the SP1500 fetch against Polygon — if Polygon's free tier is enough for a one-time bulk download, this is $0; otherwise $29-79</w:t>
      </w:r>
    </w:p>
    <w:p>
      <w:pPr>
        <w:pStyle w:val="ListBullet"/>
      </w:pPr>
      <w:r>
        <w:rPr>
          <w:rFonts w:ascii="Arial" w:hAnsi="Arial"/>
          <w:sz w:val="22"/>
        </w:rPr>
        <w:t>Verify earnings data quality matches or beats what we'd get from yfinance</w:t>
      </w:r>
    </w:p>
    <w:p>
      <w:r>
        <w:rPr>
          <w:rFonts w:ascii="Arial" w:hAnsi="Arial"/>
          <w:b w:val="0"/>
          <w:i w:val="0"/>
          <w:sz w:val="22"/>
        </w:rPr>
        <w:t>If the smoke test (~30 min) shows Polygon delivers usable earnings data, you've unblocked SP1500 expansion and removed the long-term yfinance reliability risk.</w:t>
      </w:r>
    </w:p>
    <w:p>
      <w:pPr>
        <w:pStyle w:val="Heading2"/>
      </w:pPr>
      <w:r>
        <w:t>Recommendation</w:t>
      </w:r>
    </w:p>
    <w:p>
      <w:r>
        <w:rPr>
          <w:rFonts w:ascii="Arial" w:hAnsi="Arial"/>
          <w:b/>
          <w:i w:val="0"/>
          <w:sz w:val="22"/>
        </w:rPr>
        <w:t>Take Option C.</w:t>
      </w:r>
      <w:r>
        <w:rPr>
          <w:rFonts w:ascii="Arial" w:hAnsi="Arial"/>
          <w:b w:val="0"/>
          <w:i w:val="0"/>
          <w:sz w:val="22"/>
        </w:rPr>
        <w:t xml:space="preserve"> Ask Chris what tier he's on and whether he's OK with you using his key. If yes, pilot the SP1500 fetch via Polygon as a single test case — that gives you concrete data on whether piggybacking is sustainable. If quota fights happen, switch to Option B. The total cost of being wrong is ~$50-100/mo — within budget for a research project this far along.</w:t>
      </w:r>
    </w:p>
    <w:p>
      <w:pPr>
        <w:pStyle w:val="Heading1"/>
      </w:pPr>
      <w:r>
        <w:t>4. What This Audit Could Not Verify</w:t>
      </w:r>
    </w:p>
    <w:p>
      <w:r>
        <w:rPr>
          <w:rFonts w:ascii="Arial" w:hAnsi="Arial"/>
          <w:b w:val="0"/>
          <w:i w:val="0"/>
          <w:sz w:val="22"/>
        </w:rPr>
        <w:t>Honesty section. These are things Claude Code flagged as unverifiable:</w:t>
      </w:r>
    </w:p>
    <w:p>
      <w:pPr>
        <w:pStyle w:val="ListBullet"/>
      </w:pPr>
      <w:r>
        <w:rPr>
          <w:rFonts w:ascii="Arial" w:hAnsi="Arial"/>
          <w:sz w:val="22"/>
        </w:rPr>
        <w:t>Whether the deployed Streamlit Cloud app currently renders without error in a browser. Manifest read suggests equity content is correct, but visual confirmation needed.</w:t>
      </w:r>
    </w:p>
    <w:p>
      <w:pPr>
        <w:pStyle w:val="ListBullet"/>
      </w:pPr>
      <w:r>
        <w:rPr>
          <w:rFonts w:ascii="Arial" w:hAnsi="Arial"/>
          <w:sz w:val="22"/>
        </w:rPr>
        <w:t>Whether models/cache/optuna_studies.db end-to-end-loads. File is 16 MB and looks intact, but the read path wasn't exercised.</w:t>
      </w:r>
    </w:p>
    <w:p>
      <w:pPr>
        <w:pStyle w:val="ListBullet"/>
      </w:pPr>
      <w:r>
        <w:rPr>
          <w:rFonts w:ascii="Arial" w:hAnsi="Arial"/>
          <w:sz w:val="22"/>
        </w:rPr>
        <w:t>Equity unit-test coverage. The 374 passing tests are mostly options-side. Equity correctness is asserted via reproducibility against the locked snapshot, not unit tests.</w:t>
      </w:r>
    </w:p>
    <w:p>
      <w:pPr>
        <w:pStyle w:val="ListBullet"/>
      </w:pPr>
      <w:r>
        <w:rPr>
          <w:rFonts w:ascii="Arial" w:hAnsi="Arial"/>
          <w:sz w:val="22"/>
        </w:rPr>
        <w:t>Whether Polygon API key in Mike's .env is valid. Audit didn't call the live endpoint.</w:t>
      </w:r>
    </w:p>
    <w:p>
      <w:pPr>
        <w:pStyle w:val="ListBullet"/>
      </w:pPr>
      <w:r>
        <w:rPr>
          <w:rFonts w:ascii="Arial" w:hAnsi="Arial"/>
          <w:sz w:val="22"/>
        </w:rPr>
        <w:t>Whether Chris has uncommitted local crypto work. Only main + chris/* remote branches were inspected.</w:t>
      </w:r>
    </w:p>
    <w:p>
      <w:pPr>
        <w:pStyle w:val="Heading1"/>
      </w:pPr>
      <w:r>
        <w:t>5. Strategic Read</w:t>
      </w:r>
    </w:p>
    <w:p>
      <w:r>
        <w:rPr>
          <w:rFonts w:ascii="Arial" w:hAnsi="Arial"/>
          <w:b w:val="0"/>
          <w:i w:val="0"/>
          <w:sz w:val="22"/>
        </w:rPr>
        <w:t>Beyond the immediate action items, four things about where the project is now:</w:t>
      </w:r>
    </w:p>
    <w:p>
      <w:pPr>
        <w:pStyle w:val="Heading2"/>
      </w:pPr>
      <w:r>
        <w:t>The architecture is paying off</w:t>
      </w:r>
    </w:p>
    <w:p>
      <w:r>
        <w:rPr>
          <w:rFonts w:ascii="Arial" w:hAnsi="Arial"/>
          <w:b w:val="0"/>
          <w:i w:val="0"/>
          <w:sz w:val="22"/>
        </w:rPr>
        <w:t>Three different research domains (equity, crypto, options) coexist in one codebase without conflict. The Phase 1 asset-class refactor is doing exactly what it was designed to do. Chris built an entire options module (21 files, 18 test files, 374 tests) without touching Mike's equity code, and Mike's equity work continued unaffected. That's the dividend on the upfront infrastructure investment.</w:t>
      </w:r>
    </w:p>
    <w:p>
      <w:pPr>
        <w:pStyle w:val="Heading2"/>
      </w:pPr>
      <w:r>
        <w:t>The bottleneck is coordination, not code</w:t>
      </w:r>
    </w:p>
    <w:p>
      <w:r>
        <w:rPr>
          <w:rFonts w:ascii="Arial" w:hAnsi="Arial"/>
          <w:b w:val="0"/>
          <w:i w:val="0"/>
          <w:sz w:val="22"/>
        </w:rPr>
        <w:t>Everything that remains on the HIGH action list is coordination work — launch a queued study, sync R2 once artifacts exist, share .env between machines, update stale memos. No deep technical work is currently blocked. That's a much better state than "we have a working strategy but the code is broken," which is where many quant projects get stuck.</w:t>
      </w:r>
    </w:p>
    <w:p>
      <w:pPr>
        <w:pStyle w:val="Heading2"/>
      </w:pPr>
      <w:r>
        <w:t>The next strategic decision is data infrastructure</w:t>
      </w:r>
    </w:p>
    <w:p>
      <w:r>
        <w:rPr>
          <w:rFonts w:ascii="Arial" w:hAnsi="Arial"/>
          <w:b w:val="0"/>
          <w:i w:val="0"/>
          <w:sz w:val="22"/>
        </w:rPr>
        <w:t>The Polygon piggyback question is the most consequential decision pending. It affects:</w:t>
      </w:r>
    </w:p>
    <w:p>
      <w:pPr>
        <w:pStyle w:val="ListBullet"/>
      </w:pPr>
      <w:r>
        <w:rPr>
          <w:rFonts w:ascii="Arial" w:hAnsi="Arial"/>
          <w:sz w:val="22"/>
        </w:rPr>
        <w:t>SP1500 expansion (currently paused on yfinance reliability)</w:t>
      </w:r>
    </w:p>
    <w:p>
      <w:pPr>
        <w:pStyle w:val="ListBullet"/>
      </w:pPr>
      <w:r>
        <w:rPr>
          <w:rFonts w:ascii="Arial" w:hAnsi="Arial"/>
          <w:sz w:val="22"/>
        </w:rPr>
        <w:t>Future equity walk-forward validation</w:t>
      </w:r>
    </w:p>
    <w:p>
      <w:pPr>
        <w:pStyle w:val="ListBullet"/>
      </w:pPr>
      <w:r>
        <w:rPr>
          <w:rFonts w:ascii="Arial" w:hAnsi="Arial"/>
          <w:sz w:val="22"/>
        </w:rPr>
        <w:t>Cross-asset research consistency (using the same data vendor for both)</w:t>
      </w:r>
    </w:p>
    <w:p>
      <w:pPr>
        <w:pStyle w:val="ListBullet"/>
      </w:pPr>
      <w:r>
        <w:rPr>
          <w:rFonts w:ascii="Arial" w:hAnsi="Arial"/>
          <w:sz w:val="22"/>
        </w:rPr>
        <w:t>Eventually, live trading data quality</w:t>
      </w:r>
    </w:p>
    <w:p>
      <w:r>
        <w:rPr>
          <w:rFonts w:ascii="Arial" w:hAnsi="Arial"/>
          <w:b w:val="0"/>
          <w:i w:val="0"/>
          <w:sz w:val="22"/>
        </w:rPr>
        <w:t>If you decide to go Polygon for stocks: that's a $0-79/mo decision that materially improves the project's long-term ceiling. If you decide to stay yfinance: SP1500 expansion needs a different solution and you're permanently exposed to yfinance's flakiness at scale.</w:t>
      </w:r>
    </w:p>
    <w:p>
      <w:pPr>
        <w:pStyle w:val="Heading2"/>
      </w:pPr>
      <w:r>
        <w:t>On Chris's options work</w:t>
      </w:r>
    </w:p>
    <w:p>
      <w:r>
        <w:rPr>
          <w:rFonts w:ascii="Arial" w:hAnsi="Arial"/>
          <w:b w:val="0"/>
          <w:i w:val="0"/>
          <w:sz w:val="22"/>
        </w:rPr>
        <w:t>Chris shipped 13 commits in 2 days, with PR #15 landing the hang fix + concurrency refactor on 2026-05-11. The work is real — proper Greeks (Black-Scholes), engine, position model, BacktestConfig, FeeModel, Optuna runner, promotion gate, concentration analysis. The PR #15 hang fix was exactly the kind of bug that shows up when you actually try to run something end-to-end.</w:t>
      </w:r>
    </w:p>
    <w:p>
      <w:r>
        <w:rPr>
          <w:rFonts w:ascii="Arial" w:hAnsi="Arial"/>
          <w:b w:val="0"/>
          <w:i w:val="0"/>
          <w:sz w:val="22"/>
        </w:rPr>
        <w:t>Now that PR #15 has merged, the v1 study is unblocked. Once Chris launches it and it completes, the project gets a third promotable workstream alongside the three equity studies. The dashboard will need parallel options tabs eventually (or at least a Performance tab that handles both asset classes); that's a future-work item Chris should think about as he gets close to v1 promotion.</w:t>
      </w:r>
    </w:p>
    <w:p>
      <w:pPr>
        <w:pStyle w:val="Heading2"/>
      </w:pPr>
      <w:r>
        <w:t>Workstation parity goal</w:t>
      </w:r>
    </w:p>
    <w:p>
      <w:r>
        <w:rPr>
          <w:rFonts w:ascii="Arial" w:hAnsi="Arial"/>
          <w:b w:val="0"/>
          <w:i w:val="0"/>
          <w:sz w:val="22"/>
        </w:rPr>
        <w:t>Mike and Chris are working toward a two-workstation parity model — either machine should be capable of picking up tasks the other was doing. Most code is already portable thanks to the Phase 1 asset-class refactor. Remaining work to reach full parity:</w:t>
      </w:r>
    </w:p>
    <w:p>
      <w:pPr>
        <w:pStyle w:val="ListBullet"/>
      </w:pPr>
      <w:r>
        <w:rPr>
          <w:rFonts w:ascii="Arial" w:hAnsi="Arial"/>
          <w:sz w:val="22"/>
        </w:rPr>
        <w:t>Identical .env on both machines (done as of this commit — .env.example now enumerates the full key set)</w:t>
      </w:r>
    </w:p>
    <w:p>
      <w:pPr>
        <w:pStyle w:val="ListBullet"/>
      </w:pPr>
      <w:r>
        <w:rPr>
          <w:rFonts w:ascii="Arial" w:hAnsi="Arial"/>
          <w:sz w:val="22"/>
        </w:rPr>
        <w:t>Python version + venv package parity</w:t>
      </w:r>
    </w:p>
    <w:p>
      <w:pPr>
        <w:pStyle w:val="ListBullet"/>
      </w:pPr>
      <w:r>
        <w:rPr>
          <w:rFonts w:ascii="Arial" w:hAnsi="Arial"/>
          <w:sz w:val="22"/>
        </w:rPr>
        <w:t>Snapshot data portability — the 228 MB equity snapshot is currently single-source on Mike's machine; should be backed up to R2 or regeneratable</w:t>
      </w:r>
    </w:p>
    <w:p>
      <w:pPr>
        <w:pStyle w:val="ListBullet"/>
      </w:pPr>
      <w:r>
        <w:rPr>
          <w:rFonts w:ascii="Arial" w:hAnsi="Arial"/>
          <w:sz w:val="22"/>
        </w:rPr>
        <w:t>Documented hardware-aware task routing for CUDA-required work on Chris's RTX 5080</w:t>
      </w:r>
    </w:p>
    <w:p>
      <w:r>
        <w:rPr>
          <w:rFonts w:ascii="Arial" w:hAnsi="Arial"/>
          <w:b w:val="0"/>
          <w:i w:val="0"/>
          <w:sz w:val="22"/>
        </w:rPr>
        <w:t>See docs/future_work.md ("Two-workstation parity for cross-contributor handoff") for the multi-phase plan and per-phase cost estimates.</w:t>
      </w:r>
    </w:p>
    <w:p>
      <w:pPr>
        <w:pStyle w:val="Heading1"/>
      </w:pPr>
      <w:r>
        <w:t>Appendix A: Quick Reference</w:t>
      </w:r>
    </w:p>
    <w:p>
      <w:pPr>
        <w:pStyle w:val="Heading2"/>
      </w:pPr>
      <w:r>
        <w:t>Action sequence — copy-paste</w:t>
      </w:r>
    </w:p>
    <w:tbl>
      <w:tblPr>
        <w:tblW w:type="auto" w:w="0"/>
        <w:tblLayout w:type="autofit"/>
        <w:tblLook w:firstColumn="1" w:firstRow="1" w:lastColumn="0" w:lastRow="0" w:noHBand="0" w:noVBand="1" w:val="04A0"/>
      </w:tblPr>
      <w:tblGrid>
        <w:gridCol w:w="9360"/>
      </w:tblGrid>
      <w:tr>
        <w:tc>
          <w:tcPr>
            <w:tcW w:type="dxa" w:w="9360"/>
            <w:shd w:val="clear" w:color="auto" w:fill="F2F2F2"/>
          </w:tcPr>
          <w:p>
            <w:pPr>
              <w:spacing w:after="0" w:before="0"/>
            </w:pPr>
            <w:r>
              <w:rPr>
                <w:rFonts w:ascii="Consolas" w:hAnsi="Consolas"/>
                <w:sz w:val="18"/>
              </w:rPr>
              <w:t># Post-PR-#15-merge action sequence (most URGENT items done</w:t>
            </w:r>
          </w:p>
          <w:p>
            <w:pPr>
              <w:spacing w:after="0" w:before="0"/>
            </w:pPr>
            <w:r>
              <w:rPr>
                <w:rFonts w:ascii="Consolas" w:hAnsi="Consolas"/>
                <w:sz w:val="18"/>
              </w:rPr>
              <w:t># 2026-05-11; remaining items pending Chris's v1 study output).</w:t>
            </w:r>
          </w:p>
          <w:p>
            <w:pPr>
              <w:spacing w:after="0" w:before="0"/>
            </w:pPr>
            <w:r>
              <w:rPr>
                <w:rFonts w:ascii="Consolas" w:hAnsi="Consolas"/>
                <w:sz w:val="18"/>
              </w:rPr>
              <w:t xml:space="preserve"> </w:t>
            </w:r>
          </w:p>
          <w:p>
            <w:pPr>
              <w:spacing w:after="0" w:before="0"/>
            </w:pPr>
            <w:r>
              <w:rPr>
                <w:rFonts w:ascii="Consolas" w:hAnsi="Consolas"/>
                <w:sz w:val="18"/>
              </w:rPr>
              <w:t>cd C:\Users\mteev\Documents\Claude-Investing\paper_trader</w:t>
            </w:r>
          </w:p>
          <w:p>
            <w:pPr>
              <w:spacing w:after="0" w:before="0"/>
            </w:pPr>
            <w:r>
              <w:rPr>
                <w:rFonts w:ascii="Consolas" w:hAnsi="Consolas"/>
                <w:sz w:val="18"/>
              </w:rPr>
              <w:t xml:space="preserve"> </w:t>
            </w:r>
          </w:p>
          <w:p>
            <w:pPr>
              <w:spacing w:after="0" w:before="0"/>
            </w:pPr>
            <w:r>
              <w:rPr>
                <w:rFonts w:ascii="Consolas" w:hAnsi="Consolas"/>
                <w:sz w:val="18"/>
              </w:rPr>
              <w:t># 1. Confirm local main is current</w:t>
            </w:r>
          </w:p>
          <w:p>
            <w:pPr>
              <w:spacing w:after="0" w:before="0"/>
            </w:pPr>
            <w:r>
              <w:rPr>
                <w:rFonts w:ascii="Consolas" w:hAnsi="Consolas"/>
                <w:sz w:val="18"/>
              </w:rPr>
              <w:t>git checkout main</w:t>
            </w:r>
          </w:p>
          <w:p>
            <w:pPr>
              <w:spacing w:after="0" w:before="0"/>
            </w:pPr>
            <w:r>
              <w:rPr>
                <w:rFonts w:ascii="Consolas" w:hAnsi="Consolas"/>
                <w:sz w:val="18"/>
              </w:rPr>
              <w:t>git pull origin main</w:t>
            </w:r>
          </w:p>
          <w:p>
            <w:pPr>
              <w:spacing w:after="0" w:before="0"/>
            </w:pPr>
            <w:r>
              <w:rPr>
                <w:rFonts w:ascii="Consolas" w:hAnsi="Consolas"/>
                <w:sz w:val="18"/>
              </w:rPr>
              <w:t xml:space="preserve"> </w:t>
            </w:r>
          </w:p>
          <w:p>
            <w:pPr>
              <w:spacing w:after="0" w:before="0"/>
            </w:pPr>
            <w:r>
              <w:rPr>
                <w:rFonts w:ascii="Consolas" w:hAnsi="Consolas"/>
                <w:sz w:val="18"/>
              </w:rPr>
              <w:t># 2. (Chris) Launch the v1 production study. ~6h runtime.</w:t>
            </w:r>
          </w:p>
          <w:p>
            <w:pPr>
              <w:spacing w:after="0" w:before="0"/>
            </w:pPr>
            <w:r>
              <w:rPr>
                <w:rFonts w:ascii="Consolas" w:hAnsi="Consolas"/>
                <w:sz w:val="18"/>
              </w:rPr>
              <w:t>venv\Scripts\python.exe scripts\run_options_v1_study.py</w:t>
            </w:r>
          </w:p>
          <w:p>
            <w:pPr>
              <w:spacing w:after="0" w:before="0"/>
            </w:pPr>
            <w:r>
              <w:rPr>
                <w:rFonts w:ascii="Consolas" w:hAnsi="Consolas"/>
                <w:sz w:val="18"/>
              </w:rPr>
              <w:t xml:space="preserve"> </w:t>
            </w:r>
          </w:p>
          <w:p>
            <w:pPr>
              <w:spacing w:after="0" w:before="0"/>
            </w:pPr>
            <w:r>
              <w:rPr>
                <w:rFonts w:ascii="Consolas" w:hAnsi="Consolas"/>
                <w:sz w:val="18"/>
              </w:rPr>
              <w:t># 3. After v1 study completes, sync options R2 (first-ever</w:t>
            </w:r>
          </w:p>
          <w:p>
            <w:pPr>
              <w:spacing w:after="0" w:before="0"/>
            </w:pPr>
            <w:r>
              <w:rPr>
                <w:rFonts w:ascii="Consolas" w:hAnsi="Consolas"/>
                <w:sz w:val="18"/>
              </w:rPr>
              <w:t>#    options upload). --dry-run first.</w:t>
            </w:r>
          </w:p>
          <w:p>
            <w:pPr>
              <w:spacing w:after="0" w:before="0"/>
            </w:pPr>
            <w:r>
              <w:rPr>
                <w:rFonts w:ascii="Consolas" w:hAnsi="Consolas"/>
                <w:sz w:val="18"/>
              </w:rPr>
              <w:t>venv\Scripts\python.exe src\snapshot_for_cloud.py --asset-class options --dry-run</w:t>
            </w:r>
          </w:p>
          <w:p>
            <w:pPr>
              <w:spacing w:after="0" w:before="0"/>
            </w:pPr>
            <w:r>
              <w:rPr>
                <w:rFonts w:ascii="Consolas" w:hAnsi="Consolas"/>
                <w:sz w:val="18"/>
              </w:rPr>
              <w:t>venv\Scripts\python.exe src\snapshot_for_cloud.py --asset-class options</w:t>
            </w:r>
          </w:p>
          <w:p>
            <w:pPr>
              <w:spacing w:after="0" w:before="0"/>
            </w:pPr>
            <w:r>
              <w:rPr>
                <w:rFonts w:ascii="Consolas" w:hAnsi="Consolas"/>
                <w:sz w:val="18"/>
              </w:rPr>
              <w:t xml:space="preserve"> </w:t>
            </w:r>
          </w:p>
          <w:p>
            <w:pPr>
              <w:spacing w:after="0" w:before="0"/>
            </w:pPr>
            <w:r>
              <w:rPr>
                <w:rFonts w:ascii="Consolas" w:hAnsi="Consolas"/>
                <w:sz w:val="18"/>
              </w:rPr>
              <w:t># 4. Hard-refresh https://paper-trader-mteev.streamlit.app</w:t>
            </w:r>
          </w:p>
          <w:p>
            <w:pPr>
              <w:spacing w:after="0" w:before="0"/>
            </w:pPr>
            <w:r>
              <w:rPr>
                <w:rFonts w:ascii="Consolas" w:hAnsi="Consolas"/>
                <w:sz w:val="18"/>
              </w:rPr>
              <w:t>#    Click each tab. Verify Options tab shows real content</w:t>
            </w:r>
          </w:p>
          <w:p>
            <w:pPr>
              <w:spacing w:after="0" w:before="0"/>
            </w:pPr>
            <w:r>
              <w:rPr>
                <w:rFonts w:ascii="Consolas" w:hAnsi="Consolas"/>
                <w:sz w:val="18"/>
              </w:rPr>
              <w:t>#    instead of placeholder.</w:t>
            </w:r>
          </w:p>
          <w:p>
            <w:pPr>
              <w:spacing w:after="0" w:before="0"/>
            </w:pPr>
            <w:r>
              <w:rPr>
                <w:rFonts w:ascii="Consolas" w:hAnsi="Consolas"/>
                <w:sz w:val="18"/>
              </w:rPr>
              <w:t xml:space="preserve"> </w:t>
            </w:r>
          </w:p>
          <w:p>
            <w:pPr>
              <w:spacing w:after="0" w:before="0"/>
            </w:pPr>
            <w:r>
              <w:rPr>
                <w:rFonts w:ascii="Consolas" w:hAnsi="Consolas"/>
                <w:sz w:val="18"/>
              </w:rPr>
              <w:t># 5. Run pytest to confirm all tests still pass</w:t>
            </w:r>
          </w:p>
          <w:p>
            <w:pPr>
              <w:spacing w:after="0" w:before="0"/>
            </w:pPr>
            <w:r>
              <w:rPr>
                <w:rFonts w:ascii="Consolas" w:hAnsi="Consolas"/>
                <w:sz w:val="18"/>
              </w:rPr>
              <w:t>venv\Scripts\pytest -v</w:t>
            </w:r>
          </w:p>
        </w:tc>
      </w:tr>
    </w:tbl>
    <w:p>
      <w:pPr>
        <w:pStyle w:val="Heading2"/>
      </w:pPr>
      <w:r>
        <w:t>Key file paths</w:t>
      </w:r>
    </w:p>
    <w:tbl>
      <w:tblPr>
        <w:tblW w:type="auto" w:w="0"/>
        <w:tblLayout w:type="autofit"/>
        <w:tblLook w:firstColumn="1" w:firstRow="1" w:lastColumn="0" w:lastRow="0" w:noHBand="0" w:noVBand="1" w:val="04A0"/>
      </w:tblPr>
      <w:tblGrid>
        <w:gridCol w:w="9360"/>
      </w:tblGrid>
      <w:tr>
        <w:tc>
          <w:tcPr>
            <w:tcW w:type="dxa" w:w="9360"/>
            <w:shd w:val="clear" w:color="auto" w:fill="F2F2F2"/>
          </w:tcPr>
          <w:p>
            <w:pPr>
              <w:spacing w:after="0" w:before="0"/>
            </w:pPr>
            <w:r>
              <w:rPr>
                <w:rFonts w:ascii="Consolas" w:hAnsi="Consolas"/>
                <w:sz w:val="18"/>
              </w:rPr>
              <w:t># Production data</w:t>
            </w:r>
          </w:p>
          <w:p>
            <w:pPr>
              <w:spacing w:after="0" w:before="0"/>
            </w:pPr>
            <w:r>
              <w:rPr>
                <w:rFonts w:ascii="Consolas" w:hAnsi="Consolas"/>
                <w:sz w:val="18"/>
              </w:rPr>
              <w:t>models/snapshots/equities/pre_v2_20260505/</w:t>
            </w:r>
          </w:p>
          <w:p>
            <w:pPr>
              <w:spacing w:after="0" w:before="0"/>
            </w:pPr>
            <w:r>
              <w:rPr>
                <w:rFonts w:ascii="Consolas" w:hAnsi="Consolas"/>
                <w:sz w:val="18"/>
              </w:rPr>
              <w:t xml:space="preserve"> </w:t>
            </w:r>
          </w:p>
          <w:p>
            <w:pPr>
              <w:spacing w:after="0" w:before="0"/>
            </w:pPr>
            <w:r>
              <w:rPr>
                <w:rFonts w:ascii="Consolas" w:hAnsi="Consolas"/>
                <w:sz w:val="18"/>
              </w:rPr>
              <w:t># Promoted studies (R2 reads these)</w:t>
            </w:r>
          </w:p>
          <w:p>
            <w:pPr>
              <w:spacing w:after="0" w:before="0"/>
            </w:pPr>
            <w:r>
              <w:rPr>
                <w:rFonts w:ascii="Consolas" w:hAnsi="Consolas"/>
                <w:sz w:val="18"/>
              </w:rPr>
              <w:t>models/cache/dashboard_results/best_*/</w:t>
            </w:r>
          </w:p>
          <w:p>
            <w:pPr>
              <w:spacing w:after="0" w:before="0"/>
            </w:pPr>
            <w:r>
              <w:rPr>
                <w:rFonts w:ascii="Consolas" w:hAnsi="Consolas"/>
                <w:sz w:val="18"/>
              </w:rPr>
              <w:t xml:space="preserve"> </w:t>
            </w:r>
          </w:p>
          <w:p>
            <w:pPr>
              <w:spacing w:after="0" w:before="0"/>
            </w:pPr>
            <w:r>
              <w:rPr>
                <w:rFonts w:ascii="Consolas" w:hAnsi="Consolas"/>
                <w:sz w:val="18"/>
              </w:rPr>
              <w:t># Locked configs</w:t>
            </w:r>
          </w:p>
          <w:p>
            <w:pPr>
              <w:spacing w:after="0" w:before="0"/>
            </w:pPr>
            <w:r>
              <w:rPr>
                <w:rFonts w:ascii="Consolas" w:hAnsi="Consolas"/>
                <w:sz w:val="18"/>
              </w:rPr>
              <w:t>models/cache/dashboard_results/best_regime_dependent_v1_20260505_2240_325/</w:t>
            </w:r>
          </w:p>
          <w:p>
            <w:pPr>
              <w:spacing w:after="0" w:before="0"/>
            </w:pPr>
            <w:r>
              <w:rPr>
                <w:rFonts w:ascii="Consolas" w:hAnsi="Consolas"/>
                <w:sz w:val="18"/>
              </w:rPr>
              <w:t>models/cache/dashboard_results/best_15_position_study_v1_842/</w:t>
            </w:r>
          </w:p>
          <w:p>
            <w:pPr>
              <w:spacing w:after="0" w:before="0"/>
            </w:pPr>
            <w:r>
              <w:rPr>
                <w:rFonts w:ascii="Consolas" w:hAnsi="Consolas"/>
                <w:sz w:val="18"/>
              </w:rPr>
              <w:t>models/cache/dashboard_results/best_continuous_sizing_v1_1852/</w:t>
            </w:r>
          </w:p>
          <w:p>
            <w:pPr>
              <w:spacing w:after="0" w:before="0"/>
            </w:pPr>
            <w:r>
              <w:rPr>
                <w:rFonts w:ascii="Consolas" w:hAnsi="Consolas"/>
                <w:sz w:val="18"/>
              </w:rPr>
              <w:t xml:space="preserve"> </w:t>
            </w:r>
          </w:p>
          <w:p>
            <w:pPr>
              <w:spacing w:after="0" w:before="0"/>
            </w:pPr>
            <w:r>
              <w:rPr>
                <w:rFonts w:ascii="Consolas" w:hAnsi="Consolas"/>
                <w:sz w:val="18"/>
              </w:rPr>
              <w:t># Documentation</w:t>
            </w:r>
          </w:p>
          <w:p>
            <w:pPr>
              <w:spacing w:after="0" w:before="0"/>
            </w:pPr>
            <w:r>
              <w:rPr>
                <w:rFonts w:ascii="Consolas" w:hAnsi="Consolas"/>
                <w:sz w:val="18"/>
              </w:rPr>
              <w:t>docs/Comprehensive_User_Guide.docx</w:t>
            </w:r>
          </w:p>
          <w:p>
            <w:pPr>
              <w:spacing w:after="0" w:before="0"/>
            </w:pPr>
            <w:r>
              <w:rPr>
                <w:rFonts w:ascii="Consolas" w:hAnsi="Consolas"/>
                <w:sz w:val="18"/>
              </w:rPr>
              <w:t>docs/Crypto_Extension_Decisions.md</w:t>
            </w:r>
          </w:p>
          <w:p>
            <w:pPr>
              <w:spacing w:after="0" w:before="0"/>
            </w:pPr>
            <w:r>
              <w:rPr>
                <w:rFonts w:ascii="Consolas" w:hAnsi="Consolas"/>
                <w:sz w:val="18"/>
              </w:rPr>
              <w:t>docs/Options_Extension_Decisions.md</w:t>
            </w:r>
          </w:p>
          <w:p>
            <w:pPr>
              <w:spacing w:after="0" w:before="0"/>
            </w:pPr>
            <w:r>
              <w:rPr>
                <w:rFonts w:ascii="Consolas" w:hAnsi="Consolas"/>
                <w:sz w:val="18"/>
              </w:rPr>
              <w:t>docs/future_work.md</w:t>
            </w:r>
          </w:p>
          <w:p>
            <w:pPr>
              <w:spacing w:after="0" w:before="0"/>
            </w:pPr>
            <w:r>
              <w:rPr>
                <w:rFonts w:ascii="Consolas" w:hAnsi="Consolas"/>
                <w:sz w:val="18"/>
              </w:rPr>
              <w:t>docs/Project_State_Tracker.docx  (this doc, committed)</w:t>
            </w:r>
          </w:p>
          <w:p>
            <w:pPr>
              <w:spacing w:after="0" w:before="0"/>
            </w:pPr>
            <w:r>
              <w:rPr>
                <w:rFonts w:ascii="Consolas" w:hAnsi="Consolas"/>
                <w:sz w:val="18"/>
              </w:rPr>
              <w:t xml:space="preserve"> </w:t>
            </w:r>
          </w:p>
          <w:p>
            <w:pPr>
              <w:spacing w:after="0" w:before="0"/>
            </w:pPr>
            <w:r>
              <w:rPr>
                <w:rFonts w:ascii="Consolas" w:hAnsi="Consolas"/>
                <w:sz w:val="18"/>
              </w:rPr>
              <w:t># Specs for next Claude Code sessions</w:t>
            </w:r>
          </w:p>
          <w:p>
            <w:pPr>
              <w:spacing w:after="0" w:before="0"/>
            </w:pPr>
            <w:r>
              <w:rPr>
                <w:rFonts w:ascii="Consolas" w:hAnsi="Consolas"/>
                <w:sz w:val="18"/>
              </w:rPr>
              <w:t>docs/specs/Sizing_Decisions_Viz_Prompt.md</w:t>
            </w:r>
          </w:p>
          <w:p>
            <w:pPr>
              <w:spacing w:after="0" w:before="0"/>
            </w:pPr>
            <w:r>
              <w:rPr>
                <w:rFonts w:ascii="Consolas" w:hAnsi="Consolas"/>
                <w:sz w:val="18"/>
              </w:rPr>
              <w:t>docs/specs/Dashboard_Rebuild_Spec.docx</w:t>
            </w:r>
          </w:p>
          <w:p>
            <w:pPr>
              <w:spacing w:after="0" w:before="0"/>
            </w:pPr>
            <w:r>
              <w:rPr>
                <w:rFonts w:ascii="Consolas" w:hAnsi="Consolas"/>
                <w:sz w:val="18"/>
              </w:rPr>
              <w:t>docs/specs/Dashboard_Viz_Implementation_Spec.docx</w:t>
            </w:r>
          </w:p>
          <w:p>
            <w:pPr>
              <w:spacing w:after="0" w:before="0"/>
            </w:pPr>
            <w:r>
              <w:rPr>
                <w:rFonts w:ascii="Consolas" w:hAnsi="Consolas"/>
                <w:sz w:val="18"/>
              </w:rPr>
              <w:t xml:space="preserve"> </w:t>
            </w:r>
          </w:p>
          <w:p>
            <w:pPr>
              <w:spacing w:after="0" w:before="0"/>
            </w:pPr>
            <w:r>
              <w:rPr>
                <w:rFonts w:ascii="Consolas" w:hAnsi="Consolas"/>
                <w:sz w:val="18"/>
              </w:rPr>
              <w:t># Research scripts (one-off, history preserved)</w:t>
            </w:r>
          </w:p>
          <w:p>
            <w:pPr>
              <w:spacing w:after="0" w:before="0"/>
            </w:pPr>
            <w:r>
              <w:rPr>
                <w:rFonts w:ascii="Consolas" w:hAnsi="Consolas"/>
                <w:sz w:val="18"/>
              </w:rPr>
              <w:t>scripts/research/backfill_benchmark_parquets.py</w:t>
            </w:r>
          </w:p>
          <w:p>
            <w:pPr>
              <w:spacing w:after="0" w:before="0"/>
            </w:pPr>
            <w:r>
              <w:rPr>
                <w:rFonts w:ascii="Consolas" w:hAnsi="Consolas"/>
                <w:sz w:val="18"/>
              </w:rPr>
              <w:t>scripts/research/research_blacklist_325.py</w:t>
            </w:r>
          </w:p>
          <w:p>
            <w:pPr>
              <w:spacing w:after="0" w:before="0"/>
            </w:pPr>
            <w:r>
              <w:rPr>
                <w:rFonts w:ascii="Consolas" w:hAnsi="Consolas"/>
                <w:sz w:val="18"/>
              </w:rPr>
              <w:t>scripts/research/sanity_test_continuous_sizing.py</w:t>
            </w:r>
          </w:p>
          <w:p>
            <w:pPr>
              <w:spacing w:after="0" w:before="0"/>
            </w:pPr>
            <w:r>
              <w:rPr>
                <w:rFonts w:ascii="Consolas" w:hAnsi="Consolas"/>
                <w:sz w:val="18"/>
              </w:rPr>
              <w:t xml:space="preserve"> </w:t>
            </w:r>
          </w:p>
          <w:p>
            <w:pPr>
              <w:spacing w:after="0" w:before="0"/>
            </w:pPr>
            <w:r>
              <w:rPr>
                <w:rFonts w:ascii="Consolas" w:hAnsi="Consolas"/>
                <w:sz w:val="18"/>
              </w:rPr>
              <w:t># Audit / state tooling</w:t>
            </w:r>
          </w:p>
          <w:p>
            <w:pPr>
              <w:spacing w:after="0" w:before="0"/>
            </w:pPr>
            <w:r>
              <w:rPr>
                <w:rFonts w:ascii="Consolas" w:hAnsi="Consolas"/>
                <w:sz w:val="18"/>
              </w:rPr>
              <w:t>scripts/build_project_state_audit.py    (regenerator for state audits)</w:t>
            </w:r>
          </w:p>
          <w:p>
            <w:pPr>
              <w:spacing w:after="0" w:before="0"/>
            </w:pPr>
            <w:r>
              <w:rPr>
                <w:rFonts w:ascii="Consolas" w:hAnsi="Consolas"/>
                <w:sz w:val="18"/>
              </w:rPr>
              <w:t>scripts/build_project_state_tracker.py  (regenerator for this tracker)</w:t>
            </w:r>
          </w:p>
        </w:tc>
      </w:tr>
    </w:tbl>
    <w:p>
      <w:pPr>
        <w:pStyle w:val="Heading2"/>
      </w:pPr>
      <w:r>
        <w:t>Branch states</w:t>
      </w:r>
    </w:p>
    <w:tbl>
      <w:tblPr>
        <w:tblW w:type="auto" w:w="0"/>
        <w:tblLayout w:type="autofit"/>
        <w:tblLook w:firstColumn="1" w:firstRow="1" w:lastColumn="0" w:lastRow="0" w:noHBand="0" w:noVBand="1" w:val="04A0"/>
      </w:tblPr>
      <w:tblGrid>
        <w:gridCol w:w="9360"/>
      </w:tblGrid>
      <w:tr>
        <w:tc>
          <w:tcPr>
            <w:tcW w:type="dxa" w:w="9360"/>
            <w:shd w:val="clear" w:color="auto" w:fill="F2F2F2"/>
          </w:tcPr>
          <w:p>
            <w:pPr>
              <w:spacing w:after="0" w:before="0"/>
            </w:pPr>
            <w:r>
              <w:rPr>
                <w:rFonts w:ascii="Consolas" w:hAnsi="Consolas"/>
                <w:sz w:val="18"/>
              </w:rPr>
              <w:t># Active branches</w:t>
            </w:r>
          </w:p>
          <w:p>
            <w:pPr>
              <w:spacing w:after="0" w:before="0"/>
            </w:pPr>
            <w:r>
              <w:rPr>
                <w:rFonts w:ascii="Consolas" w:hAnsi="Consolas"/>
                <w:sz w:val="18"/>
              </w:rPr>
              <w:t>main                                       # latest commit</w:t>
            </w:r>
          </w:p>
          <w:p>
            <w:pPr>
              <w:spacing w:after="0" w:before="0"/>
            </w:pPr>
            <w:r>
              <w:rPr>
                <w:rFonts w:ascii="Consolas" w:hAnsi="Consolas"/>
                <w:sz w:val="18"/>
              </w:rPr>
              <w:t xml:space="preserve">                                           # (PR #15 merged 2026-05-11 at 993527f)</w:t>
            </w:r>
          </w:p>
          <w:p>
            <w:pPr>
              <w:spacing w:after="0" w:before="0"/>
            </w:pPr>
            <w:r>
              <w:rPr>
                <w:rFonts w:ascii="Consolas" w:hAnsi="Consolas"/>
                <w:sz w:val="18"/>
              </w:rPr>
              <w:t xml:space="preserve"> </w:t>
            </w:r>
          </w:p>
          <w:p>
            <w:pPr>
              <w:spacing w:after="0" w:before="0"/>
            </w:pPr>
            <w:r>
              <w:rPr>
                <w:rFonts w:ascii="Consolas" w:hAnsi="Consolas"/>
                <w:sz w:val="18"/>
              </w:rPr>
              <w:t># Stashed work</w:t>
            </w:r>
          </w:p>
          <w:p>
            <w:pPr>
              <w:spacing w:after="0" w:before="0"/>
            </w:pPr>
            <w:r>
              <w:rPr>
                <w:rFonts w:ascii="Consolas" w:hAnsi="Consolas"/>
                <w:sz w:val="18"/>
              </w:rPr>
              <w:t>stash@{0}                                  # SP1500 retry/sanity-gate</w:t>
            </w:r>
          </w:p>
          <w:p>
            <w:pPr>
              <w:spacing w:after="0" w:before="0"/>
            </w:pPr>
            <w:r>
              <w:rPr>
                <w:rFonts w:ascii="Consolas" w:hAnsi="Consolas"/>
                <w:sz w:val="18"/>
              </w:rPr>
              <w:t xml:space="preserve">                                           # awaits Finnhub TOS or Polygon decision</w:t>
            </w:r>
          </w:p>
        </w:tc>
      </w:tr>
    </w:tbl>
    <w:p>
      <w:pPr>
        <w:pStyle w:val="Heading1"/>
      </w:pPr>
      <w:r>
        <w:t>Appendix B: Document Lineage</w:t>
      </w:r>
    </w:p>
    <w:p>
      <w:r>
        <w:rPr>
          <w:rFonts w:ascii="Arial" w:hAnsi="Arial"/>
          <w:b w:val="0"/>
          <w:i w:val="0"/>
          <w:sz w:val="22"/>
        </w:rPr>
        <w:t>This is the canonical project state doc. It supersedes prior versions and is committed to the repo for the first time.</w:t>
      </w:r>
    </w:p>
    <w:p>
      <w:r>
        <w:rPr>
          <w:rFonts w:ascii="Arial" w:hAnsi="Arial"/>
          <w:b/>
          <w:i w:val="0"/>
          <w:sz w:val="22"/>
        </w:rPr>
        <w:t xml:space="preserve">Last updated: </w:t>
      </w:r>
      <w:r>
        <w:rPr>
          <w:rFonts w:ascii="Arial" w:hAnsi="Arial"/>
          <w:b w:val="0"/>
          <w:i w:val="0"/>
          <w:sz w:val="22"/>
        </w:rPr>
        <w:t>2026-05-11 (post-PR-#15-merge refresh — URGENT items cleared, .env.example completed, workstation-parity goal added).</w:t>
      </w:r>
    </w:p>
    <w:tbl>
      <w:tblPr>
        <w:tblW w:type="auto" w:w="0"/>
        <w:tblLayout w:type="fixed"/>
        <w:tblLook w:firstColumn="1" w:firstRow="1" w:lastColumn="0" w:lastRow="0" w:noHBand="0" w:noVBand="1" w:val="04A0"/>
      </w:tblPr>
      <w:tblGrid>
        <w:gridCol w:w="3744"/>
        <w:gridCol w:w="1440"/>
        <w:gridCol w:w="4176"/>
      </w:tblGrid>
      <w:tr>
        <w:tc>
          <w:tcPr>
            <w:tcW w:type="dxa" w:w="312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Document</w:t>
            </w:r>
          </w:p>
        </w:tc>
        <w:tc>
          <w:tcPr>
            <w:tcW w:type="dxa" w:w="312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Date</w:t>
            </w:r>
          </w:p>
        </w:tc>
        <w:tc>
          <w:tcPr>
            <w:tcW w:type="dxa" w:w="312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Purpose</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Paper_Trader_Handoff.docx (v1.0)</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2026-05-08</w:t>
            </w:r>
          </w:p>
        </w:tc>
        <w:tc>
          <w:tcPr>
            <w:tcW w:type="dxa" w:w="3120"/>
            <w:tcBorders>
              <w:top w:val="single" w:sz="4" w:color="808080"/>
              <w:left w:val="single" w:sz="4" w:color="808080"/>
              <w:bottom w:val="single" w:sz="4" w:color="808080"/>
              <w:right w:val="single" w:sz="4" w:color="808080"/>
            </w:tcBorders>
          </w:tcPr>
          <w:p>
            <w:r/>
            <w:r>
              <w:rPr>
                <w:rFonts w:ascii="Arial" w:hAnsi="Arial"/>
                <w:sz w:val="18"/>
              </w:rPr>
              <w:t>Initial handoff to Chris before crypto extension</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Crypto_Extension_Decisions.md</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2026-05-09</w:t>
            </w:r>
          </w:p>
        </w:tc>
        <w:tc>
          <w:tcPr>
            <w:tcW w:type="dxa" w:w="3120"/>
            <w:tcBorders>
              <w:top w:val="single" w:sz="4" w:color="808080"/>
              <w:left w:val="single" w:sz="4" w:color="808080"/>
              <w:bottom w:val="single" w:sz="4" w:color="808080"/>
              <w:right w:val="single" w:sz="4" w:color="808080"/>
            </w:tcBorders>
          </w:tcPr>
          <w:p>
            <w:r/>
            <w:r>
              <w:rPr>
                <w:rFonts w:ascii="Arial" w:hAnsi="Arial"/>
                <w:sz w:val="18"/>
              </w:rPr>
              <w:t>Architectural decisions for multi-asset support</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Comprehensive_User_Guide.docx (v2.0)</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2026-05-09</w:t>
            </w:r>
          </w:p>
        </w:tc>
        <w:tc>
          <w:tcPr>
            <w:tcW w:type="dxa" w:w="3120"/>
            <w:tcBorders>
              <w:top w:val="single" w:sz="4" w:color="808080"/>
              <w:left w:val="single" w:sz="4" w:color="808080"/>
              <w:bottom w:val="single" w:sz="4" w:color="808080"/>
              <w:right w:val="single" w:sz="4" w:color="808080"/>
            </w:tcBorders>
          </w:tcPr>
          <w:p>
            <w:r/>
            <w:r>
              <w:rPr>
                <w:rFonts w:ascii="Arial" w:hAnsi="Arial"/>
                <w:sz w:val="18"/>
              </w:rPr>
              <w:t>Full user guide post-Phase-1; NVDA/META findings</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Options_Extension_Decisions.md</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2026-05-10</w:t>
            </w:r>
          </w:p>
        </w:tc>
        <w:tc>
          <w:tcPr>
            <w:tcW w:type="dxa" w:w="3120"/>
            <w:tcBorders>
              <w:top w:val="single" w:sz="4" w:color="808080"/>
              <w:left w:val="single" w:sz="4" w:color="808080"/>
              <w:bottom w:val="single" w:sz="4" w:color="808080"/>
              <w:right w:val="single" w:sz="4" w:color="808080"/>
            </w:tcBorders>
          </w:tcPr>
          <w:p>
            <w:r/>
            <w:r>
              <w:rPr>
                <w:rFonts w:ascii="Arial" w:hAnsi="Arial"/>
                <w:sz w:val="18"/>
              </w:rPr>
              <w:t>Architectural decisions for options extension</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Project_State_Audit.docx</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2026-05-11</w:t>
            </w:r>
          </w:p>
        </w:tc>
        <w:tc>
          <w:tcPr>
            <w:tcW w:type="dxa" w:w="3120"/>
            <w:tcBorders>
              <w:top w:val="single" w:sz="4" w:color="808080"/>
              <w:left w:val="single" w:sz="4" w:color="808080"/>
              <w:bottom w:val="single" w:sz="4" w:color="808080"/>
              <w:right w:val="single" w:sz="4" w:color="808080"/>
            </w:tcBorders>
          </w:tcPr>
          <w:p>
            <w:r/>
            <w:r>
              <w:rPr>
                <w:rFonts w:ascii="Arial" w:hAnsi="Arial"/>
                <w:sz w:val="18"/>
              </w:rPr>
              <w:t>Claude Code audit findings (raw audit)</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Project_State_Tracker.docx (this doc)</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2026-05-11</w:t>
            </w:r>
          </w:p>
        </w:tc>
        <w:tc>
          <w:tcPr>
            <w:tcW w:type="dxa" w:w="3120"/>
            <w:tcBorders>
              <w:top w:val="single" w:sz="4" w:color="808080"/>
              <w:left w:val="single" w:sz="4" w:color="808080"/>
              <w:bottom w:val="single" w:sz="4" w:color="808080"/>
              <w:right w:val="single" w:sz="4" w:color="808080"/>
            </w:tcBorders>
          </w:tcPr>
          <w:p>
            <w:r/>
            <w:r>
              <w:rPr>
                <w:rFonts w:ascii="Arial" w:hAnsi="Arial"/>
                <w:sz w:val="18"/>
              </w:rPr>
              <w:t>Audit + strategic context + cleanup summary</w:t>
            </w:r>
          </w:p>
        </w:tc>
      </w:tr>
    </w:tbl>
    <w:p>
      <w:r>
        <w:rPr>
          <w:rFonts w:ascii="Arial" w:hAnsi="Arial"/>
          <w:b w:val="0"/>
          <w:i w:val="0"/>
          <w:sz w:val="22"/>
        </w:rPr>
        <w:t xml:space="preserve">Older docs remain valid as historical reference. </w:t>
      </w:r>
      <w:r>
        <w:rPr>
          <w:rFonts w:ascii="Arial" w:hAnsi="Arial"/>
          <w:b/>
          <w:i w:val="0"/>
          <w:sz w:val="22"/>
        </w:rPr>
        <w:t>This doc is the most current source of truth for current state and immediate next steps.</w:t>
      </w:r>
      <w:r>
        <w:rPr>
          <w:rFonts w:ascii="Arial" w:hAnsi="Arial"/>
          <w:b w:val="0"/>
          <w:i w:val="0"/>
          <w:sz w:val="22"/>
        </w:rPr>
        <w:t xml:space="preserve"> For deep technical reference, fall back to Comprehensive_User_Guide.docx. For audit-level detail Claude Code produced, fall back to Project_State_Audit.docx.</w:t>
      </w:r>
    </w:p>
    <w:p>
      <w:r>
        <w:rPr>
          <w:rFonts w:ascii="Arial" w:hAnsi="Arial"/>
          <w:b w:val="0"/>
          <w:i w:val="0"/>
          <w:sz w:val="22"/>
        </w:rPr>
        <w:t>This doc lives at docs/Project_State_Tracker.docx in the repo. Update via Claude Code when state changes meaningfully — e.g., after PR #15 merges, after a major Polygon decision, after the next big sprint.</w:t>
      </w:r>
    </w:p>
    <w:p>
      <w:r>
        <w:rPr>
          <w:rFonts w:ascii="Arial" w:hAnsi="Arial"/>
          <w:b/>
          <w:i w:val="0"/>
          <w:sz w:val="22"/>
        </w:rPr>
        <w:t xml:space="preserve">Maintenance: </w:t>
      </w:r>
      <w:r>
        <w:rPr>
          <w:rFonts w:ascii="Arial" w:hAnsi="Arial"/>
          <w:b w:val="0"/>
          <w:i w:val="0"/>
          <w:sz w:val="22"/>
        </w:rPr>
        <w:t>when adding new authoritative docs to docs/, update the "Claude Session Onboarding" prompt above to reference them. When contributor roles or conventions change, update the prompt's conventions section. Specifically, review the embedded prompt whenever:</w:t>
      </w:r>
    </w:p>
    <w:p>
      <w:pPr>
        <w:pStyle w:val="ListBullet"/>
      </w:pPr>
      <w:r>
        <w:rPr>
          <w:rFonts w:ascii="Arial" w:hAnsi="Arial"/>
          <w:sz w:val="22"/>
        </w:rPr>
        <w:t>Major docs are added to or removed from the reading list</w:t>
      </w:r>
    </w:p>
    <w:p>
      <w:pPr>
        <w:pStyle w:val="ListBullet"/>
      </w:pPr>
      <w:r>
        <w:rPr>
          <w:rFonts w:ascii="Arial" w:hAnsi="Arial"/>
          <w:sz w:val="22"/>
        </w:rPr>
        <w:t>Project conventions change (data layout, branching, deployment targets)</w:t>
      </w:r>
    </w:p>
    <w:p>
      <w:pPr>
        <w:pStyle w:val="ListBullet"/>
      </w:pPr>
      <w:r>
        <w:rPr>
          <w:rFonts w:ascii="Arial" w:hAnsi="Arial"/>
          <w:sz w:val="22"/>
        </w:rPr>
        <w:t>Contributor roles shift (ownership, handoffs, namespace boundaries)</w:t>
      </w:r>
    </w:p>
    <w:p>
      <w:pPr>
        <w:pStyle w:val="Heading1"/>
      </w:pPr>
      <w:r>
        <w:t>Appendix C: Cleanup Session Summary (2026-05-11)</w:t>
      </w:r>
    </w:p>
    <w:p>
      <w:r>
        <w:rPr>
          <w:rFonts w:ascii="Arial" w:hAnsi="Arial"/>
          <w:b/>
          <w:i w:val="0"/>
          <w:sz w:val="22"/>
        </w:rPr>
        <w:t xml:space="preserve">Commit: </w:t>
      </w:r>
      <w:r>
        <w:rPr>
          <w:rFonts w:ascii="Arial" w:hAnsi="Arial"/>
          <w:b w:val="0"/>
          <w:i w:val="0"/>
          <w:sz w:val="22"/>
        </w:rPr>
        <w:t>5c39cc5</w:t>
      </w:r>
      <w:r>
        <w:rPr>
          <w:rFonts w:ascii="Arial" w:hAnsi="Arial"/>
          <w:b w:val="0"/>
          <w:i w:val="0"/>
          <w:sz w:val="22"/>
        </w:rPr>
        <w:t xml:space="preserve"> — "chore: cleanup per project state audit"</w:t>
      </w:r>
    </w:p>
    <w:p>
      <w:r>
        <w:rPr>
          <w:rFonts w:ascii="Arial" w:hAnsi="Arial"/>
          <w:b/>
          <w:i w:val="0"/>
          <w:sz w:val="22"/>
        </w:rPr>
        <w:t>Deleted (35 files, gitignored):</w:t>
      </w:r>
    </w:p>
    <w:p>
      <w:pPr>
        <w:pStyle w:val="ListBullet"/>
      </w:pPr>
      <w:r>
        <w:rPr>
          <w:rFonts w:ascii="Arial" w:hAnsi="Arial"/>
          <w:sz w:val="22"/>
        </w:rPr>
        <w:t>27 debug/inspection Python scripts at repo root (inspect_*.py, check_*.py, track_*.py, study_progress.py, progress_continuous.py, touch_snapshot.py, rescue_save_continuous.py, best_continuous.py, spot_check.py, compare_studies.py, extract_track2*.py, make_src_zip.py)</w:t>
      </w:r>
    </w:p>
    <w:p>
      <w:pPr>
        <w:pStyle w:val="ListBullet"/>
      </w:pPr>
      <w:r>
        <w:rPr>
          <w:rFonts w:ascii="Arial" w:hAnsi="Arial"/>
          <w:sz w:val="22"/>
        </w:rPr>
        <w:t>8 log files (15_position_study_v1*.log, continuous_sizing_v1*.log, v3_track1_*.log)</w:t>
      </w:r>
    </w:p>
    <w:p>
      <w:pPr>
        <w:pStyle w:val="ListBullet"/>
      </w:pPr>
      <w:r>
        <w:rPr>
          <w:rFonts w:ascii="Arial" w:hAnsi="Arial"/>
          <w:sz w:val="22"/>
        </w:rPr>
        <w:t>src.zip (46 MB)</w:t>
      </w:r>
    </w:p>
    <w:p>
      <w:pPr>
        <w:pStyle w:val="ListBullet"/>
      </w:pPr>
      <w:r>
        <w:rPr>
          <w:rFonts w:ascii="Arial" w:hAnsi="Arial"/>
          <w:sz w:val="22"/>
        </w:rPr>
        <w:t>_spec_extracted.txt</w:t>
      </w:r>
    </w:p>
    <w:p>
      <w:pPr>
        <w:pStyle w:val="ListBullet"/>
      </w:pPr>
      <w:r>
        <w:rPr>
          <w:rFonts w:ascii="Arial" w:hAnsi="Arial"/>
          <w:sz w:val="22"/>
        </w:rPr>
        <w:t>Documents/ folder (3 early-draft files) and empty data/ directory</w:t>
      </w:r>
    </w:p>
    <w:p>
      <w:r>
        <w:rPr>
          <w:rFonts w:ascii="Arial" w:hAnsi="Arial"/>
          <w:b/>
          <w:i w:val="0"/>
          <w:sz w:val="22"/>
        </w:rPr>
        <w:t>Moved:</w:t>
      </w:r>
    </w:p>
    <w:p>
      <w:pPr>
        <w:pStyle w:val="ListBullet"/>
      </w:pPr>
      <w:r>
        <w:rPr>
          <w:rFonts w:ascii="Arial" w:hAnsi="Arial"/>
          <w:sz w:val="22"/>
        </w:rPr>
        <w:t>3 snapshots (macro_signal_investigation_*, parallelism_diagnostic_*, post_macro_fix_*) → models/snapshots/equities/</w:t>
      </w:r>
    </w:p>
    <w:p>
      <w:pPr>
        <w:pStyle w:val="ListBullet"/>
      </w:pPr>
      <w:r>
        <w:rPr>
          <w:rFonts w:ascii="Arial" w:hAnsi="Arial"/>
          <w:sz w:val="22"/>
        </w:rPr>
        <w:t>3 tracked research scripts → scripts/research/</w:t>
      </w:r>
    </w:p>
    <w:p>
      <w:pPr>
        <w:pStyle w:val="ListBullet"/>
      </w:pPr>
      <w:r>
        <w:rPr>
          <w:rFonts w:ascii="Arial" w:hAnsi="Arial"/>
          <w:sz w:val="22"/>
        </w:rPr>
        <w:t>docs/sp1500_fetch_failures.txt → docs/diagnostics/</w:t>
      </w:r>
    </w:p>
    <w:p>
      <w:pPr>
        <w:pStyle w:val="ListBullet"/>
      </w:pPr>
      <w:r>
        <w:rPr>
          <w:rFonts w:ascii="Arial" w:hAnsi="Arial"/>
          <w:sz w:val="22"/>
        </w:rPr>
        <w:t>Dashboard_Viz_Implementation_Spec.docx → docs/specs/</w:t>
      </w:r>
    </w:p>
    <w:p>
      <w:r>
        <w:rPr>
          <w:rFonts w:ascii="Arial" w:hAnsi="Arial"/>
          <w:b/>
          <w:i w:val="0"/>
          <w:sz w:val="22"/>
        </w:rPr>
        <w:t>Kept (intentional):</w:t>
      </w:r>
    </w:p>
    <w:p>
      <w:pPr>
        <w:pStyle w:val="ListBullet"/>
      </w:pPr>
      <w:r>
        <w:rPr>
          <w:rFonts w:ascii="Arial" w:hAnsi="Arial"/>
          <w:sz w:val="22"/>
        </w:rPr>
        <w:t>3 SP1500 paused-state logs (sp1500_fetch.log, sp1500_fetch_v2.log, sp1500_force_refresh.log) — document the paused state for when SP1500 resumes</w:t>
      </w:r>
    </w:p>
    <w:p>
      <w:pPr>
        <w:pStyle w:val="ListBullet"/>
      </w:pPr>
      <w:r>
        <w:rPr>
          <w:rFonts w:ascii="Arial" w:hAnsi="Arial"/>
          <w:sz w:val="22"/>
        </w:rPr>
        <w:t>v3_track2_runner.py at root — referenced by src/dashboard_app.py</w:t>
      </w:r>
    </w:p>
    <w:p>
      <w:pPr>
        <w:pStyle w:val="ListBullet"/>
      </w:pPr>
      <w:r>
        <w:rPr>
          <w:rFonts w:ascii="Arial" w:hAnsi="Arial"/>
          <w:sz w:val="22"/>
        </w:rPr>
        <w:t>Chris's 6 options scripts in scripts/</w:t>
      </w:r>
    </w:p>
    <w:p>
      <w:r>
        <w:rPr>
          <w:rFonts w:ascii="Arial" w:hAnsi="Arial"/>
          <w:b/>
          <w:i w:val="0"/>
          <w:sz w:val="22"/>
        </w:rPr>
        <w:t>Newly tracked (fixed by gitignore fix):</w:t>
      </w:r>
    </w:p>
    <w:p>
      <w:pPr>
        <w:pStyle w:val="ListBullet"/>
      </w:pPr>
      <w:r>
        <w:rPr>
          <w:rFonts w:ascii="Arial" w:hAnsi="Arial"/>
          <w:sz w:val="22"/>
        </w:rPr>
        <w:t>docs/specs/Dashboard_Rebuild_Spec.docx — had been silently ignored due to !docs/*.docx depth bug</w:t>
      </w:r>
    </w:p>
    <w:p>
      <w:pPr>
        <w:pStyle w:val="ListBullet"/>
      </w:pPr>
      <w:r>
        <w:rPr>
          <w:rFonts w:ascii="Arial" w:hAnsi="Arial"/>
          <w:sz w:val="22"/>
        </w:rPr>
        <w:t>docs/specs/Dashboard_Viz_Implementation_Spec.docx</w:t>
      </w:r>
    </w:p>
    <w:p>
      <w:pPr>
        <w:pStyle w:val="ListBullet"/>
      </w:pPr>
      <w:r>
        <w:rPr>
          <w:rFonts w:ascii="Arial" w:hAnsi="Arial"/>
          <w:sz w:val="22"/>
        </w:rPr>
        <w:t>scripts/build_project_state_audit.py — for future audit refreshes</w:t>
      </w:r>
    </w:p>
    <w:p>
      <w:pPr>
        <w:pStyle w:val="ListBullet"/>
      </w:pPr>
      <w:r>
        <w:rPr>
          <w:rFonts w:ascii="Arial" w:hAnsi="Arial"/>
          <w:sz w:val="22"/>
        </w:rPr>
        <w:t>scripts/build_project_state_tracker.py — for future tracker refreshes (this doc's generator)</w:t>
      </w:r>
    </w:p>
    <w:p>
      <w:r>
        <w:rPr>
          <w:rFonts w:ascii="Arial" w:hAnsi="Arial"/>
          <w:b/>
          <w:i w:val="0"/>
          <w:sz w:val="22"/>
        </w:rPr>
        <w:t>Modified:</w:t>
      </w:r>
    </w:p>
    <w:p>
      <w:pPr>
        <w:pStyle w:val="ListBullet"/>
      </w:pPr>
      <w:r>
        <w:rPr>
          <w:rFonts w:ascii="Arial" w:hAnsi="Arial"/>
          <w:sz w:val="22"/>
        </w:rPr>
        <w:t>.gitignore: fixed !docs/*.docx to !docs/**/*.docx (was a depth-1 bug); added sp1500_*.log pattern</w:t>
      </w:r>
    </w:p>
    <w:p>
      <w:pPr>
        <w:pStyle w:val="ListBullet"/>
      </w:pPr>
      <w:r>
        <w:rPr>
          <w:rFonts w:ascii="Arial" w:hAnsi="Arial"/>
          <w:sz w:val="22"/>
        </w:rPr>
        <w:t>.github/CODEOWNERS: removed phantom /src/equities/ rule</w:t>
      </w:r>
    </w:p>
    <w:p>
      <w:r>
        <w:rPr>
          <w:rFonts w:ascii="Arial" w:hAnsi="Arial"/>
          <w:b/>
          <w:i w:val="0"/>
          <w:sz w:val="22"/>
        </w:rPr>
        <w:t>Branches deleted:</w:t>
      </w:r>
    </w:p>
    <w:p>
      <w:pPr>
        <w:pStyle w:val="ListBullet"/>
      </w:pPr>
      <w:r>
        <w:rPr>
          <w:rFonts w:ascii="Arial" w:hAnsi="Arial"/>
          <w:sz w:val="22"/>
        </w:rPr>
        <w:t>origin/chris/options-phase-1-shared-edge (already squash-merged via PR #3)</w:t>
      </w:r>
    </w:p>
    <w:p>
      <w:r>
        <w:rPr>
          <w:rFonts w:ascii="Arial" w:hAnsi="Arial"/>
          <w:b/>
          <w:i w:val="0"/>
          <w:sz w:val="22"/>
        </w:rPr>
        <w:t xml:space="preserve">Net result: </w:t>
      </w:r>
      <w:r>
        <w:rPr>
          <w:rFonts w:ascii="Arial" w:hAnsi="Arial"/>
          <w:b w:val="0"/>
          <w:i w:val="0"/>
          <w:sz w:val="22"/>
        </w:rPr>
        <w:t>Repo root now has 5 files (requirements.txt, 3 SP1500 paused logs, v3_track2_runner.py). Clean state.</w:t>
      </w:r>
    </w:p>
    <w:p>
      <w:r>
        <w:rPr>
          <w:rFonts w:ascii="Arial" w:hAnsi="Arial"/>
          <w:b/>
          <w:i w:val="0"/>
          <w:sz w:val="22"/>
        </w:rPr>
        <w:t xml:space="preserve">Important secondary finding: </w:t>
      </w:r>
      <w:r>
        <w:rPr>
          <w:rFonts w:ascii="Arial" w:hAnsi="Arial"/>
          <w:b w:val="0"/>
          <w:i w:val="0"/>
          <w:sz w:val="22"/>
        </w:rPr>
        <w:t>The !docs/*.docx gitignore rule was buggy and had been silently dropping any docx file under docs/specs/ for weeks. The fix means committed documentation now reliably lands in the repo.</w:t>
      </w:r>
    </w:p>
    <w:p>
      <w:pPr>
        <w:pStyle w:val="Heading2"/>
      </w:pPr>
      <w:r>
        <w:t>2026-05-11 (later in day) — Post-merge sweep</w:t>
      </w:r>
    </w:p>
    <w:p>
      <w:pPr>
        <w:pStyle w:val="ListBullet"/>
      </w:pPr>
      <w:r>
        <w:rPr>
          <w:rFonts w:ascii="Arial" w:hAnsi="Arial"/>
          <w:sz w:val="22"/>
        </w:rPr>
        <w:t>PR #15 merged (commit 993527f)</w:t>
      </w:r>
    </w:p>
    <w:p>
      <w:pPr>
        <w:pStyle w:val="ListBullet"/>
      </w:pPr>
      <w:r>
        <w:rPr>
          <w:rFonts w:ascii="Arial" w:hAnsi="Arial"/>
          <w:sz w:val="22"/>
        </w:rPr>
        <w:t>R2 synced for equities at the new HEAD</w:t>
      </w:r>
    </w:p>
    <w:p>
      <w:pPr>
        <w:pStyle w:val="ListBullet"/>
      </w:pPr>
      <w:r>
        <w:rPr>
          <w:rFonts w:ascii="Arial" w:hAnsi="Arial"/>
          <w:sz w:val="22"/>
        </w:rPr>
        <w:t>Test collection bug fixed (commit c1346cd)</w:t>
      </w:r>
    </w:p>
    <w:p>
      <w:pPr>
        <w:pStyle w:val="ListBullet"/>
      </w:pPr>
      <w:r>
        <w:rPr>
          <w:rFonts w:ascii="Arial" w:hAnsi="Arial"/>
          <w:sz w:val="22"/>
        </w:rPr>
        <w:t>Venv dependencies installed (pip install -r requirements.txt)</w:t>
      </w:r>
    </w:p>
    <w:p>
      <w:pPr>
        <w:pStyle w:val="ListBullet"/>
      </w:pPr>
      <w:r>
        <w:rPr>
          <w:rFonts w:ascii="Arial" w:hAnsi="Arial"/>
          <w:sz w:val="22"/>
        </w:rPr>
        <w:t>.env.example completed with all required keys (Tradier, Polygon, FRED, Finnhub, R2, optional PAPER_TRADER_* runtime knobs)</w:t>
      </w:r>
    </w:p>
    <w:p>
      <w:pPr>
        <w:pStyle w:val="ListBullet"/>
      </w:pPr>
      <w:r>
        <w:rPr>
          <w:rFonts w:ascii="Arial" w:hAnsi="Arial"/>
          <w:sz w:val="22"/>
        </w:rPr>
        <w:t>URGENT block of action items cleared; next URGENT surfaces when Chris launches the v1 production study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4E79"/>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E7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