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the post-merge refresh, the Larger Universe v1/v2 study closes (2026-05-12 / 2026-05-13), the dashboard usability pass (2026-05-13), and the 2026-05-27 status refresh. Lives at docs/Project_State_Tracker.docx; edited directly via python-docx (the original regenerator at scripts/build_project_state_tracker.py was archived 2026-05-27 to scripts/archived/).</w:t>
      </w:r>
    </w:p>
    <w:p>
      <w:pPr>
        <w:pStyle w:val="Heading1"/>
      </w:pPr>
      <w:r>
        <w:t>Executive Summary</w:t>
      </w:r>
    </w:p>
    <w:p>
      <w:r>
        <w:rPr>
          <w:rFonts w:ascii="Arial" w:hAnsi="Arial"/>
          <w:b w:val="0"/>
          <w:i w:val="0"/>
          <w:sz w:val="22"/>
        </w:rPr>
        <w:t>Where the project stands as of 2026-05-27 (repo quiet since 2026-05-13; no commits in 14 days):</w:t>
      </w:r>
    </w:p>
    <w:p>
      <w:pPr>
        <w:pStyle w:val="ListBullet"/>
      </w:pPr>
      <w:r>
        <w:rPr>
          <w:rFonts w:ascii="Arial" w:hAnsi="Arial"/>
          <w:b/>
          <w:i w:val="0"/>
          <w:sz w:val="22"/>
        </w:rPr>
        <w:t>Equity research direction has matured into the contract-conformant study cadence.</w:t>
      </w:r>
      <w:r>
        <w:rPr>
          <w:rFonts w:ascii="Arial" w:hAnsi="Arial"/>
          <w:b w:val="0"/>
          <w:i w:val="0"/>
          <w:sz w:val="22"/>
        </w:rPr>
        <w:t xml:space="preserve"> Three legacy promoted strategies still live (#325, #842, #1852). Two contract-conformant studies — Larger Universe v1 (2026-05-12) and v2 (2026-05-13) — completed and were not promoted, but produced substantive methodology findings retained in architectural memos.</w:t>
      </w:r>
    </w:p>
    <w:p>
      <w:pPr>
        <w:pStyle w:val="ListBullet"/>
      </w:pPr>
      <w:r>
        <w:rPr>
          <w:rFonts w:ascii="Arial" w:hAnsi="Arial"/>
          <w:b/>
          <w:i w:val="0"/>
          <w:sz w:val="22"/>
        </w:rPr>
        <w:t>Crypto extension is paused.</w:t>
      </w:r>
      <w:r>
        <w:rPr>
          <w:rFonts w:ascii="Arial" w:hAnsi="Arial"/>
          <w:b w:val="0"/>
          <w:i w:val="0"/>
          <w:sz w:val="22"/>
        </w:rPr>
        <w:t xml:space="preserve"> 4-file stub on main (no change since 2026-05-11). Chris stayed on options. Crypto Phase 2 strategy code never started.</w:t>
      </w:r>
    </w:p>
    <w:p>
      <w:pPr>
        <w:pStyle w:val="ListBullet"/>
      </w:pPr>
      <w:r>
        <w:rPr>
          <w:rFonts w:ascii="Arial" w:hAnsi="Arial"/>
          <w:b/>
          <w:i w:val="0"/>
          <w:sz w:val="22"/>
        </w:rPr>
        <w:t>Options extension is idle pending Chris's v1 production study.</w:t>
      </w:r>
      <w:r>
        <w:rPr>
          <w:rFonts w:ascii="Arial" w:hAnsi="Arial"/>
          <w:b w:val="0"/>
          <w:i w:val="0"/>
          <w:sz w:val="22"/>
        </w:rPr>
        <w:t xml:space="preserve"> Sections 1-8 + 2.5 merged 2026-05-11; PR #15 (hang fix + concurrency refactor) merged 2026-05-11 (993527f); no commits to src/options/ or tests/options/ in the 16 days since. The v1 production study is ready to run; models/snapshots/options/ still absent as of 2026-05-27.</w:t>
      </w:r>
    </w:p>
    <w:p>
      <w:pPr>
        <w:pStyle w:val="ListBullet"/>
      </w:pPr>
      <w:r>
        <w:rPr>
          <w:rFonts w:ascii="Arial" w:hAnsi="Arial"/>
          <w:b/>
          <w:i w:val="0"/>
          <w:sz w:val="22"/>
        </w:rPr>
        <w:t>Cloud dashboard carries LU v1 + v2 contract-conformant content via git force-add; legacy R2 last synced 2026-05-11.</w:t>
      </w:r>
      <w:r>
        <w:rPr>
          <w:rFonts w:ascii="Arial" w:hAnsi="Arial"/>
          <w:b w:val="0"/>
          <w:i w:val="0"/>
          <w:sz w:val="22"/>
        </w:rPr>
        <w:t xml:space="preserve"> Legacy R2 manifest at git_sha 993527f. Contract-conformant LU v1/v2 study data on cloud via the git-force-add deploy pattern documented in dashboard_operations_v1.md. Options content still absent from R2 — no v1 study output yet.</w:t>
      </w:r>
    </w:p>
    <w:p>
      <w:pPr>
        <w:pStyle w:val="ListBullet"/>
      </w:pPr>
      <w:r>
        <w:rPr>
          <w:rFonts w:ascii="Arial" w:hAnsi="Arial"/>
          <w:b/>
          <w:i w:val="0"/>
          <w:sz w:val="22"/>
        </w:rPr>
        <w:t>Mike's venv is healthy.</w:t>
      </w:r>
      <w:r>
        <w:rPr>
          <w:rFonts w:ascii="Arial" w:hAnsi="Arial"/>
          <w:b w:val="0"/>
          <w:i w:val="0"/>
          <w:sz w:val="22"/>
        </w:rPr>
        <w:t xml:space="preserve"> Test collection bug fixed 2026-05-11 (c1346cd); truststore + pytest installed; full test suite runs.</w:t>
      </w:r>
    </w:p>
    <w:p>
      <w:pPr>
        <w:pStyle w:val="ListBullet"/>
      </w:pPr>
      <w:r>
        <w:rPr>
          <w:rFonts w:ascii="Arial" w:hAnsi="Arial"/>
          <w:b/>
          <w:i w:val="0"/>
          <w:sz w:val="22"/>
        </w:rPr>
        <w:t>.env.example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expansion was delivered via Finnhub Basic + Larger Universe v1 (2026-05-11).</w:t>
      </w:r>
      <w:r>
        <w:rPr>
          <w:rFonts w:ascii="Arial" w:hAnsi="Arial"/>
          <w:b w:val="0"/>
          <w:i w:val="0"/>
          <w:sz w:val="22"/>
        </w:rPr>
        <w:t xml:space="preserve"> Section 3 (Polygon piggyback) is now obsolete; Mike purchased Finnhub Basic ($49.99/mo) and the LU v1 snapshot is the result (2,122 tickers; SP500 + SP400 + SP600 + last-decade delisted). stash@{0} retained for the retry/sanity-gate code but no longer load-bearing.</w:t>
      </w:r>
    </w:p>
    <w:p>
      <w:r>
        <w:rPr>
          <w:rFonts w:ascii="Arial" w:hAnsi="Arial"/>
          <w:b/>
          <w:i w:val="0"/>
          <w:sz w:val="22"/>
        </w:rPr>
        <w:t xml:space="preserve">Honest read: </w:t>
      </w:r>
      <w:r>
        <w:rPr>
          <w:rFonts w:ascii="Arial" w:hAnsi="Arial"/>
          <w:b w:val="0"/>
          <w:i w:val="0"/>
          <w:sz w:val="22"/>
        </w:rPr>
        <w:t>The project is in a quiet phase. URGENT items have remained cleared since 2026-05-11. The two completed studies (v1 + v2) produced findings that change v3's design but did not produce a promotable strategy. The next forcing function is Mike opening the v2.1 (trading costs) scoping conversation — sequenced but not yet started.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2026-05-27, no rows are red. Most rows are unchanged from 2026-05-13 — the repo has had no commits in 14 days.</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Pr>
                <w:rFonts w:ascii="Arial" w:hAnsi="Arial"/>
                <w:b w:val="0"/>
                <w:sz w:val="18"/>
              </w:rPr>
              <w:t>WORKING — R2 + git-deploy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Pr>
                <w:rFonts w:ascii="Arial" w:hAnsi="Arial"/>
                <w:b w:val="0"/>
                <w:sz w:val="18"/>
              </w:rPr>
              <w:t>Legacy R2 synced 2026-05-11 (993527f). LU v1/v2 contract data deployed via git force-add (see dashboard_operations_v1.md). No change since 2026-05-13.</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Pr>
                <w:rFonts w:ascii="Arial" w:hAnsi="Arial"/>
                <w:b w:val="0"/>
                <w:sz w:val="18"/>
              </w:rPr>
              <w:t>READY — pending Chris launch (no change in 14d)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Pr>
                <w:rFonts w:ascii="Arial" w:hAnsi="Arial"/>
                <w:b w:val="0"/>
                <w:sz w:val="18"/>
              </w:rPr>
              <w:t>Chris launches v1 production study. models/snapshots/options/ still absent as of 2026-05-27.</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Pr>
                <w:rFonts w:ascii="Arial" w:hAnsi="Arial"/>
                <w:b w:val="0"/>
                <w:sz w:val="18"/>
              </w:rPr>
              <w:t>Indefinitely; Chris on options. No code change since 2026-05-11.</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Pr>
                <w:rFonts w:ascii="Arial" w:hAnsi="Arial"/>
                <w:b w:val="0"/>
                <w:sz w:val="18"/>
              </w:rPr>
              <w:t>SUPERSEDED by LU v1 (2026-05-11)</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Pr>
                <w:rFonts w:ascii="Arial" w:hAnsi="Arial"/>
                <w:b w:val="0"/>
                <w:sz w:val="18"/>
              </w:rPr>
              <w:t>Universe expansion delivered via Finnhub-Basic-backed Larger Universe v1 snapshot (2,122 tickers; SP500+SP400+SP600+delisted). Original stash@{0} retained for retry/sanity-gate code.</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Pr>
                <w:rFonts w:ascii="Arial" w:hAnsi="Arial"/>
                <w:b w:val="0"/>
                <w:sz w:val="18"/>
              </w:rPr>
              <w:t>QUEUED — partially overtaken by LU v2 IC scope finding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Pr>
                <w:rFonts w:ascii="Arial" w:hAnsi="Arial"/>
                <w:b w:val="0"/>
                <w:sz w:val="18"/>
              </w:rPr>
              <w:t>Legacy-study exec summaries still don't carry the NVDA/META framing. v2's IC scope audit (top-quintile IC −0.004 under full-cross-section scope) is consistent with the original concentration finding. Still actionable but lower priority vs. v2.1 scoping.</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r>
        <w:tc>
          <w:tcPr>
            <w:tcW w:type="dxa" w:w="2736"/>
            <w:shd w:val="clear" w:color="auto" w:fill="FFF2CC"/>
          </w:tcPr>
          <w:p>
            <w:r>
              <w:rPr>
                <w:rFonts w:ascii="Arial" w:hAnsi="Arial"/>
                <w:b w:val="0"/>
                <w:sz w:val="18"/>
              </w:rPr>
              <w:t>v2.1 trading-costs study</w:t>
            </w:r>
          </w:p>
        </w:tc>
        <w:tc>
          <w:tcPr>
            <w:tcW w:type="dxa" w:w="2448"/>
            <w:shd w:val="clear" w:color="auto" w:fill="FFF2CC"/>
          </w:tcPr>
          <w:p>
            <w:r>
              <w:rPr>
                <w:rFonts w:ascii="Arial" w:hAnsi="Arial"/>
                <w:b w:val="0"/>
                <w:sz w:val="18"/>
              </w:rPr>
              <w:t>NOT STARTED — scoping is next conversation</w:t>
            </w:r>
          </w:p>
        </w:tc>
        <w:tc>
          <w:tcPr>
            <w:tcW w:type="dxa" w:w="1008"/>
            <w:shd w:val="clear" w:color="auto" w:fill="FFF2CC"/>
          </w:tcPr>
          <w:p>
            <w:r>
              <w:rPr>
                <w:rFonts w:ascii="Arial" w:hAnsi="Arial"/>
                <w:b w:val="0"/>
                <w:sz w:val="18"/>
              </w:rPr>
              <w:t>Mike</w:t>
            </w:r>
          </w:p>
        </w:tc>
        <w:tc>
          <w:tcPr>
            <w:tcW w:type="dxa" w:w="3168"/>
            <w:shd w:val="clear" w:color="auto" w:fill="FFF2CC"/>
          </w:tcPr>
          <w:p>
            <w:r>
              <w:rPr>
                <w:rFonts w:ascii="Arial" w:hAnsi="Arial"/>
                <w:b w:val="0"/>
                <w:sz w:val="18"/>
              </w:rPr>
              <w:t>Sequenced after LU v2 close. No scoping or code work in 14 days; may be the longest open queue item.</w:t>
            </w:r>
          </w:p>
        </w:tc>
      </w:tr>
      <w:tr>
        <w:tc>
          <w:tcPr>
            <w:tcW w:type="dxa" w:w="2736"/>
            <w:shd w:val="clear" w:color="auto" w:fill="D5E8D4"/>
          </w:tcPr>
          <w:p>
            <w:r>
              <w:rPr>
                <w:rFonts w:ascii="Arial" w:hAnsi="Arial"/>
                <w:b w:val="0"/>
                <w:sz w:val="18"/>
              </w:rPr>
              <w:t>Larger Universe v1 &amp; v2 studies</w:t>
            </w:r>
          </w:p>
        </w:tc>
        <w:tc>
          <w:tcPr>
            <w:tcW w:type="dxa" w:w="2448"/>
            <w:shd w:val="clear" w:color="auto" w:fill="D5E8D4"/>
          </w:tcPr>
          <w:p>
            <w:r>
              <w:rPr>
                <w:rFonts w:ascii="Arial" w:hAnsi="Arial"/>
                <w:b w:val="0"/>
                <w:sz w:val="18"/>
              </w:rPr>
              <w:t>COMPLETE — not promoted</w:t>
            </w:r>
          </w:p>
        </w:tc>
        <w:tc>
          <w:tcPr>
            <w:tcW w:type="dxa" w:w="1008"/>
            <w:shd w:val="clear" w:color="auto" w:fill="D5E8D4"/>
          </w:tcPr>
          <w:p>
            <w:r>
              <w:rPr>
                <w:rFonts w:ascii="Arial" w:hAnsi="Arial"/>
                <w:b w:val="0"/>
                <w:sz w:val="18"/>
              </w:rPr>
              <w:t>Mike</w:t>
            </w:r>
          </w:p>
        </w:tc>
        <w:tc>
          <w:tcPr>
            <w:tcW w:type="dxa" w:w="3168"/>
            <w:shd w:val="clear" w:color="auto" w:fill="D5E8D4"/>
          </w:tcPr>
          <w:p>
            <w:r>
              <w:rPr>
                <w:rFonts w:ascii="Arial" w:hAnsi="Arial"/>
                <w:b w:val="0"/>
                <w:sz w:val="18"/>
              </w:rPr>
              <w:t>v1: 2026-05-12 (4edcef5). v2: 2026-05-13 (b1d177a + 7ae3977). Both produced methodology findings; neither met promotion criteria.</w:t>
            </w:r>
          </w:p>
        </w:tc>
      </w:tr>
      <w:tr>
        <w:tc>
          <w:tcPr>
            <w:tcW w:type="dxa" w:w="2736"/>
            <w:shd w:val="clear" w:color="auto" w:fill="D5E8D4"/>
          </w:tcPr>
          <w:p>
            <w:r>
              <w:rPr>
                <w:rFonts w:ascii="Arial" w:hAnsi="Arial"/>
                <w:b w:val="0"/>
                <w:sz w:val="18"/>
              </w:rPr>
              <w:t>Dashboard usability pass</w:t>
            </w:r>
          </w:p>
        </w:tc>
        <w:tc>
          <w:tcPr>
            <w:tcW w:type="dxa" w:w="2448"/>
            <w:shd w:val="clear" w:color="auto" w:fill="D5E8D4"/>
          </w:tcPr>
          <w:p>
            <w:r>
              <w:rPr>
                <w:rFonts w:ascii="Arial" w:hAnsi="Arial"/>
                <w:b w:val="0"/>
                <w:sz w:val="18"/>
              </w:rPr>
              <w:t>COMPLETE 2026-05-13</w:t>
            </w:r>
          </w:p>
        </w:tc>
        <w:tc>
          <w:tcPr>
            <w:tcW w:type="dxa" w:w="1008"/>
            <w:shd w:val="clear" w:color="auto" w:fill="D5E8D4"/>
          </w:tcPr>
          <w:p>
            <w:r>
              <w:rPr>
                <w:rFonts w:ascii="Arial" w:hAnsi="Arial"/>
                <w:b w:val="0"/>
                <w:sz w:val="18"/>
              </w:rPr>
              <w:t>Mike</w:t>
            </w:r>
          </w:p>
        </w:tc>
        <w:tc>
          <w:tcPr>
            <w:tcW w:type="dxa" w:w="3168"/>
            <w:shd w:val="clear" w:color="auto" w:fill="D5E8D4"/>
          </w:tcPr>
          <w:p>
            <w:r>
              <w:rPr>
                <w:rFonts w:ascii="Arial" w:hAnsi="Arial"/>
                <w:b w:val="0"/>
                <w:sz w:val="18"/>
              </w:rPr>
              <w:t>Audience reframed to finance-fluent partners. Merge SHAs a9c63b1 + f258011. Style guide in dashboard_operations_v1.md.</w:t>
            </w:r>
          </w:p>
        </w:tc>
      </w:tr>
    </w:tbl>
    <w:p>
      <w:pPr>
        <w:pStyle w:val="Heading1"/>
      </w:pPr>
      <w:r>
        <w:t>Operating Principles</w:t>
      </w:r>
    </w:p>
    <w:p>
      <w:pPr/>
      <w:r>
        <w:rPr>
          <w:i/>
        </w:rPr>
        <w:t>Status: canonical for this project as of 2026-05-12. All partners and any Claude instance operating in this project work from these principles.</w:t>
      </w:r>
    </w:p>
    <w:p>
      <w:pPr>
        <w:pStyle w:val="Heading2"/>
      </w:pPr>
      <w:r>
        <w:t>Project goal</w:t>
      </w:r>
    </w:p>
    <w:p>
      <w:pPr/>
      <w:r>
        <w:t>Build a deployable equity strategy that produces excess returns versus SPY in production. The eventual output is an algorithm running with real capital, not a study that documents methodology. Every decision should be evaluated against whether it advances this goal.</w:t>
      </w:r>
    </w:p>
    <w:p>
      <w:pPr/>
      <w:r>
        <w:t>This is a long-horizon goal. Individual studies (v1, v2, etc.) are stepping stones; promotion of a strategy to deployment requires meeting all pre-committed success criteria including drawdown, concentration, and risk-adjusted return thresholds. Documenting failures honestly is part of the path forward, but documentation is not the destination — the destination is a strategy in production.</w:t>
      </w:r>
    </w:p>
    <w:p>
      <w:pPr>
        <w:pStyle w:val="Heading2"/>
      </w:pPr>
      <w:r>
        <w:t>Decision principles</w:t>
      </w:r>
    </w:p>
    <w:p>
      <w:pPr/>
      <w:r>
        <w:t>Decisions in this project are evaluated against three criteria, in this order:</w:t>
      </w:r>
    </w:p>
    <w:p>
      <w:pPr>
        <w:pStyle w:val="ListBullet"/>
      </w:pPr>
      <w:r>
        <w:rPr>
          <w:b/>
        </w:rPr>
        <w:t>1. Accuracy.</w:t>
      </w:r>
      <w:r>
        <w:t xml:space="preserve"> Does this produce correct, honest, defensible results? Are methodology choices grounded in evidence rather than convenience? Are success criteria meaningful rather than trivially clearable?</w:t>
      </w:r>
    </w:p>
    <w:p>
      <w:pPr>
        <w:pStyle w:val="ListBullet"/>
      </w:pPr>
      <w:r>
        <w:rPr>
          <w:b/>
        </w:rPr>
        <w:t>2. Relevance.</w:t>
      </w:r>
      <w:r>
        <w:t xml:space="preserve"> Does this work contribute to the eventual deployable algorithm, or is it incidental scaffolding that feels productive but doesn't move toward shipping? Methodology findings have diminishing returns; at some point we need to surface answers that work, not just better understanding of why things don't work.</w:t>
      </w:r>
    </w:p>
    <w:p>
      <w:pPr>
        <w:pStyle w:val="ListBullet"/>
      </w:pPr>
      <w:r>
        <w:rPr>
          <w:b/>
        </w:rPr>
        <w:t>3. Goal-directedness.</w:t>
      </w:r>
      <w:r>
        <w:t xml:space="preserve"> Does this get us closer to a strategy in production? Not in backtesting, not in walk-forward analysis, not on paper — in actual deployment where real money is at risk.</w:t>
      </w:r>
    </w:p>
    <w:p>
      <w:pPr>
        <w:pStyle w:val="Heading2"/>
      </w:pPr>
      <w:r>
        <w:t>What this rules out</w:t>
      </w:r>
    </w:p>
    <w:p>
      <w:pPr>
        <w:pStyle w:val="ListBullet"/>
      </w:pPr>
      <w:r>
        <w:t>Time-based reasoning. "This would take a while" is not a valid argument against doing accurate, relevant, goal-aligned work. If it advances the goal, do it.</w:t>
      </w:r>
    </w:p>
    <w:p>
      <w:pPr>
        <w:pStyle w:val="ListBullet"/>
      </w:pPr>
      <w:r>
        <w:t>Convenience-based methodology choices. "Let's use the simpler metric because it's easier" is invalid if the simpler metric is less accurate.</w:t>
      </w:r>
    </w:p>
    <w:p>
      <w:pPr>
        <w:pStyle w:val="ListBullet"/>
      </w:pPr>
      <w:r>
        <w:t>Goalpost-moving. Success criteria pre-committed before a study runs are binding. Post-hoc adjustment of criteria to make a result look better than it is violates accuracy.</w:t>
      </w:r>
    </w:p>
    <w:p>
      <w:pPr>
        <w:pStyle w:val="ListBullet"/>
      </w:pPr>
      <w:r>
        <w:t>Methodology findings as substitutes for working strategies. Surfacing "we learned why this doesn't work" is valuable but doesn't constitute progress toward deployment.</w:t>
      </w:r>
    </w:p>
    <w:p>
      <w:pPr>
        <w:pStyle w:val="Heading2"/>
      </w:pPr>
      <w:r>
        <w:t>What this rules in</w:t>
      </w:r>
    </w:p>
    <w:p>
      <w:pPr>
        <w:pStyle w:val="ListBullet"/>
      </w:pPr>
      <w:r>
        <w:t>Pre-committed success criteria before any study runs. Quantitative, evaluated on appropriate time windows, applied uniformly.</w:t>
      </w:r>
    </w:p>
    <w:p>
      <w:pPr>
        <w:pStyle w:val="ListBullet"/>
      </w:pPr>
      <w:r>
        <w:t>Honest framing of mixed results. "Not promoted" is the correct outcome when criteria aren't met, regardless of how much work went into the study.</w:t>
      </w:r>
    </w:p>
    <w:p>
      <w:pPr>
        <w:pStyle w:val="ListBullet"/>
      </w:pPr>
      <w:r>
        <w:t>Methodology rigor that catches errors before they propagate. Phased gates, smoke tests, intermediate diagnostics before expensive compute.</w:t>
      </w:r>
    </w:p>
    <w:p>
      <w:pPr>
        <w:pStyle w:val="ListBullet"/>
      </w:pPr>
      <w:r>
        <w:t>Architectural memos when a study surfaces a methodology choice that affects future studies. These are how findings become institutional knowledge rather than oral tradition.</w:t>
      </w:r>
    </w:p>
    <w:p>
      <w:pPr>
        <w:pStyle w:val="Heading2"/>
      </w:pPr>
      <w:r>
        <w:t>Methodology principles we operate from</w:t>
      </w:r>
    </w:p>
    <w:p>
      <w:pPr/>
      <w:r>
        <w:t xml:space="preserve">These are derived from v1's experience and codified in architectural memos at </w:t>
      </w:r>
      <w:r>
        <w:t>docs/architecture/</w:t>
      </w:r>
      <w:r>
        <w:t>. New partners should read the memos themselves; this is a summary for context.</w:t>
      </w:r>
    </w:p>
    <w:p>
      <w:pPr/>
      <w:r>
        <w:rPr>
          <w:i/>
        </w:rPr>
        <w:t>Phased work with mandatory gates.</w:t>
      </w:r>
      <w:r>
        <w:t xml:space="preserve"> Studies are broken into phases (data preparation → model design → tuning → backtest → analysis → writeup) with explicit gates between phases. Each gate produces a report; work doesn't proceed without explicit approval. Rationale: catches errors when they're cheap to fix rather than after they've propagated through the rest of the work.</w:t>
      </w:r>
    </w:p>
    <w:p>
      <w:pPr/>
      <w:r>
        <w:rPr>
          <w:i/>
        </w:rPr>
        <w:t>Pre-committed success criteria.</w:t>
      </w:r>
      <w:r>
        <w:t xml:space="preserve"> Before any study runs, the criteria for success are specified quantitatively, on appropriate evaluation windows, with thresholds chosen ex ante. A study either meets these criteria or it doesn't; the criteria are not adjusted post-hoc to fit results.</w:t>
      </w:r>
    </w:p>
    <w:p>
      <w:pPr/>
      <w:r>
        <w:rPr>
          <w:i/>
        </w:rPr>
        <w:t>Dashboard as primary deliverable.</w:t>
      </w:r>
      <w:r>
        <w:t xml:space="preserve"> Partners and external reviewers interact with results through the dashboard, not through writeups. The dashboard renders the data; the writeup is supplementary narrative. This shapes implementation priority — the dashboard contract must support each study's analytical needs, and dashboard rendering quality matters more than writeup polish.</w:t>
      </w:r>
    </w:p>
    <w:p>
      <w:pPr/>
      <w:r>
        <w:rPr>
          <w:i/>
        </w:rPr>
        <w:t>Honest framing of mixed results.</w:t>
      </w:r>
      <w:r>
        <w:t xml:space="preserve"> When a study fails promotion criteria, the result is documented as failure, not reframed as success. This is the discipline that makes the project's record trustworthy.</w:t>
      </w:r>
    </w:p>
    <w:p>
      <w:pPr/>
      <w:r>
        <w:rPr>
          <w:i/>
        </w:rPr>
        <w:t>On-demand sanity checking.</w:t>
      </w:r>
      <w:r>
        <w:t xml:space="preserve"> Sanity-check models (alternative model classes) are run on-demand when a primary-model result is strong enough to warrant scrutiny, not as default parallel runs. Triggers and discipline guardrails are in </w:t>
      </w:r>
      <w:r>
        <w:t>docs/architecture/sanity_check_methodology_v1.md</w:t>
      </w:r>
      <w:r>
        <w:t>.</w:t>
      </w:r>
    </w:p>
    <w:p>
      <w:pPr/>
      <w:r>
        <w:rPr>
          <w:i/>
        </w:rPr>
        <w:t>Top-quintile CV objective for top-N strategies.</w:t>
      </w:r>
      <w:r>
        <w:t xml:space="preserve"> ML studies that build top-N portfolios use top-quintile Spearman IC as the primary CV objective, with full-cross-section IC reported alongside for comparison. Rationale in </w:t>
      </w:r>
      <w:r>
        <w:t>docs/architecture/ml_study_cv_objectives_v1.md</w:t>
      </w:r>
      <w:r>
        <w:t>.</w:t>
      </w:r>
    </w:p>
    <w:p>
      <w:pPr/>
      <w:r>
        <w:rPr>
          <w:i/>
        </w:rPr>
        <w:t>Reserved validation periods stay reserved.</w:t>
      </w:r>
      <w:r>
        <w:t xml:space="preserve"> Studies have a final hold-out window that is deliberately not analyzed during the study itself, only examined at the writeup stage as an independent generalization check. The distinction between "test window" (analyzed) and "reserved validation window" (untouched until final) is methodological, not just nomenclature.</w:t>
      </w:r>
    </w:p>
    <w:p>
      <w:pPr>
        <w:pStyle w:val="Heading2"/>
      </w:pPr>
      <w:r>
        <w:t>Working with Claude instances on this project</w:t>
      </w:r>
    </w:p>
    <w:p>
      <w:pPr/>
      <w:r>
        <w:t>Any partner using Claude (either claude.ai or Claude Code) should ensure their Claude instance is operating from these principles. Specifically:</w:t>
      </w:r>
    </w:p>
    <w:p>
      <w:pPr>
        <w:pStyle w:val="ListBullet"/>
      </w:pPr>
      <w:r>
        <w:t>Reject time-based arguments. If a Claude instance suggests deferring work because it would take a while, or proposes a simpler approach because it's faster, that's grounds to push back. The principles above don't include time as a decision input.</w:t>
      </w:r>
    </w:p>
    <w:p>
      <w:pPr>
        <w:pStyle w:val="ListBullet"/>
      </w:pPr>
      <w:r>
        <w:t>Expect honest framing. Claude should call out methodological concerns, push back when proposed framings drift from what evidence supports, and not soften results to make them sound better than they are.</w:t>
      </w:r>
    </w:p>
    <w:p>
      <w:pPr>
        <w:pStyle w:val="ListBullet"/>
      </w:pPr>
      <w:r>
        <w:t xml:space="preserve">Verify against architectural memos. When designing new studies or proposing methodology changes, the architectural memos in </w:t>
      </w:r>
      <w:r>
        <w:t>docs/architecture/</w:t>
      </w:r>
      <w:r>
        <w:t xml:space="preserve"> are canonical. New Claude instances should read them, not re-derive their findings.</w:t>
      </w:r>
    </w:p>
    <w:p>
      <w:pPr>
        <w:pStyle w:val="ListBullet"/>
      </w:pPr>
      <w:r>
        <w:t>Maintain the gate discipline. Phased work with mandatory stop-and-report gates is the discipline that catches errors. Claude instances should propose appropriate gates for new work, not skip them for momentum.</w:t>
      </w:r>
    </w:p>
    <w:p>
      <w:pPr/>
      <w:r>
        <w:t>When a Claude instance shows signs of drifting from these principles (rushing through gates, softening results, time-based reasoning, treating methodology findings as substitutes for working strategies), push back. The principles are load-bearing; the project's track record depends on holding them.</w:t>
      </w:r>
    </w:p>
    <w:p>
      <w:pPr>
        <w:pStyle w:val="Heading2"/>
      </w:pPr>
      <w:r>
        <w:t>Studies as research-program contributions</w:t>
      </w:r>
    </w:p>
    <w:p>
      <w:pPr/>
      <w:r>
        <w:t>Failed studies — studies that produce no promoted strategy — are not wasted effort. They produce findings that change subsequent design decisions, and that information accumulation has real value alongside the project's stated goal of a deployable algorithm. v1 and v2 both produced findings (CV objectives memo, IC scope audit, signal-weakness demonstration, construction-limits demonstration) that have already changed what v3 will look like. In that sense, both studies succeeded at their research-program contribution even though neither produced a deployable strategy.</w:t>
      </w:r>
    </w:p>
    <w:p>
      <w:pPr/>
      <w:r>
        <w:t>This reframe holds alongside, not in place of, the original Operating Principle that "documentation is not the destination." Both principles are true:</w:t>
      </w:r>
    </w:p>
    <w:p>
      <w:pPr>
        <w:pStyle w:val="ListBullet"/>
      </w:pPr>
      <w:r>
        <w:t>Failed studies produce real value through information accumulation.</w:t>
      </w:r>
    </w:p>
    <w:p>
      <w:pPr>
        <w:pStyle w:val="ListBullet"/>
      </w:pPr>
      <w:r>
        <w:t>Methodology findings are not substitutes for working strategies.</w:t>
      </w:r>
    </w:p>
    <w:p>
      <w:pPr/>
      <w:r>
        <w:t>The synthesis is a practical discipline check applied to each proposed study:</w:t>
      </w:r>
    </w:p>
    <w:p>
      <w:pPr/>
      <w:r>
        <w:rPr>
          <w:b/>
        </w:rPr>
        <w:t>Discipline check.</w:t>
      </w:r>
      <w:r>
        <w:t xml:space="preserve"> For each proposed study, does the specific information it would produce change a meaningful decision in the project's path forward?</w:t>
      </w:r>
    </w:p>
    <w:p>
      <w:pPr>
        <w:pStyle w:val="ListBullet"/>
      </w:pPr>
      <w:r>
        <w:t>If yes: the study is justified. Run it.</w:t>
      </w:r>
    </w:p>
    <w:p>
      <w:pPr>
        <w:pStyle w:val="ListBullet"/>
      </w:pPr>
      <w:r>
        <w:t>If no: if the study would produce findings that mostly confirm what we already know without changing any subsequent design decision, skip it.</w:t>
      </w:r>
    </w:p>
    <w:p>
      <w:pPr/>
      <w:r>
        <w:t>This criterion requires judgment per study; it doesn't replace the pre-committed-criteria + phased-gates methodology. It supplements them at the scoping stage. When considering whether to authorize a new study, the question "what specific decision would its findings change?" should have a clear answer.</w:t>
      </w:r>
    </w:p>
    <w:p>
      <w:pPr/>
      <w:r>
        <w:rPr>
          <w:i/>
        </w:rPr>
        <w:t>Examples of studies that pass this check:</w:t>
      </w:r>
    </w:p>
    <w:p>
      <w:pPr>
        <w:pStyle w:val="ListBullet"/>
      </w:pPr>
      <w:r>
        <w:t>v2.1 (trading costs): we don't know whether cost reduction is material at this strategy's scale; finding out informs v3 design.</w:t>
      </w:r>
    </w:p>
    <w:p>
      <w:pPr>
        <w:pStyle w:val="ListBullet"/>
      </w:pPr>
      <w:r>
        <w:t>v2.2 (drawdown protection): v2 showed simple protection sacrifices too much return; we don't know if sophisticated approaches do better; finding out informs whether protection should be a v3 component.</w:t>
      </w:r>
    </w:p>
    <w:p>
      <w:pPr>
        <w:pStyle w:val="ListBullet"/>
      </w:pPr>
      <w:r>
        <w:t>v3 (signal extraction): the binding constraint identified by v2's audit; addresses the highest-leverage open question.</w:t>
      </w:r>
    </w:p>
    <w:p>
      <w:pPr/>
      <w:r>
        <w:rPr>
          <w:i/>
        </w:rPr>
        <w:t>Examples of studies that would NOT pass this check:</w:t>
      </w:r>
    </w:p>
    <w:p>
      <w:pPr>
        <w:pStyle w:val="ListBullet"/>
      </w:pPr>
      <w:r>
        <w:t>A v2.3 testing another similar portfolio construction variant: v2's cross-variant overlap finding (0.94 Spearman) suggested construction variants produce highly similar concentration profiles. We'd be confirming what we already know.</w:t>
      </w:r>
    </w:p>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Post-LU-v1 dashboard refinements — 2026-05-12</w:t>
      </w:r>
    </w:p>
    <w:p>
      <w:pPr/>
      <w:r>
        <w:t>After Larger Universe v1 closed, four narrow follow-ups landed on main as separate feature branches: an add_vline render-bug fix, a Tuning-tab parity enhancement (with contract additions), a primary-model selector-default fix, and an Overview-merge + terminology cleanup. Each was reviewed and merged via the standard --no-ff branch-policy pattern. The end-state below captures the current stable shape of the contract-conformant dashboard.</w:t>
      </w:r>
    </w:p>
    <w:p>
      <w:pPr>
        <w:pStyle w:val="Heading2"/>
      </w:pPr>
      <w:r>
        <w:t>Tab structure (7 tabs)</w:t>
      </w:r>
    </w:p>
    <w:p>
      <w:pPr/>
      <w:r>
        <w:t>The contract-conformant dashboard now renders seven universal tabs. Overview was promoted to executive summary by absorbing the headline NAV-vs-benchmarks chart from the former Performance tab; that chart sits directly above the headline metrics and gives visual context for the numbers that follow. The Performance tab is gone.</w:t>
      </w:r>
    </w:p>
    <w:p>
      <w:pPr>
        <w:pStyle w:val="ListBullet"/>
      </w:pPr>
      <w:r>
        <w:t>Overview — date-range header, NAV chart vs benchmarks with the reserved-validation marker, headline metrics per slice, concentration check, repeat-holding profile, objective + construction summary, and an explanatory note defining the reserved-validation period.</w:t>
      </w:r>
    </w:p>
    <w:p>
      <w:pPr>
        <w:pStyle w:val="ListBullet"/>
      </w:pPr>
      <w:r>
        <w:t>Holdings — per-model rebalance-date selector → positions table.</w:t>
      </w:r>
    </w:p>
    <w:p>
      <w:pPr>
        <w:pStyle w:val="ListBullet"/>
      </w:pPr>
      <w:r>
        <w:t>Trades — per-model round-trip trade list.</w:t>
      </w:r>
    </w:p>
    <w:p>
      <w:pPr>
        <w:pStyle w:val="ListBullet"/>
      </w:pPr>
      <w:r>
        <w:t>Alpha Attribution — per-model top-N alpha contributors with the 25% constraint line marked.</w:t>
      </w:r>
    </w:p>
    <w:p>
      <w:pPr>
        <w:pStyle w:val="ListBullet"/>
      </w:pPr>
      <w:r>
        <w:t>Diagnostics — IC decomposition (full vs top-quintile), decile returns with error bars, rolling 12-month win rate.</w:t>
      </w:r>
    </w:p>
    <w:p>
      <w:pPr>
        <w:pStyle w:val="ListBullet"/>
      </w:pPr>
      <w:r>
        <w:t>Walk-forward — per-window excess CAGR bars (rendered when walk_forward.parquet is present).</w:t>
      </w:r>
    </w:p>
    <w:p>
      <w:pPr>
        <w:pStyle w:val="ListBullet"/>
      </w:pPr>
      <w:r>
        <w:t>Tuning — narrative summary box quoting tuning_summary.json, score-distribution histogram, running-best convergence curve, per-parameter sensitivity scatter grid, collapsed trial log, preserved feature-importance section.</w:t>
      </w:r>
    </w:p>
    <w:p>
      <w:pPr>
        <w:pStyle w:val="Heading2"/>
      </w:pPr>
      <w:r>
        <w:t>Terminology convention</w:t>
      </w:r>
    </w:p>
    <w:p>
      <w:pPr/>
      <w:r>
        <w:t>Human-facing artifacts now use "Reserved validation period" (or "reserved validation window" / "reserved validation slice") where they previously used "OOS". The phrase "out-of-sample" remains correct when the surrounding context distinguishes model-level out-of-sample from analyst-level analysis discretion. Schema field names and Python code variables retain the technical "oos_*" names — the schema is short, technical, developer-facing; the UI is partner-facing and prioritizes legibility.</w:t>
      </w:r>
    </w:p>
    <w:p>
      <w:pPr>
        <w:pStyle w:val="ListBullet"/>
      </w:pPr>
      <w:r>
        <w:t>meta.json.windows.oos_start / oos_end — unchanged</w:t>
      </w:r>
    </w:p>
    <w:p>
      <w:pPr>
        <w:pStyle w:val="ListBullet"/>
      </w:pPr>
      <w:r>
        <w:t>meta.json.summary_metrics.oos — unchanged</w:t>
      </w:r>
    </w:p>
    <w:p>
      <w:pPr>
        <w:pStyle w:val="ListBullet"/>
      </w:pPr>
      <w:r>
        <w:t>Python variables (oos_start, oos_ms, etc.) — unchanged</w:t>
      </w:r>
    </w:p>
    <w:p>
      <w:pPr>
        <w:pStyle w:val="ListBullet"/>
      </w:pPr>
      <w:r>
        <w:t>Dashboard UI labels — "Reserved validation period"</w:t>
      </w:r>
    </w:p>
    <w:p>
      <w:pPr>
        <w:pStyle w:val="ListBullet"/>
      </w:pPr>
      <w:r>
        <w:t>Architectural memos and writeup narrative — "reserved validation" or contextually appropriate variant</w:t>
      </w:r>
    </w:p>
    <w:p>
      <w:pPr/>
      <w:r>
        <w:t>The terminology convention is formalized in docs/architecture/dashboard_contract_v1.md under the "Terminology convention — schema fields vs UI labels" section.</w:t>
      </w:r>
    </w:p>
    <w:p>
      <w:pPr>
        <w:pStyle w:val="Heading2"/>
      </w:pPr>
      <w:r>
        <w:t>New architectural reference</w:t>
      </w:r>
    </w:p>
    <w:p>
      <w:pPr/>
      <w:r>
        <w:t>docs/architecture/dashboard_operations_v1.md is a how-to-work-on-the-dashboard reference for future sessions — part tutorial, part architecture overview. Covers the legacy-vs-contract-conformant routing, cached loaders, role-aware model defaults, and four recipes (fix a render bug, add a chart to an existing tab, add a new optional contract artifact + section, add a whole new tab). Grounded in concrete examples from this project's history (tuning_convergence additive change, add_vline ms-since-epoch fix, primary-model-default fix, Overview merge + terminology cleanup).</w:t>
      </w:r>
    </w:p>
    <w:p>
      <w:pPr>
        <w:pStyle w:val="Heading2"/>
      </w:pPr>
      <w:r>
        <w:t>Standing follow-ups (unchanged)</w:t>
      </w:r>
    </w:p>
    <w:p>
      <w:pPr/>
      <w:r>
        <w:t>All tracked in the LU-v1 session log; none urgent. Mike decides when/whether to action.</w:t>
      </w:r>
    </w:p>
    <w:p>
      <w:pPr>
        <w:pStyle w:val="ListBullet"/>
      </w:pPr>
      <w:r>
        <w:t>use_container_width deprecation sweep — ~40 Streamlit warnings per page load; mechanical replace with width="stretch" / width="content". Affects both legacy and contract code.</w:t>
      </w:r>
    </w:p>
    <w:p>
      <w:pPr>
        <w:pStyle w:val="ListBullet"/>
      </w:pPr>
      <w:r>
        <w:t>Dashboard pytest coverage via streamlit.testing.v1.AppTest — no existing pytest coverage; harness pattern is the right shape for formal tests.</w:t>
      </w:r>
    </w:p>
    <w:p>
      <w:pPr>
        <w:pStyle w:val="ListBullet"/>
      </w:pPr>
      <w:r>
        <w:t>attempted_trials enhancement to tuning_summary.json — current total_trials is COMPLETE-only; future studies with high failure rates would benefit from surfacing the attempted-vs-complete split.</w:t>
      </w:r>
    </w:p>
    <w:p>
      <w:pPr>
        <w:pStyle w:val="ListBullet"/>
      </w:pPr>
      <w:r>
        <w:t>Convergence-pattern methodology memo — pending a third Optuna data point. XGBoost on LU-v1 plateaued at 61% of 200 trials; legacy v1 plateaued at ~33% of 1000 trials. A third study with documented convergence promotes this observation to an architectural memo.</w:t>
      </w:r>
    </w:p>
    <w:p>
      <w:pPr>
        <w:pStyle w:val="Heading2"/>
      </w:pPr>
      <w:r>
        <w:t>Merge SHAs (for traceability)</w:t>
      </w:r>
    </w:p>
    <w:p>
      <w:pPr>
        <w:pStyle w:val="ListBullet"/>
      </w:pPr>
      <w:r>
        <w:t>727bc0d — add_vline ms-since-epoch fix</w:t>
      </w:r>
    </w:p>
    <w:p>
      <w:pPr>
        <w:pStyle w:val="ListBullet"/>
      </w:pPr>
      <w:r>
        <w:t>b486e65 — Tuning-tab parity enhancement (tuning_convergence + tuning_summary contract additions)</w:t>
      </w:r>
    </w:p>
    <w:p>
      <w:pPr>
        <w:pStyle w:val="ListBullet"/>
      </w:pPr>
      <w:r>
        <w:t>235c8a6 — primary-model selector-default fix</w:t>
      </w:r>
    </w:p>
    <w:p>
      <w:pPr>
        <w:pStyle w:val="ListBullet"/>
      </w:pPr>
      <w:r>
        <w:t>Overview merge + terminology cleanup — pre-merge at time of this tracker entry; SHA filled in on the post-merge session-log entry.</w:t>
      </w:r>
    </w:p>
    <w:p>
      <w:pPr>
        <w:pStyle w:val="Heading1"/>
      </w:pPr>
      <w:r>
        <w:t>Larger Universe v2 study — COMPLETE (not promoted) — 2026-05-13</w:t>
      </w:r>
    </w:p>
    <w:p>
      <w:pPr/>
      <w:r>
        <w:t>Status: Complete on main. v2 code merged via PR #16 (squash merge b1d177a); v2 contract artifacts force-added at 7ae3977 per v1's existing pattern; dashboard operations doc updated at cacca9c. Cloud dashboard reads contract-conformant study data from the deployed git checkout; v2 visible to partners after the force-add.</w:t>
      </w:r>
    </w:p>
    <w:p>
      <w:pPr>
        <w:pStyle w:val="Heading2"/>
      </w:pPr>
      <w:r>
        <w:t>Headline disposition</w:t>
      </w:r>
    </w:p>
    <w:p>
      <w:pPr>
        <w:pStyle w:val="ListBullet"/>
      </w:pPr>
      <w:r>
        <w:t>No variant promoted; all 7 (baseline + B1-B6) classified as METHODOLOGY FINDING. B4 (concentration penalties) leads with 4/7 pass count; baseline / B2 / B5 / B6 at 3/7; B1 at 2/7; B3 at 1/7.</w:t>
      </w:r>
    </w:p>
    <w:p>
      <w:pPr>
        <w:pStyle w:val="ListBullet"/>
      </w:pPr>
      <w:r>
        <w:t>Substantive contribution is upstream of construction. An IC scope audit during Gate 4 revealed that v1's XGBoost model — held fixed in v2 by design — has near-zero cross-sectional signal under standard full-cross-section definitions on the test window (top-quintile IC −0.004, full IC −0.009, non-monotonic decile structure). v1's observed +3.5pp excess CAGR is consistent with tail-driven returns rather than durable ranking skill.</w:t>
      </w:r>
    </w:p>
    <w:p>
      <w:pPr>
        <w:pStyle w:val="ListBullet"/>
      </w:pPr>
      <w:r>
        <w:t>C5 (alpha concentration) universal failure is model-determined: cross-variant Spearman correlation of 0.94 on top alpha contributors; 14 of 28 top contributors shared across all 7 variants. Construction-side interventions do not redistribute concentration meaningfully.</w:t>
      </w:r>
    </w:p>
    <w:p>
      <w:pPr>
        <w:pStyle w:val="ListBullet"/>
      </w:pPr>
      <w:r>
        <w:t>C4 (drawdown ratio) failures are structural to long-only fully-invested top-30 equity: only gross-exposure-reducing variants (B1 vol-target, B5 defensive sleeves) pass. Other variants land at 1.71–1.76× SPY MaxDD regardless of selection logic.</w:t>
      </w:r>
    </w:p>
    <w:p>
      <w:pPr>
        <w:pStyle w:val="ListBullet"/>
      </w:pPr>
      <w:r>
        <w:t>Binding-constraint demonstration: for top-N equity strategies on this universe at this horizon, signal extraction (Mechanism A) is the binding constraint, not portfolio construction (Mechanism B) that v2 actually tested. This is the substantive v2 contribution.</w:t>
      </w:r>
    </w:p>
    <w:p>
      <w:pPr>
        <w:pStyle w:val="Heading2"/>
      </w:pPr>
      <w:r>
        <w:t>What was built</w:t>
      </w:r>
    </w:p>
    <w:p>
      <w:pPr>
        <w:pStyle w:val="ListBullet"/>
      </w:pPr>
      <w:r>
        <w:t>7 portfolio-construction variants under src/equities/portfolio_construction/ (BaselineVariant + VolTargetVariant + ConvictionWeightedVariant + DynamicTopNVariant + ConcentrationPenaltiesVariant + DefensiveSleevesVariant + SmallerCapsVariant). Shared cap-enforcement extracted to caps.py. ConstructionVariant ABC + ConstructionState dataclass + get_variant_by_name() factory.</w:t>
      </w:r>
    </w:p>
    <w:p>
      <w:pPr>
        <w:pStyle w:val="ListBullet"/>
      </w:pPr>
      <w:r>
        <w:t>Backtest engine refactor at src/equities/study/backtest.py adding optional construction_variant, spy_history, shy_prices parameters. v1 backward compat preserved bit-exactly — v2-baseline reproduces v1's pinned headline metrics and the full 739-row NAV series to floating-point identity.</w:t>
      </w:r>
    </w:p>
    <w:p>
      <w:pPr>
        <w:pStyle w:val="ListBullet"/>
      </w:pPr>
      <w:r>
        <w:t>4 new v2 runner scripts under scripts/research/: phase4_run_v2 (test-window backtest with shared-model optimization), phase5_walk_forward_v2 (per-window retrain + per-variant stats), build_comparison_results_v2 (per-criterion evaluation), phase5_analytics_v2 (per-variant decile + attribution + IC + win rate + concentration + cross-variant overlap).</w:t>
      </w:r>
    </w:p>
    <w:p>
      <w:pPr>
        <w:pStyle w:val="ListBullet"/>
      </w:pPr>
      <w:r>
        <w:t>IC scope audit + corrections. audit_v1_ic_scope.py reproduces v1's pinned ic_decomposition and decile_returns at three different price-universe scopes, demonstrating that v1's reported +0.048 top-quintile IC was held-subset (450 tickers) rather than the standard full-cross-section (1,963 tickers) interpretation. annotate_meta_artifact_scope.py patches existing meta.json files to add the new artifact_metadata field. Memo correction section appended to ml_study_cv_objectives_v1.md (preserves original prose).</w:t>
      </w:r>
    </w:p>
    <w:p>
      <w:pPr>
        <w:pStyle w:val="ListBullet"/>
      </w:pPr>
      <w:r>
        <w:t>Dashboard extensions: 8th Variant Comparison tab + sidebar variant selector with the 🔀 + (N variants) disambiguation suffix; new artifact_metadata schema field on meta.json for scope-sensitive analytics with controlled vocabulary (held_subset / full_cross_section / other); scope-aware rendering helpers that surface scope context inline above affected artifacts.</w:t>
      </w:r>
    </w:p>
    <w:p>
      <w:pPr>
        <w:pStyle w:val="ListBullet"/>
      </w:pPr>
      <w:r>
        <w:t>Results writeup at docs/studies/larger_universe_v2/results.md with the signal-weakness finding as the headline (centered per Mike's Gate 4 framing). Per-variant analytical findings support the headline; do not drive it. Honest framing throughout: what v2 does NOT establish (skill in other windows; tail-vs-skill decomposition; v3 success; memo recommendation survival) is documented as explicitly as what it does.</w:t>
      </w:r>
    </w:p>
    <w:p>
      <w:pPr>
        <w:pStyle w:val="Heading2"/>
      </w:pPr>
      <w:r>
        <w:t>Pointers</w:t>
      </w:r>
    </w:p>
    <w:p>
      <w:pPr>
        <w:pStyle w:val="ListBullet"/>
      </w:pPr>
      <w:r>
        <w:t>Writeup: docs/studies/larger_universe_v2/results.md</w:t>
      </w:r>
    </w:p>
    <w:p>
      <w:pPr>
        <w:pStyle w:val="ListBullet"/>
      </w:pPr>
      <w:r>
        <w:t>Session log: docs/sessions/larger_universe_v2/session_log.md (per-gate entries Gate 1 → Gate 5 + audit + corrections)</w:t>
      </w:r>
    </w:p>
    <w:p>
      <w:pPr>
        <w:pStyle w:val="ListBullet"/>
      </w:pPr>
      <w:r>
        <w:t>Pre-committed spec: docs/studies/larger_universe_v2/spec.md</w:t>
      </w:r>
    </w:p>
    <w:p>
      <w:pPr>
        <w:pStyle w:val="ListBullet"/>
      </w:pPr>
      <w:r>
        <w:t>Baseline reproducibility check: docs/studies/larger_universe_v2/baseline_reproducibility_check.md (bit-exact vs v1)</w:t>
      </w:r>
    </w:p>
    <w:p>
      <w:pPr>
        <w:pStyle w:val="ListBullet"/>
      </w:pPr>
      <w:r>
        <w:t>Gate 3 (b) phase-4 report: docs/studies/larger_universe_v2/gate3_phase4_report.md (per-variant criterion values + walk-forward stats)</w:t>
      </w:r>
    </w:p>
    <w:p>
      <w:pPr>
        <w:pStyle w:val="ListBullet"/>
      </w:pPr>
      <w:r>
        <w:t>IC scope audit: docs/studies/larger_universe_v1/ic_scope_audit.md</w:t>
      </w:r>
    </w:p>
    <w:p>
      <w:pPr>
        <w:pStyle w:val="ListBullet"/>
      </w:pPr>
      <w:r>
        <w:t>Dashboard rendering check: docs/studies/larger_universe_v1/dashboard_rendering_check.md</w:t>
      </w:r>
    </w:p>
    <w:p>
      <w:pPr>
        <w:pStyle w:val="ListBullet"/>
      </w:pPr>
      <w:r>
        <w:t>Contract artifacts (force-added per v1 pattern at 7ae3977): models/studies/larger_universe_v2/&lt;variant&gt;/contract_v1/ + models/studies/larger_universe_v2/comparison/ + models/studies/larger_universe_v2/variant_meta.json</w:t>
      </w:r>
    </w:p>
    <w:p>
      <w:pPr>
        <w:pStyle w:val="Heading2"/>
      </w:pPr>
      <w:r>
        <w:t>Merge SHAs (for traceability)</w:t>
      </w:r>
    </w:p>
    <w:p>
      <w:pPr>
        <w:pStyle w:val="ListBullet"/>
      </w:pPr>
      <w:r>
        <w:t>v2 code merge to main: b1d177a (PR #16, GitHub web-UI squash merge — bundles all 13 gate commits from feat/larger-universe-v2)</w:t>
      </w:r>
    </w:p>
    <w:p>
      <w:pPr>
        <w:pStyle w:val="ListBullet"/>
      </w:pPr>
      <w:r>
        <w:t>v2 contract artifacts force-add: 7ae3977 (90 files / ~10MB force-added to git per the same pattern v1 established at 5b96fd0)</w:t>
      </w:r>
    </w:p>
    <w:p>
      <w:pPr>
        <w:pStyle w:val="ListBullet"/>
      </w:pPr>
      <w:r>
        <w:t>Dashboard operations doc update: cacca9c (documents the two deployment paths — legacy via snapshot_for_cloud.py + R2, contract-conformant via git force-add + Streamlit Cloud auto-deploy from main)</w:t>
      </w:r>
    </w:p>
    <w:p>
      <w:pPr>
        <w:pStyle w:val="ListBullet"/>
      </w:pPr>
      <w:r>
        <w:t>Feature branch preserved at 104d164 (not deleted) — feat/larger-universe-v2 carries the per-gate commit history (13 commits Gate 1 → Gate 5) for git-archaeology purposes</w:t>
      </w:r>
    </w:p>
    <w:p>
      <w:pPr>
        <w:pStyle w:val="Heading2"/>
      </w:pPr>
      <w:r>
        <w:t>Three known follow-ups (post-v2)</w:t>
      </w:r>
    </w:p>
    <w:p>
      <w:pPr/>
      <w:r>
        <w:rPr>
          <w:i/>
        </w:rPr>
        <w:t>These are tracked workstreams that follow v2 closure. NOT pursued during v2 closure per the explicit discipline of bounded v2 scope.</w:t>
      </w:r>
    </w:p>
    <w:p>
      <w:pPr>
        <w:pStyle w:val="ListBullet"/>
      </w:pPr>
      <w:r>
        <w:rPr>
          <w:b/>
        </w:rPr>
        <w:t xml:space="preserve">1. CV-objectives memo recommendation re-justification </w:t>
      </w:r>
      <w:r>
        <w:rPr>
          <w:i/>
        </w:rPr>
        <w:t xml:space="preserve">(status: under review). </w:t>
      </w:r>
      <w:r>
        <w:t>The IC scope audit revealed that v1's reported XGBoost top-quintile IC of +0.048 was held-subset (450 tickers), not the standard full-cross-section (1,963 tickers) the memo's recommendation operationalizes. Under standard scope, top-quintile IC is −0.004 — sign reversal. The memo's recommendation's logical structure (top-quintile IC as the right CV objective for top-N portfolios) may or may not survive the corrected understanding; re-justification requires reasoning about CV objective design independent of v1's specific IC values. Future contract-conformant studies should NOT default to top_quintile_spearman_ic as CV objective on the memo alone until this resolves.</w:t>
      </w:r>
    </w:p>
    <w:p>
      <w:pPr>
        <w:pStyle w:val="ListBullet"/>
      </w:pPr>
      <w:r>
        <w:rPr>
          <w:b/>
        </w:rPr>
        <w:t xml:space="preserve">2. v3 scoping with Mechanism A as primary direction </w:t>
      </w:r>
      <w:r>
        <w:rPr>
          <w:i/>
        </w:rPr>
        <w:t xml:space="preserve">(next conversation). </w:t>
      </w:r>
      <w:r>
        <w:t>v2's findings strongly suggest Mechanism A (signal extraction) is the binding constraint for top-N equity strategies on this universe at this horizon. Specific v3 design questions (which Mechanism A levers — feature engineering, model class change, CV objective, universe filtering, sector neutralization, horizon — and whether v3 holds construction fixed or co-varies both) are deliberate conversation topics, not v2 closure items. v3 scoping is the next substantive conversation after v2 lands.</w:t>
      </w:r>
    </w:p>
    <w:p>
      <w:pPr>
        <w:pStyle w:val="ListBullet"/>
      </w:pPr>
      <w:r>
        <w:rPr>
          <w:b/>
        </w:rPr>
        <w:t xml:space="preserve">3. Contract-artifact deployment via git force-add </w:t>
      </w:r>
      <w:r>
        <w:rPr>
          <w:i/>
        </w:rPr>
        <w:t xml:space="preserve">(architectural question worth its own conversation). </w:t>
      </w:r>
      <w:r>
        <w:t>v1 and v2 both deploy contract-conformant study data to the cloud via git force-add (now documented in dashboard_operations_v1.md). snapshot_for_cloud.py covers only legacy dashboard_results/. The git-force-add pattern works but isn't ideal long-term — mixes binary data with code repo, cloud deploy doesn't cleanly support data updates without code changes. Possible directions: extend snapshot_for_cloud.py to cover contract data, move contract data to R2 with cloud dashboard fetching it, or accept the current pattern and document it as the project's standard. Worth its own conversation when convenient; not blocking.</w:t>
      </w:r>
    </w:p>
    <w:p>
      <w:pPr>
        <w:pStyle w:val="Heading1"/>
      </w:pPr>
      <w:r>
        <w:t>Dashboard usability pass — COMPLETE — 2026-05-13</w:t>
      </w:r>
    </w:p>
    <w:p>
      <w:pPr/>
      <w:r>
        <w:t>Status: complete on main. Substantive product evolution rather than a study event — the dashboard is the primary deliverable per the Operating Principles, and this pass reframed it from a data-exploration-tool-for-quants to an explained-findings-document-for-finance-fluent-non-quants.</w:t>
      </w:r>
    </w:p>
    <w:p>
      <w:pPr>
        <w:pStyle w:val="Heading2"/>
      </w:pPr>
      <w:r>
        <w:t>Headline</w:t>
      </w:r>
    </w:p>
    <w:p>
      <w:pPr>
        <w:pStyle w:val="ListBullet"/>
      </w:pPr>
      <w:r>
        <w:t>Audience reframed: dashboard now targets finance-fluent partners who trade their own brokerage accounts. They understand returns, drawdown, concentration, and "beat the market" framing; they do NOT speak Spearman correlation, Information Coefficient, hyperparameter tuning, decile bucketing, or in-sample/out-of-sample as language.</w:t>
      </w:r>
    </w:p>
    <w:p>
      <w:pPr>
        <w:pStyle w:val="ListBullet"/>
      </w:pPr>
      <w:r>
        <w:t>All 8 contract-conformant tabs treated with the same shape: "What this tab shows" header in plain English at the top; single-number callouts in plain-English framing (color-coded outperformance, $10K dollar-intuition growth, concentration check vs 25% guideline); headline visualization with plain caption; technical detail moved to descriptively-labeled expanders (collapsed by default); "Key takeaways" footer with 3-5 interpretive bullets derived from the data.</w:t>
      </w:r>
    </w:p>
    <w:p>
      <w:pPr>
        <w:pStyle w:val="ListBullet"/>
      </w:pPr>
      <w:r>
        <w:t>Style guide codified in docs/architecture/dashboard_operations_v1.md → "Dashboard content style guide" section. Covers audience characterization, vocabulary translation table (Spearman → ranking similarity, IC → skill score, CAGR → annual return, etc.), the standard 6-element tab shape, expander labeling rules, and the prune-over-add principle. Future tabs and future studies' dashboard content inherits this style.</w:t>
      </w:r>
    </w:p>
    <w:p>
      <w:pPr>
        <w:pStyle w:val="Heading2"/>
      </w:pPr>
      <w:r>
        <w:t>What changed</w:t>
      </w:r>
    </w:p>
    <w:p>
      <w:pPr>
        <w:pStyle w:val="ListBullet"/>
      </w:pPr>
      <w:r>
        <w:t>Overview: headline-performance callouts with color-coded outperformance, $10K growth vs SPY, drawdown comparison. Position-set details, Strategy configuration, and Full headline metrics table moved to expanders.</w:t>
      </w:r>
    </w:p>
    <w:p>
      <w:pPr>
        <w:pStyle w:val="ListBullet"/>
      </w:pPr>
      <w:r>
        <w:t>Holdings: concentration summary callouts (positions held, largest stock weight, top sector). Universe tier column dropped from the primary table per partner feedback (methodology detail, not partner-relevant).</w:t>
      </w:r>
    </w:p>
    <w:p>
      <w:pPr>
        <w:pStyle w:val="ListBullet"/>
      </w:pPr>
      <w:r>
        <w:t>Trades: trade-activity summary (total trades, rebalance trades, forced exits from delistings, total transaction costs). Most-active-month surfaced in plain language.</w:t>
      </w:r>
    </w:p>
    <w:p>
      <w:pPr>
        <w:pStyle w:val="ListBullet"/>
      </w:pPr>
      <w:r>
        <w:t>Alpha Attribution: reframed as "which stocks drove performance." Concentration assessment callout against 25% guideline. Top 5 contributors callout. Full per-stock table moved to expander.</w:t>
      </w:r>
    </w:p>
    <w:p>
      <w:pPr>
        <w:pStyle w:val="ListBullet"/>
      </w:pPr>
      <w:r>
        <w:t>Diagnostics (biggest reframe): "skill score" replaces "top-quintile IC" as the headline; 12-month rolling win rate as a callout. Per-decile breakdown, IC decomposition table, and rolling-win-rate detail all moved to expanders. Explainer expander describes what the skill score measures without external industry calibration claims.</w:t>
      </w:r>
    </w:p>
    <w:p>
      <w:pPr>
        <w:pStyle w:val="ListBullet"/>
      </w:pPr>
      <w:r>
        <w:t>Walk-forward: 3 top callouts (years beating S&amp;P 500, average yearly outperformance, year-to-year variability). Per-window outperformance bar chart promoted to visible headline (color-coded green/red, regime annotations). Cumulative growth chart promoted out of expander, visible below the bar chart. Per-window summary stat list removed. Key takeaways dynamically identify the most-influential window for variability.</w:t>
      </w:r>
    </w:p>
    <w:p>
      <w:pPr>
        <w:pStyle w:val="ListBullet"/>
      </w:pPr>
      <w:r>
        <w:t>Tuning: plain-English narrative summary describing what the configuration search did. Score histogram, convergence curve, per-parameter sensitivity, and full trial log all moved to technical expanders. Feature importance kept visible ("Which inputs the model weighted most") because it's concretely interpretable by the audience.</w:t>
      </w:r>
    </w:p>
    <w:p>
      <w:pPr>
        <w:pStyle w:val="ListBullet"/>
      </w:pPr>
      <w:r>
        <w:t>Variant Comparison (v2 only): voice polish on the verdict callout, cross-variant overlap caption, and honest framing footer. Mechanism A/B labels replaced with plain-English ("better stock-ranking" vs "portfolio construction approaches").</w:t>
      </w:r>
    </w:p>
    <w:p>
      <w:pPr>
        <w:pStyle w:val="Heading2"/>
      </w:pPr>
      <w:r>
        <w:t>Merge SHAs (for traceability)</w:t>
      </w:r>
    </w:p>
    <w:p>
      <w:pPr>
        <w:pStyle w:val="ListBullet"/>
      </w:pPr>
      <w:r>
        <w:t>Initial pass: bfc0f1f — plain-language treatment + interpretive takeaways across all 8 tabs. Includes new helper functions (_tab_header, _key_takeaways, _test_window_years, _dollar_growth, _format_pp, _format_pct, _primary_summary_metrics).</w:t>
      </w:r>
    </w:p>
    <w:p>
      <w:pPr>
        <w:pStyle w:val="ListBullet"/>
      </w:pPr>
      <w:r>
        <w:t>Refinement commits: d3c51c1 (skill-score range removal, Universe tier drop, Variant Comparison footer simplification) and c0bcf1e (Walk-forward tab restructure — bar chart and cumulative growth chart promoted, per-window summary stat list removed, Key takeaways dynamically identify variability-source window).</w:t>
      </w:r>
    </w:p>
    <w:p>
      <w:pPr>
        <w:pStyle w:val="ListBullet"/>
      </w:pPr>
      <w:r>
        <w:t>Merges to main: f258011 (initial pass + first refinements) and a9c63b1 (Walk-forward refinement). Both via --no-ff terminal merges, feature branch preserved at c0bcf1e.</w:t>
      </w:r>
    </w:p>
    <w:p>
      <w:pPr>
        <w:pStyle w:val="ListBullet"/>
      </w:pPr>
      <w:r>
        <w:t>AppTest smoke tests: all 8 cases (v1 single-variant + v2 baseline + 6 treatment variants) render with 0 exceptions across each refinement commit. No regression.</w:t>
      </w:r>
    </w:p>
    <w:p>
      <w:pPr>
        <w:pStyle w:val="Heading1"/>
      </w:pPr>
      <w:r>
        <w:t>Sequenced follow-up studies</w:t>
      </w:r>
    </w:p>
    <w:p>
      <w:pPr/>
      <w:r>
        <w:t>Three workstreams committed to in sequence, scoped in their own conversations when each becomes active.</w:t>
      </w:r>
    </w:p>
    <w:p>
      <w:pPr>
        <w:pStyle w:val="Heading2"/>
      </w:pPr>
      <w:r>
        <w:t>v2.1 — trading costs study (next active workstream)</w:t>
      </w:r>
    </w:p>
    <w:p>
      <w:pPr/>
      <w:r>
        <w:t>Mike's observation: real cost of jumping in and out of stocks; can the same long-term profit be achieved with less churn? Mechanism family: portfolio construction (Mechanism B). Test approaches under consideration: quarterly rebalancing, rebalance-threshold gating, minimum hold period, cost-aware optimization. Multi-variant follow-up study; scoping is its own conversation when active.</w:t>
      </w:r>
    </w:p>
    <w:p>
      <w:pPr>
        <w:pStyle w:val="Heading2"/>
      </w:pPr>
      <w:r>
        <w:t>v2.2 — drawdown protection study (after v2.1)</w:t>
      </w:r>
    </w:p>
    <w:p>
      <w:pPr/>
      <w:r>
        <w:t>Mike's observation from v2's NAV chart and walk-forward analysis: 2024–2025 outperformance was largely given back during the mid-2025 drawdown. v2-B1 (vol target) and v2-B5 (defensive sleeves) demonstrated protection works mechanically but sacrifices too much return at the simple-overlay level. v2.2 to test more sophisticated regime detection with finer-grained protection. Mechanism family: portfolio construction (Mechanism B).</w:t>
      </w:r>
    </w:p>
    <w:p>
      <w:pPr>
        <w:pStyle w:val="Heading2"/>
      </w:pPr>
      <w:r>
        <w:t>v3 — Mechanism A signal extraction (after v2.2)</w:t>
      </w:r>
    </w:p>
    <w:p>
      <w:pPr/>
      <w:r>
        <w:t>The binding constraint per v2's IC scope audit findings. Substantively different from v1/v2 design space: changes to feature engineering, model class, horizon, universe filtering, or alternative target definitions. Study scoping is its own conversation. v3 addresses the highest-leverage open question identified by v2.</w:t>
      </w:r>
    </w:p>
    <w:p>
      <w:pPr>
        <w:pStyle w:val="Heading1"/>
      </w:pPr>
      <w:r>
        <w:rPr>
          <w:rFonts w:ascii="Arial" w:hAnsi="Arial"/>
          <w:b/>
          <w:i w:val="0"/>
          <w:sz w:val="34"/>
        </w:rPr>
        <w:t>Follow-ups status update — 2026-05-27</w:t>
      </w:r>
    </w:p>
    <w:p>
      <w:r>
        <w:rPr>
          <w:rFonts w:ascii="Arial" w:hAnsi="Arial"/>
          <w:b w:val="0"/>
          <w:i w:val="0"/>
          <w:sz w:val="22"/>
        </w:rPr>
        <w:t>Refresh of the standing follow-ups list as of 2026-05-27. Repo has been quiet since 2026-05-13 (no commits in 14 days), so most items carry the same status with a date refresh. Items below supersede prior listings.</w:t>
      </w:r>
    </w:p>
    <w:p>
      <w:pPr>
        <w:pStyle w:val="ListBullet"/>
      </w:pPr>
      <w:r>
        <w:rPr>
          <w:rFonts w:ascii="Arial" w:hAnsi="Arial"/>
          <w:b/>
          <w:i w:val="0"/>
          <w:sz w:val="22"/>
        </w:rPr>
        <w:t xml:space="preserve">CV-objectives memo recommendation re-justification: </w:t>
      </w:r>
      <w:r>
        <w:rPr>
          <w:rFonts w:ascii="Arial" w:hAnsi="Arial"/>
          <w:b w:val="0"/>
          <w:i w:val="0"/>
          <w:sz w:val="22"/>
        </w:rPr>
        <w:t>still pending. The IC scope audit's correction stands; no work has happened since 2026-05-13. Future contract-conformant studies should not default to top_quintile_spearman_ic as CV objective on the memo alone until this resolves.</w:t>
      </w:r>
    </w:p>
    <w:p>
      <w:pPr>
        <w:pStyle w:val="ListBullet"/>
      </w:pPr>
      <w:r>
        <w:rPr>
          <w:rFonts w:ascii="Arial" w:hAnsi="Arial"/>
          <w:b/>
          <w:i w:val="0"/>
          <w:sz w:val="22"/>
        </w:rPr>
        <w:t xml:space="preserve">Contract-artifact deployment architecture (git force-add vs R2): </w:t>
      </w:r>
      <w:r>
        <w:rPr>
          <w:rFonts w:ascii="Arial" w:hAnsi="Arial"/>
          <w:b w:val="0"/>
          <w:i w:val="0"/>
          <w:sz w:val="22"/>
        </w:rPr>
        <w:t>still pending. v1 and v2 contract data continues to ship via the git-force-add pattern documented in dashboard_operations_v1.md. Question is unchanged.</w:t>
      </w:r>
    </w:p>
    <w:p>
      <w:pPr>
        <w:pStyle w:val="ListBullet"/>
      </w:pPr>
      <w:r>
        <w:rPr>
          <w:rFonts w:ascii="Arial" w:hAnsi="Arial"/>
          <w:b/>
          <w:i w:val="0"/>
          <w:sz w:val="22"/>
        </w:rPr>
        <w:t xml:space="preserve">use_container_width deprecation sweep: </w:t>
      </w:r>
      <w:r>
        <w:rPr>
          <w:rFonts w:ascii="Arial" w:hAnsi="Arial"/>
          <w:b w:val="0"/>
          <w:i w:val="0"/>
          <w:sz w:val="22"/>
        </w:rPr>
        <w:t>still pending. ~40 warnings/page load. Mechanical sweep; no progress.</w:t>
      </w:r>
    </w:p>
    <w:p>
      <w:pPr>
        <w:pStyle w:val="ListBullet"/>
      </w:pPr>
      <w:r>
        <w:rPr>
          <w:rFonts w:ascii="Arial" w:hAnsi="Arial"/>
          <w:b/>
          <w:i w:val="0"/>
          <w:sz w:val="22"/>
        </w:rPr>
        <w:t xml:space="preserve">Dashboard pytest coverage via AppTest harness: </w:t>
      </w:r>
      <w:r>
        <w:rPr>
          <w:rFonts w:ascii="Arial" w:hAnsi="Arial"/>
          <w:b w:val="0"/>
          <w:i w:val="0"/>
          <w:sz w:val="22"/>
        </w:rPr>
        <w:t>still pending. No regression test suite formalized.</w:t>
      </w:r>
    </w:p>
    <w:p>
      <w:pPr>
        <w:pStyle w:val="ListBullet"/>
      </w:pPr>
      <w:r>
        <w:rPr>
          <w:rFonts w:ascii="Arial" w:hAnsi="Arial"/>
          <w:b/>
          <w:i w:val="0"/>
          <w:sz w:val="22"/>
        </w:rPr>
        <w:t xml:space="preserve">attempted_trials enhancement to tuning_summary.json: </w:t>
      </w:r>
      <w:r>
        <w:rPr>
          <w:rFonts w:ascii="Arial" w:hAnsi="Arial"/>
          <w:b w:val="0"/>
          <w:i w:val="0"/>
          <w:sz w:val="22"/>
        </w:rPr>
        <w:t>still pending. Revisit when another study produces similarly-high failure rates.</w:t>
      </w:r>
    </w:p>
    <w:p>
      <w:pPr>
        <w:pStyle w:val="ListBullet"/>
      </w:pPr>
      <w:r>
        <w:rPr>
          <w:rFonts w:ascii="Arial" w:hAnsi="Arial"/>
          <w:b/>
          <w:i w:val="0"/>
          <w:sz w:val="22"/>
        </w:rPr>
        <w:t xml:space="preserve">Convergence-pattern methodology memo: </w:t>
      </w:r>
      <w:r>
        <w:rPr>
          <w:rFonts w:ascii="Arial" w:hAnsi="Arial"/>
          <w:b w:val="0"/>
          <w:i w:val="0"/>
          <w:sz w:val="22"/>
        </w:rPr>
        <w:t>still pending; two of three data points. Third comes when v3 runs.</w:t>
      </w:r>
    </w:p>
    <w:p>
      <w:pPr>
        <w:pStyle w:val="ListBullet"/>
      </w:pPr>
      <w:r>
        <w:rPr>
          <w:rFonts w:ascii="Arial" w:hAnsi="Arial"/>
          <w:b/>
          <w:i w:val="0"/>
          <w:sz w:val="22"/>
        </w:rPr>
        <w:t xml:space="preserve">Sync .env between Mike and Chris's machines: </w:t>
      </w:r>
      <w:r>
        <w:rPr>
          <w:rFonts w:ascii="Arial" w:hAnsi="Arial"/>
          <w:b w:val="0"/>
          <w:i w:val="0"/>
          <w:sz w:val="22"/>
        </w:rPr>
        <w:t>presumed done (offline coordination). No way to verify from repo state. Drop unless someone confirms it's still open.</w:t>
      </w:r>
    </w:p>
    <w:p>
      <w:pPr>
        <w:pStyle w:val="ListBullet"/>
      </w:pPr>
      <w:r>
        <w:rPr>
          <w:rFonts w:ascii="Arial" w:hAnsi="Arial"/>
          <w:b/>
          <w:i w:val="0"/>
          <w:sz w:val="22"/>
        </w:rPr>
        <w:t xml:space="preserve">NVDA/META dashboard surfacing on legacy promoted studies: </w:t>
      </w:r>
      <w:r>
        <w:rPr>
          <w:rFonts w:ascii="Arial" w:hAnsi="Arial"/>
          <w:b w:val="0"/>
          <w:i w:val="0"/>
          <w:sz w:val="22"/>
        </w:rPr>
        <w:t>still queued. Lower priority now that LU v1/v2 is the primary research direction and v2's IC scope audit reframes the finding.</w:t>
      </w:r>
    </w:p>
    <w:p>
      <w:pPr>
        <w:pStyle w:val="ListBullet"/>
      </w:pPr>
      <w:r>
        <w:rPr>
          <w:rFonts w:ascii="Arial" w:hAnsi="Arial"/>
          <w:b/>
          <w:i w:val="0"/>
          <w:sz w:val="22"/>
        </w:rPr>
        <w:t xml:space="preserve">Update Options_Extension_Decisions.md Status row: </w:t>
      </w:r>
      <w:r>
        <w:rPr>
          <w:rFonts w:ascii="Arial" w:hAnsi="Arial"/>
          <w:b w:val="0"/>
          <w:i w:val="0"/>
          <w:sz w:val="22"/>
        </w:rPr>
        <w:t>Chris-owned memo. Tracker still references stale 'Sections 1, 2, 3 merged' text vs. actual 1-8 + 2.5. Flagged for Chris, not Mike.</w:t>
      </w:r>
    </w:p>
    <w:p>
      <w:pPr>
        <w:pStyle w:val="Heading1"/>
      </w:pPr>
      <w:r>
        <w:rPr>
          <w:rFonts w:ascii="Arial" w:hAnsi="Arial"/>
          <w:b/>
          <w:i w:val="0"/>
          <w:sz w:val="34"/>
        </w:rPr>
        <w:t>Project state at end of session — 2026-05-27</w:t>
      </w:r>
    </w:p>
    <w:p>
      <w:r>
        <w:rPr>
          <w:rFonts w:ascii="Arial" w:hAnsi="Arial"/>
          <w:b w:val="0"/>
          <w:i w:val="0"/>
          <w:sz w:val="22"/>
        </w:rPr>
        <w:t>Snapshot for the next session to start from. Today is 2026-05-27; the last commit to main was 2026-05-13 (4f66ba8). 14 days of intentional pause — no code, no studies, no scoping. State below is therefore mostly unchanged from the 2026-05-13 snapshot, with date-refresh annotations.</w:t>
      </w:r>
    </w:p>
    <w:p>
      <w:pPr>
        <w:pStyle w:val="ListBullet"/>
      </w:pPr>
      <w:r>
        <w:rPr>
          <w:rFonts w:ascii="Arial" w:hAnsi="Arial"/>
          <w:b w:val="0"/>
          <w:i w:val="0"/>
          <w:sz w:val="22"/>
        </w:rPr>
        <w:t>Two completed studies (Larger Universe v1 and v2) on main. Neither promoted. Substantive methodology findings retained (CV-objectives memo + IC scope audit + signal-weakness demonstration + portfolio-construction-limits demonstration). No change since 2026-05-13.</w:t>
      </w:r>
    </w:p>
    <w:p>
      <w:pPr>
        <w:pStyle w:val="ListBullet"/>
      </w:pPr>
      <w:r>
        <w:rPr>
          <w:rFonts w:ascii="Arial" w:hAnsi="Arial"/>
          <w:b w:val="0"/>
          <w:i w:val="0"/>
          <w:sz w:val="22"/>
        </w:rPr>
        <w:t>Dashboard usability pass complete (2026-05-13). Partners can read project state without quant vocabulary. No regression observed; no further refinements in 14 days.</w:t>
      </w:r>
    </w:p>
    <w:p>
      <w:pPr>
        <w:pStyle w:val="ListBullet"/>
      </w:pPr>
      <w:r>
        <w:rPr>
          <w:rFonts w:ascii="Arial" w:hAnsi="Arial"/>
          <w:b w:val="0"/>
          <w:i w:val="0"/>
          <w:sz w:val="22"/>
        </w:rPr>
        <w:t>Three workstreams sequenced: v2.1 (trading costs) → v2.2 (drawdown protection) → v3 (Mechanism A signal extraction). v2.1 scoping is the next conversation but has not started. The 14-day gap is the longest the active queue has been idle since v1 began.</w:t>
      </w:r>
    </w:p>
    <w:p>
      <w:pPr>
        <w:pStyle w:val="ListBullet"/>
      </w:pPr>
      <w:r>
        <w:rPr>
          <w:rFonts w:ascii="Arial" w:hAnsi="Arial"/>
          <w:b w:val="0"/>
          <w:i w:val="0"/>
          <w:sz w:val="22"/>
        </w:rPr>
        <w:t>Partner workstreams unchanged. Options module identical to 2026-05-11 state (Sections 1-8 + 2.5 merged; PR #15 hang fix in place; v1 production study not yet launched; models/snapshots/options/ still absent). Crypto module identical to 2026-05-11 state (4-file stub: __init__.py, static_universe.py, types.py, universe.py).</w:t>
      </w:r>
    </w:p>
    <w:p>
      <w:pPr>
        <w:pStyle w:val="ListBullet"/>
      </w:pPr>
      <w:r>
        <w:rPr>
          <w:rFonts w:ascii="Arial" w:hAnsi="Arial"/>
          <w:b w:val="0"/>
          <w:i w:val="0"/>
          <w:sz w:val="22"/>
        </w:rPr>
        <w:t>Working tree clean; stash@{0} (SP1500 retry/sanity-gate) still stashed, no longer load-bearing now that LU v1 delivered the universe via Finnhub Basic.</w:t>
      </w:r>
    </w:p>
    <w:p>
      <w:pPr>
        <w:pStyle w:val="ListBullet"/>
      </w:pPr>
      <w:r>
        <w:rPr>
          <w:rFonts w:ascii="Arial" w:hAnsi="Arial"/>
          <w:b w:val="0"/>
          <w:i w:val="0"/>
          <w:sz w:val="22"/>
        </w:rPr>
        <w:t>Operating Principles unchanged. No methodology memos added or amended since 2026-05-13.</w:t>
      </w:r>
    </w:p>
    <w:p>
      <w:pPr>
        <w:pStyle w:val="ListBullet"/>
      </w:pPr>
      <w:r>
        <w:rPr>
          <w:rFonts w:ascii="Arial" w:hAnsi="Arial"/>
          <w:b w:val="0"/>
          <w:i w:val="0"/>
          <w:sz w:val="22"/>
        </w:rPr>
        <w:t>Next active conversation: v2.1 scoping (unchanged from 2026-05-13). No external blocker; idle by choice.</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and remain resolved as of 2026-05-27. Next URGENT item will surface when either (a) Chris launches the options v1 study, or (b) Mike opens the v2.1 scoping conversation. Neither has happened in the 14 days since 2026-05-13.</w:t>
      </w:r>
    </w:p>
    <w:p>
      <w:pPr>
        <w:pStyle w:val="Heading2"/>
      </w:pPr>
      <w:r>
        <w:t>HIGH (this week)</w:t>
      </w:r>
    </w:p>
    <w:p>
      <w:r>
        <w:rPr>
          <w:rFonts w:ascii="Arial" w:hAnsi="Arial"/>
          <w:b/>
          <w:i w:val="0"/>
          <w:sz w:val="22"/>
        </w:rPr>
        <w:t xml:space="preserve">Status as of 2026-05-27: </w:t>
      </w:r>
      <w:r>
        <w:rPr>
          <w:rFonts w:ascii="Arial" w:hAnsi="Arial"/>
          <w:b w:val="0"/>
          <w:i/>
          <w:sz w:val="22"/>
        </w:rPr>
        <w:t>None of the items below have changed in 14 days. Polygon piggyback (item 6) is obsolete — Finnhub Basic was purchased and LU v1 used it. NVDA/META surfacing is partially obsoleted by the LU v2 IC scope audit. Remaining items are coordination/cleanup, all paused by deliberate idle.</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sz w:val="22"/>
        </w:rPr>
        <w:t xml:space="preserve">Last updated: </w:t>
      </w:r>
      <w:r>
        <w:rPr>
          <w:rFonts w:ascii="Arial" w:hAnsi="Arial"/>
          <w:sz w:val="22"/>
        </w:rPr>
        <w:t>2026-05-27 (post-quiet-period refresh — regenerator script retired to scripts/archived/, status table refreshed for 14-day idle, LU v1/v2 + dashboard usability pass already captured in 2026-05-13 update kept verbatim, follow-ups + end-of-session entries replaced).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r>
        <w:tc>
          <w:tcPr>
            <w:tcW w:type="dxa" w:w="3744"/>
          </w:tcPr>
          <w:p>
            <w:r>
              <w:rPr>
                <w:rFonts w:ascii="Arial" w:hAnsi="Arial"/>
                <w:b w:val="0"/>
                <w:sz w:val="18"/>
              </w:rPr>
              <w:t>Project_State_Tracker.docx (LU v1 close)</w:t>
            </w:r>
          </w:p>
        </w:tc>
        <w:tc>
          <w:tcPr>
            <w:tcW w:type="dxa" w:w="1440"/>
          </w:tcPr>
          <w:p>
            <w:r>
              <w:rPr>
                <w:rFonts w:ascii="Arial" w:hAnsi="Arial"/>
                <w:b w:val="0"/>
                <w:sz w:val="18"/>
              </w:rPr>
              <w:t>2026-05-12</w:t>
            </w:r>
          </w:p>
        </w:tc>
        <w:tc>
          <w:tcPr>
            <w:tcW w:type="dxa" w:w="4176"/>
          </w:tcPr>
          <w:p>
            <w:r>
              <w:rPr>
                <w:rFonts w:ascii="Arial" w:hAnsi="Arial"/>
                <w:b w:val="0"/>
                <w:sz w:val="18"/>
              </w:rPr>
              <w:t>Larger Universe v1 study close + dashboard contract v1</w:t>
            </w:r>
          </w:p>
        </w:tc>
      </w:tr>
      <w:tr>
        <w:tc>
          <w:tcPr>
            <w:tcW w:type="dxa" w:w="3744"/>
          </w:tcPr>
          <w:p>
            <w:r>
              <w:rPr>
                <w:rFonts w:ascii="Arial" w:hAnsi="Arial"/>
                <w:b w:val="0"/>
                <w:sz w:val="18"/>
              </w:rPr>
              <w:t>Project_State_Tracker.docx (LU v2 close + usability pass)</w:t>
            </w:r>
          </w:p>
        </w:tc>
        <w:tc>
          <w:tcPr>
            <w:tcW w:type="dxa" w:w="1440"/>
          </w:tcPr>
          <w:p>
            <w:r>
              <w:rPr>
                <w:rFonts w:ascii="Arial" w:hAnsi="Arial"/>
                <w:b w:val="0"/>
                <w:sz w:val="18"/>
              </w:rPr>
              <w:t>2026-05-13</w:t>
            </w:r>
          </w:p>
        </w:tc>
        <w:tc>
          <w:tcPr>
            <w:tcW w:type="dxa" w:w="4176"/>
          </w:tcPr>
          <w:p>
            <w:r>
              <w:rPr>
                <w:rFonts w:ascii="Arial" w:hAnsi="Arial"/>
                <w:b w:val="0"/>
                <w:sz w:val="18"/>
              </w:rPr>
              <w:t>LU v2 close + dashboard usability pass + v2.1/v2.2/v3 sequencing</w:t>
            </w:r>
          </w:p>
        </w:tc>
      </w:tr>
      <w:tr>
        <w:tc>
          <w:tcPr>
            <w:tcW w:type="dxa" w:w="3744"/>
          </w:tcPr>
          <w:p>
            <w:r>
              <w:rPr>
                <w:rFonts w:ascii="Arial" w:hAnsi="Arial"/>
                <w:b w:val="0"/>
                <w:sz w:val="18"/>
              </w:rPr>
              <w:t>Project_State_Tracker.docx (post-quiet-period refresh)</w:t>
            </w:r>
          </w:p>
        </w:tc>
        <w:tc>
          <w:tcPr>
            <w:tcW w:type="dxa" w:w="1440"/>
          </w:tcPr>
          <w:p>
            <w:r>
              <w:rPr>
                <w:rFonts w:ascii="Arial" w:hAnsi="Arial"/>
                <w:b w:val="0"/>
                <w:sz w:val="18"/>
              </w:rPr>
              <w:t>2026-05-27</w:t>
            </w:r>
          </w:p>
        </w:tc>
        <w:tc>
          <w:tcPr>
            <w:tcW w:type="dxa" w:w="4176"/>
          </w:tcPr>
          <w:p>
            <w:r>
              <w:rPr>
                <w:rFonts w:ascii="Arial" w:hAnsi="Arial"/>
                <w:b w:val="0"/>
                <w:sz w:val="18"/>
              </w:rPr>
              <w:t>Date refresh, regenerator retired, status table updated for 14d idle</w:t>
            </w:r>
          </w:p>
        </w:tc>
      </w:tr>
      <w:tr>
        <w:tc>
          <w:tcPr>
            <w:tcW w:type="dxa" w:w="3744"/>
          </w:tcPr>
          <w:p>
            <w:r>
              <w:rPr>
                <w:rFonts w:ascii="Arial" w:hAnsi="Arial"/>
                <w:b w:val="0"/>
                <w:sz w:val="18"/>
              </w:rPr>
              <w:t>dashboard_contract_v1.md</w:t>
            </w:r>
          </w:p>
        </w:tc>
        <w:tc>
          <w:tcPr>
            <w:tcW w:type="dxa" w:w="1440"/>
          </w:tcPr>
          <w:p>
            <w:r>
              <w:rPr>
                <w:rFonts w:ascii="Arial" w:hAnsi="Arial"/>
                <w:b w:val="0"/>
                <w:sz w:val="18"/>
              </w:rPr>
              <w:t>2026-05-12</w:t>
            </w:r>
          </w:p>
        </w:tc>
        <w:tc>
          <w:tcPr>
            <w:tcW w:type="dxa" w:w="4176"/>
          </w:tcPr>
          <w:p>
            <w:r>
              <w:rPr>
                <w:rFonts w:ascii="Arial" w:hAnsi="Arial"/>
                <w:b w:val="0"/>
                <w:sz w:val="18"/>
              </w:rPr>
              <w:t>Dashboard rendering contract for contract-conformant studies</w:t>
            </w:r>
          </w:p>
        </w:tc>
      </w:tr>
      <w:tr>
        <w:tc>
          <w:tcPr>
            <w:tcW w:type="dxa" w:w="3744"/>
          </w:tcPr>
          <w:p>
            <w:r>
              <w:rPr>
                <w:rFonts w:ascii="Arial" w:hAnsi="Arial"/>
                <w:b w:val="0"/>
                <w:sz w:val="18"/>
              </w:rPr>
              <w:t>ml_study_cv_objectives_v1.md</w:t>
            </w:r>
          </w:p>
        </w:tc>
        <w:tc>
          <w:tcPr>
            <w:tcW w:type="dxa" w:w="1440"/>
          </w:tcPr>
          <w:p>
            <w:r>
              <w:rPr>
                <w:rFonts w:ascii="Arial" w:hAnsi="Arial"/>
                <w:b w:val="0"/>
                <w:sz w:val="18"/>
              </w:rPr>
              <w:t>2026-05-12</w:t>
            </w:r>
          </w:p>
        </w:tc>
        <w:tc>
          <w:tcPr>
            <w:tcW w:type="dxa" w:w="4176"/>
          </w:tcPr>
          <w:p>
            <w:r>
              <w:rPr>
                <w:rFonts w:ascii="Arial" w:hAnsi="Arial"/>
                <w:b w:val="0"/>
                <w:sz w:val="18"/>
              </w:rPr>
              <w:t>CV objective choice for top-N portfolio strategies (corrected via v2 IC scope audit)</w:t>
            </w:r>
          </w:p>
        </w:tc>
      </w:tr>
      <w:tr>
        <w:tc>
          <w:tcPr>
            <w:tcW w:type="dxa" w:w="3744"/>
          </w:tcPr>
          <w:p>
            <w:r>
              <w:rPr>
                <w:rFonts w:ascii="Arial" w:hAnsi="Arial"/>
                <w:b w:val="0"/>
                <w:sz w:val="18"/>
              </w:rPr>
              <w:t>sanity_check_methodology_v1.md</w:t>
            </w:r>
          </w:p>
        </w:tc>
        <w:tc>
          <w:tcPr>
            <w:tcW w:type="dxa" w:w="1440"/>
          </w:tcPr>
          <w:p>
            <w:r>
              <w:rPr>
                <w:rFonts w:ascii="Arial" w:hAnsi="Arial"/>
                <w:b w:val="0"/>
                <w:sz w:val="18"/>
              </w:rPr>
              <w:t>2026-05-12</w:t>
            </w:r>
          </w:p>
        </w:tc>
        <w:tc>
          <w:tcPr>
            <w:tcW w:type="dxa" w:w="4176"/>
          </w:tcPr>
          <w:p>
            <w:r>
              <w:rPr>
                <w:rFonts w:ascii="Arial" w:hAnsi="Arial"/>
                <w:b w:val="0"/>
                <w:sz w:val="18"/>
              </w:rPr>
              <w:t>On-demand sanity-check model methodology</w:t>
            </w:r>
          </w:p>
        </w:tc>
      </w:tr>
      <w:tr>
        <w:tc>
          <w:tcPr>
            <w:tcW w:type="dxa" w:w="3744"/>
          </w:tcPr>
          <w:p>
            <w:r>
              <w:rPr>
                <w:rFonts w:ascii="Arial" w:hAnsi="Arial"/>
                <w:b w:val="0"/>
                <w:sz w:val="18"/>
              </w:rPr>
              <w:t>dashboard_operations_v1.md</w:t>
            </w:r>
          </w:p>
        </w:tc>
        <w:tc>
          <w:tcPr>
            <w:tcW w:type="dxa" w:w="1440"/>
          </w:tcPr>
          <w:p>
            <w:r>
              <w:rPr>
                <w:rFonts w:ascii="Arial" w:hAnsi="Arial"/>
                <w:b w:val="0"/>
                <w:sz w:val="18"/>
              </w:rPr>
              <w:t>2026-05-12 / 2026-05-13</w:t>
            </w:r>
          </w:p>
        </w:tc>
        <w:tc>
          <w:tcPr>
            <w:tcW w:type="dxa" w:w="4176"/>
          </w:tcPr>
          <w:p>
            <w:r>
              <w:rPr>
                <w:rFonts w:ascii="Arial" w:hAnsi="Arial"/>
                <w:b w:val="0"/>
                <w:sz w:val="18"/>
              </w:rPr>
              <w:t>How-to reference for dashboard sessions; two deployment paths</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