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F4E79"/>
          <w:sz w:val="48"/>
        </w:rPr>
        <w:t>Paper Trader — Project State Tracker</w:t>
      </w:r>
    </w:p>
    <w:p>
      <w:r>
        <w:rPr>
          <w:rFonts w:ascii="Arial" w:hAnsi="Arial"/>
          <w:b w:val="0"/>
          <w:i/>
          <w:sz w:val="20"/>
        </w:rPr>
        <w:t>Canonical project-state doc. Built from the Claude Code audit (2026-05-11) plus strategic context — Polygon piggyback analysis, prioritization framing, cleanup commit summary, and the post-PR-#15-merge refresh. Lives at docs/Project_State_Tracker.docx; update via Claude Code when state changes meaningfully.</w:t>
      </w:r>
    </w:p>
    <w:p>
      <w:pPr>
        <w:pStyle w:val="Heading1"/>
      </w:pPr>
      <w:r>
        <w:t>Executive Summary</w:t>
      </w:r>
    </w:p>
    <w:p>
      <w:r>
        <w:rPr>
          <w:rFonts w:ascii="Arial" w:hAnsi="Arial"/>
          <w:b w:val="0"/>
          <w:i w:val="0"/>
          <w:sz w:val="22"/>
        </w:rPr>
        <w:t>Where the project actually stands as of May 11, 2026 (post-PR-#15-merge):</w:t>
      </w:r>
    </w:p>
    <w:p>
      <w:pPr>
        <w:pStyle w:val="ListBullet"/>
      </w:pPr>
      <w:r>
        <w:rPr>
          <w:rFonts w:ascii="Arial" w:hAnsi="Arial"/>
          <w:b/>
          <w:i w:val="0"/>
          <w:sz w:val="22"/>
        </w:rPr>
        <w:t>Equity research framework (Mike) is production-stable.</w:t>
      </w:r>
      <w:r>
        <w:rPr>
          <w:rFonts w:ascii="Arial" w:hAnsi="Arial"/>
          <w:b w:val="0"/>
          <w:i w:val="0"/>
          <w:sz w:val="22"/>
        </w:rPr>
        <w:t xml:space="preserve"> Three promoted studies live on the cloud. NVDA/META concentration finding documented but not yet surfaced in dashboard exec summaries.</w:t>
      </w:r>
    </w:p>
    <w:p>
      <w:pPr>
        <w:pStyle w:val="ListBullet"/>
      </w:pPr>
      <w:r>
        <w:rPr>
          <w:rFonts w:ascii="Arial" w:hAnsi="Arial"/>
          <w:b/>
          <w:i w:val="0"/>
          <w:sz w:val="22"/>
        </w:rPr>
        <w:t>Crypto extension is paused.</w:t>
      </w:r>
      <w:r>
        <w:rPr>
          <w:rFonts w:ascii="Arial" w:hAnsi="Arial"/>
          <w:b w:val="0"/>
          <w:i w:val="0"/>
          <w:sz w:val="22"/>
        </w:rPr>
        <w:t xml:space="preserve"> 4-file stub committed, Chris pivoted to options. Crypto Phase 2 strategy code never started.</w:t>
      </w:r>
    </w:p>
    <w:p>
      <w:pPr>
        <w:pStyle w:val="ListBullet"/>
      </w:pPr>
      <w:r>
        <w:rPr>
          <w:rFonts w:ascii="Arial" w:hAnsi="Arial"/>
          <w:b/>
          <w:i w:val="0"/>
          <w:sz w:val="22"/>
        </w:rPr>
        <w:t>Options extension is the active build-out.</w:t>
      </w:r>
      <w:r>
        <w:rPr>
          <w:rFonts w:ascii="Arial" w:hAnsi="Arial"/>
          <w:b w:val="0"/>
          <w:i w:val="0"/>
          <w:sz w:val="22"/>
        </w:rPr>
        <w:t xml:space="preserve"> Chris shipped Sections 1-8 + 2.5 to main over 2 days. PR #15 (hang fix + concurrency refactor) merged 2026-05-11 (commit 993527f); v1 production study is now ready to run and is pending Chris's launch.</w:t>
      </w:r>
    </w:p>
    <w:p>
      <w:pPr>
        <w:pStyle w:val="ListBullet"/>
      </w:pPr>
      <w:r>
        <w:rPr>
          <w:rFonts w:ascii="Arial" w:hAnsi="Arial"/>
          <w:b/>
          <w:i w:val="0"/>
          <w:sz w:val="22"/>
        </w:rPr>
        <w:t>Cloud dashboard equity content is current; options content is pending Chris's v1 study output.</w:t>
      </w:r>
      <w:r>
        <w:rPr>
          <w:rFonts w:ascii="Arial" w:hAnsi="Arial"/>
          <w:b w:val="0"/>
          <w:i w:val="0"/>
          <w:sz w:val="22"/>
        </w:rPr>
        <w:t xml:space="preserve"> R2 synced 2026-05-11 at git_sha 993527f. The options/ prefix stays empty in R2 until the v1 study produces artifacts under models/cache/options/.</w:t>
      </w:r>
    </w:p>
    <w:p>
      <w:pPr>
        <w:pStyle w:val="ListBullet"/>
      </w:pPr>
      <w:r>
        <w:rPr>
          <w:rFonts w:ascii="Arial" w:hAnsi="Arial"/>
          <w:b/>
          <w:i w:val="0"/>
          <w:sz w:val="22"/>
        </w:rPr>
        <w:t>Mike's venv is healthy.</w:t>
      </w:r>
      <w:r>
        <w:rPr>
          <w:rFonts w:ascii="Arial" w:hAnsi="Arial"/>
          <w:b w:val="0"/>
          <w:i w:val="0"/>
          <w:sz w:val="22"/>
        </w:rPr>
        <w:t xml:space="preserve"> Test collection bug fixed (commit c1346cd); truststore + pytest installed; full test suite runs.</w:t>
      </w:r>
    </w:p>
    <w:p>
      <w:pPr>
        <w:pStyle w:val="ListBullet"/>
      </w:pPr>
      <w:r>
        <w:rPr>
          <w:rFonts w:ascii="Arial" w:hAnsi="Arial"/>
          <w:b/>
          <w:i w:val="0"/>
          <w:sz w:val="22"/>
        </w:rPr>
        <w:t>.env.example now documents the full key set.</w:t>
      </w:r>
      <w:r>
        <w:rPr>
          <w:rFonts w:ascii="Arial" w:hAnsi="Arial"/>
          <w:b w:val="0"/>
          <w:i w:val="0"/>
          <w:sz w:val="22"/>
        </w:rPr>
        <w:t xml:space="preserve"> Tradier, Polygon, FRED, Finnhub, R2, plus the optional PAPER_TRADER_* runtime knobs — see Finding 4.</w:t>
      </w:r>
    </w:p>
    <w:p>
      <w:pPr>
        <w:pStyle w:val="ListBullet"/>
      </w:pPr>
      <w:r>
        <w:rPr>
          <w:rFonts w:ascii="Arial" w:hAnsi="Arial"/>
          <w:b/>
          <w:i w:val="0"/>
          <w:sz w:val="22"/>
        </w:rPr>
        <w:t>SP1500 universe expansion remains stashed, awaiting Finnhub TOS clarity.</w:t>
      </w:r>
      <w:r>
        <w:rPr>
          <w:rFonts w:ascii="Arial" w:hAnsi="Arial"/>
          <w:b w:val="0"/>
          <w:i w:val="0"/>
          <w:sz w:val="22"/>
        </w:rPr>
        <w:t xml:space="preserve"> Polygon/Massive (Chris's data source) may make this question obsolete — see Section 3 for the piggyback math.</w:t>
      </w:r>
    </w:p>
    <w:p>
      <w:r>
        <w:rPr>
          <w:rFonts w:ascii="Arial" w:hAnsi="Arial"/>
          <w:b/>
          <w:i w:val="0"/>
          <w:sz w:val="22"/>
        </w:rPr>
        <w:t xml:space="preserve">Honest read: </w:t>
      </w:r>
      <w:r>
        <w:rPr>
          <w:rFonts w:ascii="Arial" w:hAnsi="Arial"/>
          <w:b w:val="0"/>
          <w:i w:val="0"/>
          <w:sz w:val="22"/>
        </w:rPr>
        <w:t>URGENT items are now cleared. PR #15 is merged, equity R2 is current, venv dependencies are installed, .env.example is complete. The next forcing function is Chris launching the v1 production study — once that completes, options content gets uploaded to R2 and we get the first end-to-end options-side dashboard. Three different research domains (equity, crypto, options) coexist without conflict thanks to Phase 1's asset-class refactor.</w:t>
      </w:r>
    </w:p>
    <w:p>
      <w:pPr>
        <w:pStyle w:val="Heading2"/>
      </w:pPr>
      <w:r>
        <w:t>Status table at a glance</w:t>
      </w:r>
    </w:p>
    <w:p>
      <w:r>
        <w:rPr>
          <w:rFonts w:ascii="Arial" w:hAnsi="Arial"/>
          <w:b w:val="0"/>
          <w:i/>
          <w:sz w:val="20"/>
        </w:rPr>
        <w:t>Red rows are URGENT (blocking work); yellow rows are warnings (needs attention but not blocking); green rows are working as designed. As of 2026-05-11 post-merge, no rows are red.</w:t>
      </w:r>
    </w:p>
    <w:tbl>
      <w:tblPr>
        <w:tblW w:type="auto" w:w="0"/>
        <w:tblLayout w:type="fixed"/>
        <w:tblLook w:firstColumn="1" w:firstRow="1" w:lastColumn="0" w:lastRow="0" w:noHBand="0" w:noVBand="1" w:val="04A0"/>
      </w:tblPr>
      <w:tblGrid>
        <w:gridCol w:w="2736"/>
        <w:gridCol w:w="2448"/>
        <w:gridCol w:w="1008"/>
        <w:gridCol w:w="3168"/>
      </w:tblGrid>
      <w:tr>
        <w:tc>
          <w:tcPr>
            <w:tcW w:type="dxa" w:w="2340"/>
            <w:shd w:val="clear" w:color="auto" w:fill="1F4E79"/>
            <w:tcBorders>
              <w:top w:val="single" w:sz="4" w:color="808080"/>
              <w:left w:val="single" w:sz="4" w:color="808080"/>
              <w:bottom w:val="single" w:sz="4" w:color="808080"/>
              <w:right w:val="single" w:sz="4" w:color="808080"/>
            </w:tcBorders>
          </w:tcPr>
          <w:p>
            <w:r/>
            <w:r>
              <w:rPr>
                <w:rFonts w:ascii="Arial" w:hAnsi="Arial"/>
                <w:b/>
                <w:color w:val="FFFFFF"/>
                <w:sz w:val="20"/>
              </w:rPr>
              <w:t>Workstream</w:t>
            </w:r>
          </w:p>
        </w:tc>
        <w:tc>
          <w:tcPr>
            <w:tcW w:type="dxa" w:w="2340"/>
            <w:shd w:val="clear" w:color="auto" w:fill="1F4E79"/>
            <w:tcBorders>
              <w:top w:val="single" w:sz="4" w:color="808080"/>
              <w:left w:val="single" w:sz="4" w:color="808080"/>
              <w:bottom w:val="single" w:sz="4" w:color="808080"/>
              <w:right w:val="single" w:sz="4" w:color="808080"/>
            </w:tcBorders>
          </w:tcPr>
          <w:p>
            <w:r/>
            <w:r>
              <w:rPr>
                <w:rFonts w:ascii="Arial" w:hAnsi="Arial"/>
                <w:b/>
                <w:color w:val="FFFFFF"/>
                <w:sz w:val="20"/>
              </w:rPr>
              <w:t>Status</w:t>
            </w:r>
          </w:p>
        </w:tc>
        <w:tc>
          <w:tcPr>
            <w:tcW w:type="dxa" w:w="2340"/>
            <w:shd w:val="clear" w:color="auto" w:fill="1F4E79"/>
            <w:tcBorders>
              <w:top w:val="single" w:sz="4" w:color="808080"/>
              <w:left w:val="single" w:sz="4" w:color="808080"/>
              <w:bottom w:val="single" w:sz="4" w:color="808080"/>
              <w:right w:val="single" w:sz="4" w:color="808080"/>
            </w:tcBorders>
          </w:tcPr>
          <w:p>
            <w:r/>
            <w:r>
              <w:rPr>
                <w:rFonts w:ascii="Arial" w:hAnsi="Arial"/>
                <w:b/>
                <w:color w:val="FFFFFF"/>
                <w:sz w:val="20"/>
              </w:rPr>
              <w:t>Owner</w:t>
            </w:r>
          </w:p>
        </w:tc>
        <w:tc>
          <w:tcPr>
            <w:tcW w:type="dxa" w:w="2340"/>
            <w:shd w:val="clear" w:color="auto" w:fill="1F4E79"/>
            <w:tcBorders>
              <w:top w:val="single" w:sz="4" w:color="808080"/>
              <w:left w:val="single" w:sz="4" w:color="808080"/>
              <w:bottom w:val="single" w:sz="4" w:color="808080"/>
              <w:right w:val="single" w:sz="4" w:color="808080"/>
            </w:tcBorders>
          </w:tcPr>
          <w:p>
            <w:r/>
            <w:r>
              <w:rPr>
                <w:rFonts w:ascii="Arial" w:hAnsi="Arial"/>
                <w:b/>
                <w:color w:val="FFFFFF"/>
                <w:sz w:val="20"/>
              </w:rPr>
              <w:t>Blocker / Next</w:t>
            </w:r>
          </w:p>
        </w:tc>
      </w:tr>
      <w:tr>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Equity research framework</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WORKING</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Mike</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None; dashboard updates needed for NVDA/META finding</w:t>
            </w:r>
          </w:p>
        </w:tc>
      </w:tr>
      <w:tr>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Cloud dashboard (equities)</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WORKING — R2 current</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Mike</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Synced 2026-05-11 at git_sha 993527f</w:t>
            </w:r>
          </w:p>
        </w:tc>
      </w:tr>
      <w:tr>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Options Sections 1-8 + 2.5</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MERGED</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Chris</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Done; foundation for v1 study</w:t>
            </w:r>
          </w:p>
        </w:tc>
      </w:tr>
      <w:tr>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Options PR #15 (hang fix)</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MERGED</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Chris</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Merged 2026-05-11; commit 993527f</w:t>
            </w:r>
          </w:p>
        </w:tc>
      </w:tr>
      <w:tr>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Options v1 study</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READY — pending Chris launch</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Chris</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Chris launches v1 production study</w:t>
            </w:r>
          </w:p>
        </w:tc>
      </w:tr>
      <w:tr>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Crypto Phase 2 strategy code</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PAUSED — STUB ONLY</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Chris</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Indefinitely; Chris on options</w:t>
            </w:r>
          </w:p>
        </w:tc>
      </w:tr>
      <w:tr>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SP1500 expansion</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PAUSED — STASHED</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Mike</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Finnhub TOS OR pivot to Polygon (see §3)</w:t>
            </w:r>
          </w:p>
        </w:tc>
      </w:tr>
      <w:tr>
        <w:tc>
          <w:tcPr>
            <w:tcW w:type="dxa" w:w="2340"/>
            <w:tcBorders>
              <w:top w:val="single" w:sz="4" w:color="808080"/>
              <w:left w:val="single" w:sz="4" w:color="808080"/>
              <w:bottom w:val="single" w:sz="4" w:color="808080"/>
              <w:right w:val="single" w:sz="4" w:color="808080"/>
            </w:tcBorders>
          </w:tcPr>
          <w:p>
            <w:r/>
            <w:r>
              <w:rPr>
                <w:rFonts w:ascii="Arial" w:hAnsi="Arial"/>
                <w:sz w:val="18"/>
              </w:rPr>
              <w:t>NVDA/META dashboard surfacing</w:t>
            </w:r>
          </w:p>
        </w:tc>
        <w:tc>
          <w:tcPr>
            <w:tcW w:type="dxa" w:w="2340"/>
            <w:tcBorders>
              <w:top w:val="single" w:sz="4" w:color="808080"/>
              <w:left w:val="single" w:sz="4" w:color="808080"/>
              <w:bottom w:val="single" w:sz="4" w:color="808080"/>
              <w:right w:val="single" w:sz="4" w:color="808080"/>
            </w:tcBorders>
          </w:tcPr>
          <w:p>
            <w:r/>
            <w:r>
              <w:rPr>
                <w:rFonts w:ascii="Arial" w:hAnsi="Arial"/>
                <w:sz w:val="18"/>
              </w:rPr>
              <w:t>QUEUED</w:t>
            </w:r>
          </w:p>
        </w:tc>
        <w:tc>
          <w:tcPr>
            <w:tcW w:type="dxa" w:w="2340"/>
            <w:tcBorders>
              <w:top w:val="single" w:sz="4" w:color="808080"/>
              <w:left w:val="single" w:sz="4" w:color="808080"/>
              <w:bottom w:val="single" w:sz="4" w:color="808080"/>
              <w:right w:val="single" w:sz="4" w:color="808080"/>
            </w:tcBorders>
          </w:tcPr>
          <w:p>
            <w:r/>
            <w:r>
              <w:rPr>
                <w:rFonts w:ascii="Arial" w:hAnsi="Arial"/>
                <w:sz w:val="18"/>
              </w:rPr>
              <w:t>Mike</w:t>
            </w:r>
          </w:p>
        </w:tc>
        <w:tc>
          <w:tcPr>
            <w:tcW w:type="dxa" w:w="2340"/>
            <w:tcBorders>
              <w:top w:val="single" w:sz="4" w:color="808080"/>
              <w:left w:val="single" w:sz="4" w:color="808080"/>
              <w:bottom w:val="single" w:sz="4" w:color="808080"/>
              <w:right w:val="single" w:sz="4" w:color="808080"/>
            </w:tcBorders>
          </w:tcPr>
          <w:p>
            <w:r/>
            <w:r>
              <w:rPr>
                <w:rFonts w:ascii="Arial" w:hAnsi="Arial"/>
                <w:sz w:val="18"/>
              </w:rPr>
              <w:t>Small Claude Code session; commits ready (f46bd05)</w:t>
            </w:r>
          </w:p>
        </w:tc>
      </w:tr>
      <w:tr>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Test suite</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374 pass / 2 venv-fixable</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Shared</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Run pip install -r requirements.txt</w:t>
            </w:r>
          </w:p>
        </w:tc>
      </w:tr>
      <w:tr>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Repo hygiene</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CLEANED 2026-05-11</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Mike</w:t>
            </w:r>
          </w:p>
        </w:tc>
        <w:tc>
          <w:tcPr>
            <w:tcW w:type="dxa" w:w="2340"/>
            <w:shd w:val="clear" w:color="auto" w:fill="D5E8D4"/>
            <w:tcBorders>
              <w:top w:val="single" w:sz="4" w:color="808080"/>
              <w:left w:val="single" w:sz="4" w:color="808080"/>
              <w:bottom w:val="single" w:sz="4" w:color="808080"/>
              <w:right w:val="single" w:sz="4" w:color="808080"/>
            </w:tcBorders>
          </w:tcPr>
          <w:p>
            <w:r/>
            <w:r>
              <w:rPr>
                <w:rFonts w:ascii="Arial" w:hAnsi="Arial"/>
                <w:sz w:val="18"/>
              </w:rPr>
              <w:t>Commit 5c39cc5</w:t>
            </w:r>
          </w:p>
        </w:tc>
      </w:tr>
      <w:tr>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Options R2 sync</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PENDING — no v1 study output yet</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Chris</w:t>
            </w:r>
          </w:p>
        </w:tc>
        <w:tc>
          <w:tcPr>
            <w:tcW w:type="dxa" w:w="2340"/>
            <w:shd w:val="clear" w:color="auto" w:fill="FFF2CC"/>
            <w:tcBorders>
              <w:top w:val="single" w:sz="4" w:color="808080"/>
              <w:left w:val="single" w:sz="4" w:color="808080"/>
              <w:bottom w:val="single" w:sz="4" w:color="808080"/>
              <w:right w:val="single" w:sz="4" w:color="808080"/>
            </w:tcBorders>
          </w:tcPr>
          <w:p>
            <w:r/>
            <w:r>
              <w:rPr>
                <w:rFonts w:ascii="Arial" w:hAnsi="Arial"/>
                <w:sz w:val="18"/>
              </w:rPr>
              <w:t>Run v1 production study; that produces the artifacts snapshot_for_cloud.py expects under models/cache/options/</w:t>
            </w:r>
          </w:p>
        </w:tc>
      </w:tr>
    </w:tbl>
    <w:p>
      <w:pPr>
        <w:pStyle w:val="Heading1"/>
      </w:pPr>
      <w:r>
        <w:t>Claude Session Onboarding</w:t>
      </w:r>
    </w:p>
    <w:p>
      <w:r>
        <w:rPr>
          <w:rFonts w:ascii="Arial" w:hAnsi="Arial"/>
          <w:b w:val="0"/>
          <w:i w:val="0"/>
          <w:sz w:val="22"/>
        </w:rPr>
        <w:t>When opening a new Claude.ai or Claude Code session about this project, paste the prompt below into the first message. This gives Claude immediate context on project state, recent decisions, and what's in flight — so the session doesn't waste turns asking what the project is or rediscovering things this tracker already documents.</w:t>
      </w:r>
    </w:p>
    <w:tbl>
      <w:tblPr>
        <w:tblW w:type="auto" w:w="0"/>
        <w:tblLayout w:type="autofit"/>
        <w:tblLook w:firstColumn="1" w:firstRow="1" w:lastColumn="0" w:lastRow="0" w:noHBand="0" w:noVBand="1" w:val="04A0"/>
      </w:tblPr>
      <w:tblGrid>
        <w:gridCol w:w="9360"/>
      </w:tblGrid>
      <w:tr>
        <w:tc>
          <w:tcPr>
            <w:tcW w:type="dxa" w:w="9360"/>
            <w:shd w:val="clear" w:color="auto" w:fill="F5F5F5"/>
          </w:tcPr>
          <w:p>
            <w:pPr>
              <w:spacing w:after="0" w:before="0"/>
            </w:pPr>
            <w:r>
              <w:rPr>
                <w:rFonts w:ascii="Consolas" w:hAnsi="Consolas"/>
                <w:sz w:val="18"/>
              </w:rPr>
              <w:t>I'm working on a quant equity / options paper trading project at</w:t>
            </w:r>
          </w:p>
          <w:p>
            <w:pPr>
              <w:spacing w:after="0" w:before="0"/>
            </w:pPr>
            <w:r>
              <w:rPr>
                <w:rFonts w:ascii="Consolas" w:hAnsi="Consolas"/>
                <w:sz w:val="18"/>
              </w:rPr>
              <w:t>github.com/mteevan90/paper_trader_dashboard. Two contributors: Mike</w:t>
            </w:r>
          </w:p>
          <w:p>
            <w:pPr>
              <w:spacing w:after="0" w:before="0"/>
            </w:pPr>
            <w:r>
              <w:rPr>
                <w:rFonts w:ascii="Consolas" w:hAnsi="Consolas"/>
                <w:sz w:val="18"/>
              </w:rPr>
              <w:t>(equity research; account @mteevan90) and Chris (options + paused</w:t>
            </w:r>
          </w:p>
          <w:p>
            <w:pPr>
              <w:spacing w:after="0" w:before="0"/>
            </w:pPr>
            <w:r>
              <w:rPr>
                <w:rFonts w:ascii="Consolas" w:hAnsi="Consolas"/>
                <w:sz w:val="18"/>
              </w:rPr>
              <w:t>crypto; @cmjteevan).</w:t>
            </w:r>
          </w:p>
          <w:p>
            <w:pPr>
              <w:spacing w:after="0" w:before="0"/>
            </w:pPr>
            <w:r>
              <w:rPr>
                <w:rFonts w:ascii="Consolas" w:hAnsi="Consolas"/>
                <w:sz w:val="18"/>
              </w:rPr>
              <w:t xml:space="preserve"> </w:t>
            </w:r>
          </w:p>
          <w:p>
            <w:pPr>
              <w:spacing w:after="0" w:before="0"/>
            </w:pPr>
            <w:r>
              <w:rPr>
                <w:rFonts w:ascii="Consolas" w:hAnsi="Consolas"/>
                <w:sz w:val="18"/>
              </w:rPr>
              <w:t>Before answering my first question, please read these in order:</w:t>
            </w:r>
          </w:p>
          <w:p>
            <w:pPr>
              <w:spacing w:after="0" w:before="0"/>
            </w:pPr>
            <w:r>
              <w:rPr>
                <w:rFonts w:ascii="Consolas" w:hAnsi="Consolas"/>
                <w:sz w:val="18"/>
              </w:rPr>
              <w:t xml:space="preserve"> </w:t>
            </w:r>
          </w:p>
          <w:p>
            <w:pPr>
              <w:spacing w:after="0" w:before="0"/>
            </w:pPr>
            <w:r>
              <w:rPr>
                <w:rFonts w:ascii="Consolas" w:hAnsi="Consolas"/>
                <w:sz w:val="18"/>
              </w:rPr>
              <w:t>1. docs/Project_State_Tracker.docx — canonical current state, action</w:t>
            </w:r>
          </w:p>
          <w:p>
            <w:pPr>
              <w:spacing w:after="0" w:before="0"/>
            </w:pPr>
            <w:r>
              <w:rPr>
                <w:rFonts w:ascii="Consolas" w:hAnsi="Consolas"/>
                <w:sz w:val="18"/>
              </w:rPr>
              <w:t xml:space="preserve">   items, strategic context. THIS is your primary orientation doc.</w:t>
            </w:r>
          </w:p>
          <w:p>
            <w:pPr>
              <w:spacing w:after="0" w:before="0"/>
            </w:pPr>
            <w:r>
              <w:rPr>
                <w:rFonts w:ascii="Consolas" w:hAnsi="Consolas"/>
                <w:sz w:val="18"/>
              </w:rPr>
              <w:t xml:space="preserve"> </w:t>
            </w:r>
          </w:p>
          <w:p>
            <w:pPr>
              <w:spacing w:after="0" w:before="0"/>
            </w:pPr>
            <w:r>
              <w:rPr>
                <w:rFonts w:ascii="Consolas" w:hAnsi="Consolas"/>
                <w:sz w:val="18"/>
              </w:rPr>
              <w:t>2. docs/Comprehensive_User_Guide.docx — full technical reference</w:t>
            </w:r>
          </w:p>
          <w:p>
            <w:pPr>
              <w:spacing w:after="0" w:before="0"/>
            </w:pPr>
            <w:r>
              <w:rPr>
                <w:rFonts w:ascii="Consolas" w:hAnsi="Consolas"/>
                <w:sz w:val="18"/>
              </w:rPr>
              <w:t xml:space="preserve">   (architecture, data layer, dashboard patterns, gotchas). Reference</w:t>
            </w:r>
          </w:p>
          <w:p>
            <w:pPr>
              <w:spacing w:after="0" w:before="0"/>
            </w:pPr>
            <w:r>
              <w:rPr>
                <w:rFonts w:ascii="Consolas" w:hAnsi="Consolas"/>
                <w:sz w:val="18"/>
              </w:rPr>
              <w:t xml:space="preserve">   for depth.</w:t>
            </w:r>
          </w:p>
          <w:p>
            <w:pPr>
              <w:spacing w:after="0" w:before="0"/>
            </w:pPr>
            <w:r>
              <w:rPr>
                <w:rFonts w:ascii="Consolas" w:hAnsi="Consolas"/>
                <w:sz w:val="18"/>
              </w:rPr>
              <w:t xml:space="preserve"> </w:t>
            </w:r>
          </w:p>
          <w:p>
            <w:pPr>
              <w:spacing w:after="0" w:before="0"/>
            </w:pPr>
            <w:r>
              <w:rPr>
                <w:rFonts w:ascii="Consolas" w:hAnsi="Consolas"/>
                <w:sz w:val="18"/>
              </w:rPr>
              <w:t>3. docs/Project_State_Audit.docx — most recent audit from Claude Code</w:t>
            </w:r>
          </w:p>
          <w:p>
            <w:pPr>
              <w:spacing w:after="0" w:before="0"/>
            </w:pPr>
            <w:r>
              <w:rPr>
                <w:rFonts w:ascii="Consolas" w:hAnsi="Consolas"/>
                <w:sz w:val="18"/>
              </w:rPr>
              <w:t xml:space="preserve">   (2026-05-11), with file-level details on what's broken / stale /</w:t>
            </w:r>
          </w:p>
          <w:p>
            <w:pPr>
              <w:spacing w:after="0" w:before="0"/>
            </w:pPr>
            <w:r>
              <w:rPr>
                <w:rFonts w:ascii="Consolas" w:hAnsi="Consolas"/>
                <w:sz w:val="18"/>
              </w:rPr>
              <w:t xml:space="preserve">   clean.</w:t>
            </w:r>
          </w:p>
          <w:p>
            <w:pPr>
              <w:spacing w:after="0" w:before="0"/>
            </w:pPr>
            <w:r>
              <w:rPr>
                <w:rFonts w:ascii="Consolas" w:hAnsi="Consolas"/>
                <w:sz w:val="18"/>
              </w:rPr>
              <w:t xml:space="preserve"> </w:t>
            </w:r>
          </w:p>
          <w:p>
            <w:pPr>
              <w:spacing w:after="0" w:before="0"/>
            </w:pPr>
            <w:r>
              <w:rPr>
                <w:rFonts w:ascii="Consolas" w:hAnsi="Consolas"/>
                <w:sz w:val="18"/>
              </w:rPr>
              <w:t>4. docs/Options_Extension_Decisions.md — Chris's options architecture</w:t>
            </w:r>
          </w:p>
          <w:p>
            <w:pPr>
              <w:spacing w:after="0" w:before="0"/>
            </w:pPr>
            <w:r>
              <w:rPr>
                <w:rFonts w:ascii="Consolas" w:hAnsi="Consolas"/>
                <w:sz w:val="18"/>
              </w:rPr>
              <w:t xml:space="preserve">   decisions.</w:t>
            </w:r>
          </w:p>
          <w:p>
            <w:pPr>
              <w:spacing w:after="0" w:before="0"/>
            </w:pPr>
            <w:r>
              <w:rPr>
                <w:rFonts w:ascii="Consolas" w:hAnsi="Consolas"/>
                <w:sz w:val="18"/>
              </w:rPr>
              <w:t xml:space="preserve"> </w:t>
            </w:r>
          </w:p>
          <w:p>
            <w:pPr>
              <w:spacing w:after="0" w:before="0"/>
            </w:pPr>
            <w:r>
              <w:rPr>
                <w:rFonts w:ascii="Consolas" w:hAnsi="Consolas"/>
                <w:sz w:val="18"/>
              </w:rPr>
              <w:t>5. docs/Crypto_Extension_Decisions.md — Crypto extension architectural</w:t>
            </w:r>
          </w:p>
          <w:p>
            <w:pPr>
              <w:spacing w:after="0" w:before="0"/>
            </w:pPr>
            <w:r>
              <w:rPr>
                <w:rFonts w:ascii="Consolas" w:hAnsi="Consolas"/>
                <w:sz w:val="18"/>
              </w:rPr>
              <w:t xml:space="preserve">   decisions (extension is paused but doc is authoritative if work</w:t>
            </w:r>
          </w:p>
          <w:p>
            <w:pPr>
              <w:spacing w:after="0" w:before="0"/>
            </w:pPr>
            <w:r>
              <w:rPr>
                <w:rFonts w:ascii="Consolas" w:hAnsi="Consolas"/>
                <w:sz w:val="18"/>
              </w:rPr>
              <w:t xml:space="preserve">   resumes).</w:t>
            </w:r>
          </w:p>
          <w:p>
            <w:pPr>
              <w:spacing w:after="0" w:before="0"/>
            </w:pPr>
            <w:r>
              <w:rPr>
                <w:rFonts w:ascii="Consolas" w:hAnsi="Consolas"/>
                <w:sz w:val="18"/>
              </w:rPr>
              <w:t xml:space="preserve"> </w:t>
            </w:r>
          </w:p>
          <w:p>
            <w:pPr>
              <w:spacing w:after="0" w:before="0"/>
            </w:pPr>
            <w:r>
              <w:rPr>
                <w:rFonts w:ascii="Consolas" w:hAnsi="Consolas"/>
                <w:sz w:val="18"/>
              </w:rPr>
              <w:t>6. docs/future_work.md — deferred items, including hardware-aware work</w:t>
            </w:r>
          </w:p>
          <w:p>
            <w:pPr>
              <w:spacing w:after="0" w:before="0"/>
            </w:pPr>
            <w:r>
              <w:rPr>
                <w:rFonts w:ascii="Consolas" w:hAnsi="Consolas"/>
                <w:sz w:val="18"/>
              </w:rPr>
              <w:t xml:space="preserve">   allocation and distributed Optuna trigger.</w:t>
            </w:r>
          </w:p>
          <w:p>
            <w:pPr>
              <w:spacing w:after="0" w:before="0"/>
            </w:pPr>
            <w:r>
              <w:rPr>
                <w:rFonts w:ascii="Consolas" w:hAnsi="Consolas"/>
                <w:sz w:val="18"/>
              </w:rPr>
              <w:t xml:space="preserve"> </w:t>
            </w:r>
          </w:p>
          <w:p>
            <w:pPr>
              <w:spacing w:after="0" w:before="0"/>
            </w:pPr>
            <w:r>
              <w:rPr>
                <w:rFonts w:ascii="Consolas" w:hAnsi="Consolas"/>
                <w:sz w:val="18"/>
              </w:rPr>
              <w:t>Once you've read these, give me a 3-sentence summary of where the</w:t>
            </w:r>
          </w:p>
          <w:p>
            <w:pPr>
              <w:spacing w:after="0" w:before="0"/>
            </w:pPr>
            <w:r>
              <w:rPr>
                <w:rFonts w:ascii="Consolas" w:hAnsi="Consolas"/>
                <w:sz w:val="18"/>
              </w:rPr>
              <w:t>project stands and what URGENT items remain, then ask what I want to</w:t>
            </w:r>
          </w:p>
          <w:p>
            <w:pPr>
              <w:spacing w:after="0" w:before="0"/>
            </w:pPr>
            <w:r>
              <w:rPr>
                <w:rFonts w:ascii="Consolas" w:hAnsi="Consolas"/>
                <w:sz w:val="18"/>
              </w:rPr>
              <w:t>work on. Don't write any code or run any tools until I respond. Don't</w:t>
            </w:r>
          </w:p>
          <w:p>
            <w:pPr>
              <w:spacing w:after="0" w:before="0"/>
            </w:pPr>
            <w:r>
              <w:rPr>
                <w:rFonts w:ascii="Consolas" w:hAnsi="Consolas"/>
                <w:sz w:val="18"/>
              </w:rPr>
              <w:t>make assumptions about my role (Mike or Chris) — ask if it's not</w:t>
            </w:r>
          </w:p>
          <w:p>
            <w:pPr>
              <w:spacing w:after="0" w:before="0"/>
            </w:pPr>
            <w:r>
              <w:rPr>
                <w:rFonts w:ascii="Consolas" w:hAnsi="Consolas"/>
                <w:sz w:val="18"/>
              </w:rPr>
              <w:t>clear from context.</w:t>
            </w:r>
          </w:p>
          <w:p>
            <w:pPr>
              <w:spacing w:after="0" w:before="0"/>
            </w:pPr>
            <w:r>
              <w:rPr>
                <w:rFonts w:ascii="Consolas" w:hAnsi="Consolas"/>
                <w:sz w:val="18"/>
              </w:rPr>
              <w:t xml:space="preserve"> </w:t>
            </w:r>
          </w:p>
          <w:p>
            <w:pPr>
              <w:spacing w:after="0" w:before="0"/>
            </w:pPr>
            <w:r>
              <w:rPr>
                <w:rFonts w:ascii="Consolas" w:hAnsi="Consolas"/>
                <w:sz w:val="18"/>
              </w:rPr>
              <w:t>Key project conventions to absorb:</w:t>
            </w:r>
          </w:p>
          <w:p>
            <w:pPr>
              <w:spacing w:after="0" w:before="0"/>
            </w:pPr>
            <w:r>
              <w:rPr>
                <w:rFonts w:ascii="Consolas" w:hAnsi="Consolas"/>
                <w:sz w:val="18"/>
              </w:rPr>
              <w:t>- Mike owns equity work + shared infrastructure</w:t>
            </w:r>
          </w:p>
          <w:p>
            <w:pPr>
              <w:spacing w:after="0" w:before="0"/>
            </w:pPr>
            <w:r>
              <w:rPr>
                <w:rFonts w:ascii="Consolas" w:hAnsi="Consolas"/>
                <w:sz w:val="18"/>
              </w:rPr>
              <w:t>- Chris owns options + crypto code</w:t>
            </w:r>
          </w:p>
          <w:p>
            <w:pPr>
              <w:spacing w:after="0" w:before="0"/>
            </w:pPr>
            <w:r>
              <w:rPr>
                <w:rFonts w:ascii="Consolas" w:hAnsi="Consolas"/>
                <w:sz w:val="18"/>
              </w:rPr>
              <w:t>- CODEOWNERS in .github/ enforces cross-namespace boundaries</w:t>
            </w:r>
          </w:p>
          <w:p>
            <w:pPr>
              <w:spacing w:after="0" w:before="0"/>
            </w:pPr>
            <w:r>
              <w:rPr>
                <w:rFonts w:ascii="Consolas" w:hAnsi="Consolas"/>
                <w:sz w:val="18"/>
              </w:rPr>
              <w:t>- Cloud dashboard at paper-trader-mteev.streamlit.app (read-only,</w:t>
            </w:r>
          </w:p>
          <w:p>
            <w:pPr>
              <w:spacing w:after="0" w:before="0"/>
            </w:pPr>
            <w:r>
              <w:rPr>
                <w:rFonts w:ascii="Consolas" w:hAnsi="Consolas"/>
                <w:sz w:val="18"/>
              </w:rPr>
              <w:t xml:space="preserve">  R2-backed)</w:t>
            </w:r>
          </w:p>
          <w:p>
            <w:pPr>
              <w:spacing w:after="0" w:before="0"/>
            </w:pPr>
            <w:r>
              <w:rPr>
                <w:rFonts w:ascii="Consolas" w:hAnsi="Consolas"/>
                <w:sz w:val="18"/>
              </w:rPr>
              <w:t>- Asset-class-namespaced data layer: equities/, crypto/, options/</w:t>
            </w:r>
          </w:p>
          <w:p>
            <w:pPr>
              <w:spacing w:after="0" w:before="0"/>
            </w:pPr>
            <w:r>
              <w:rPr>
                <w:rFonts w:ascii="Consolas" w:hAnsi="Consolas"/>
                <w:sz w:val="18"/>
              </w:rPr>
              <w:t xml:space="preserve">  subdirs under models/cache/ and models/snapshots/</w:t>
            </w:r>
          </w:p>
          <w:p>
            <w:pPr>
              <w:spacing w:after="0" w:before="0"/>
            </w:pPr>
            <w:r>
              <w:rPr>
                <w:rFonts w:ascii="Consolas" w:hAnsi="Consolas"/>
                <w:sz w:val="18"/>
              </w:rPr>
              <w:t>- The tracker doc supersedes prior versions of any other handoff doc</w:t>
            </w:r>
          </w:p>
          <w:p>
            <w:pPr>
              <w:spacing w:after="0" w:before="0"/>
            </w:pPr>
            <w:r>
              <w:rPr>
                <w:rFonts w:ascii="Consolas" w:hAnsi="Consolas"/>
                <w:sz w:val="18"/>
              </w:rPr>
              <w:t xml:space="preserve"> </w:t>
            </w:r>
          </w:p>
          <w:p>
            <w:pPr>
              <w:spacing w:after="0" w:before="0"/>
            </w:pPr>
            <w:r>
              <w:rPr>
                <w:rFonts w:ascii="Consolas" w:hAnsi="Consolas"/>
                <w:sz w:val="18"/>
              </w:rPr>
              <w:t>Three things you should specifically NOT do without explicit</w:t>
            </w:r>
          </w:p>
          <w:p>
            <w:pPr>
              <w:spacing w:after="0" w:before="0"/>
            </w:pPr>
            <w:r>
              <w:rPr>
                <w:rFonts w:ascii="Consolas" w:hAnsi="Consolas"/>
                <w:sz w:val="18"/>
              </w:rPr>
              <w:t>confirmation:</w:t>
            </w:r>
          </w:p>
          <w:p>
            <w:pPr>
              <w:spacing w:after="0" w:before="0"/>
            </w:pPr>
            <w:r>
              <w:rPr>
                <w:rFonts w:ascii="Consolas" w:hAnsi="Consolas"/>
                <w:sz w:val="18"/>
              </w:rPr>
              <w:t>- Don't push to main (use feature branches; let me merge via PR)</w:t>
            </w:r>
          </w:p>
          <w:p>
            <w:pPr>
              <w:spacing w:after="0" w:before="0"/>
            </w:pPr>
            <w:r>
              <w:rPr>
                <w:rFonts w:ascii="Consolas" w:hAnsi="Consolas"/>
                <w:sz w:val="18"/>
              </w:rPr>
              <w:t>- Don't run snapshot_for_cloud.py without --dry-run first</w:t>
            </w:r>
          </w:p>
          <w:p>
            <w:pPr>
              <w:spacing w:after="0" w:before="0"/>
            </w:pPr>
            <w:r>
              <w:rPr>
                <w:rFonts w:ascii="Consolas" w:hAnsi="Consolas"/>
                <w:sz w:val="18"/>
              </w:rPr>
              <w:t>- Don't pop or modify stash@{0} (deferred SP1500 work)</w:t>
            </w:r>
          </w:p>
          <w:p>
            <w:pPr>
              <w:spacing w:after="0" w:before="0"/>
            </w:pPr>
            <w:r>
              <w:rPr>
                <w:rFonts w:ascii="Consolas" w:hAnsi="Consolas"/>
                <w:sz w:val="18"/>
              </w:rPr>
              <w:t xml:space="preserve"> </w:t>
            </w:r>
          </w:p>
          <w:p>
            <w:pPr>
              <w:spacing w:after="0" w:before="0"/>
            </w:pPr>
            <w:r>
              <w:rPr>
                <w:rFonts w:ascii="Consolas" w:hAnsi="Consolas"/>
                <w:sz w:val="18"/>
              </w:rPr>
              <w:t>If you find yourself working without having read the tracker doc</w:t>
            </w:r>
          </w:p>
          <w:p>
            <w:pPr>
              <w:spacing w:after="0" w:before="0"/>
            </w:pPr>
            <w:r>
              <w:rPr>
                <w:rFonts w:ascii="Consolas" w:hAnsi="Consolas"/>
                <w:sz w:val="18"/>
              </w:rPr>
              <w:t>first, stop and read it. The tracker is updated when project state</w:t>
            </w:r>
          </w:p>
          <w:p>
            <w:pPr>
              <w:spacing w:after="0" w:before="0"/>
            </w:pPr>
            <w:r>
              <w:rPr>
                <w:rFonts w:ascii="Consolas" w:hAnsi="Consolas"/>
                <w:sz w:val="18"/>
              </w:rPr>
              <w:t>changes meaningfully — its commit date in git log tells you how</w:t>
            </w:r>
          </w:p>
          <w:p>
            <w:pPr>
              <w:spacing w:after="0" w:before="0"/>
            </w:pPr>
            <w:r>
              <w:rPr>
                <w:rFonts w:ascii="Consolas" w:hAnsi="Consolas"/>
                <w:sz w:val="18"/>
              </w:rPr>
              <w:t>recently.</w:t>
            </w:r>
          </w:p>
        </w:tc>
      </w:tr>
    </w:tbl>
    <w:p>
      <w:r>
        <w:rPr>
          <w:rFonts w:ascii="Arial" w:hAnsi="Arial"/>
          <w:b w:val="0"/>
          <w:i/>
          <w:sz w:val="20"/>
        </w:rPr>
        <w:t>After pasting, Claude will read this tracker and any referenced docs before answering your first question. Update this prompt's reference list if you add new authoritative docs to the repo.</w:t>
      </w:r>
    </w:p>
    <w:p>
      <w:pPr>
        <w:pStyle w:val="Heading1"/>
      </w:pPr>
      <w:r>
        <w:t>Larger Universe v1 study — Phase 3 running with revised spec (2026-05-11 evening)</w:t>
      </w:r>
    </w:p>
    <w:p>
      <w:pPr/>
      <w:r>
        <w:t>Status: Phase 3 (Optuna hyperparameter tuning) authorized 2026-05-11 evening with revised spec. Mike chose Option 3 from the horizon diagnostic — monthly rebalance + monthly label horizon — putting the modeling cadence where the data shows signal lives. Expected wall-clock ~10-12 hours; surfaced for trial-count confirmation before backgrounding.</w:t>
      </w:r>
    </w:p>
    <w:p>
      <w:pPr>
        <w:pStyle w:val="Heading2"/>
      </w:pPr>
      <w:r>
        <w:t>Spec revision summary</w:t>
      </w:r>
    </w:p>
    <w:p>
      <w:pPr>
        <w:pStyle w:val="ListBullet"/>
      </w:pPr>
      <w:r>
        <w:t>Label horizon: 5 trading days → 21 trading days (~monthly forward return)</w:t>
      </w:r>
    </w:p>
    <w:p>
      <w:pPr>
        <w:pStyle w:val="ListBullet"/>
      </w:pPr>
      <w:r>
        <w:t>Rebalance cadence: weekly (Friday close) → monthly (last trading day)</w:t>
      </w:r>
    </w:p>
    <w:p>
      <w:pPr>
        <w:pStyle w:val="ListBullet"/>
      </w:pPr>
      <w:r>
        <w:t>Rebalance threshold: 1.5pp → REMOVED (rebalance fully each month at the lower turnover frequency; FeeModel accrues costs on actual position changes)</w:t>
      </w:r>
    </w:p>
    <w:p>
      <w:pPr>
        <w:pStyle w:val="ListBullet"/>
      </w:pPr>
      <w:r>
        <w:t>CV embargo: 5 days → 21 days (= new label horizon, per finance-ML convention)</w:t>
      </w:r>
    </w:p>
    <w:p>
      <w:pPr/>
      <w:r>
        <w:t>All other parameters unchanged: train 2017-05-12 to 2023-05-11, test 2023-05-12 to 2025-12-31, OOS holdout 2026-01-01 onward; 5-fold expanding-window CV; XGBoost primary + ElasticNet sanity; 7.5%/30% position/sector caps; four benchmarks; 0.05% flat FeeModel; long-only; score-weighted continuous sizing.</w:t>
      </w:r>
    </w:p>
    <w:p>
      <w:pPr>
        <w:pStyle w:val="Heading2"/>
      </w:pPr>
      <w:r>
        <w:t>Why the revision</w:t>
      </w:r>
    </w:p>
    <w:p>
      <w:pPr/>
      <w:r>
        <w:t>Phase 2 horizon diagnostic (variants A and B, see docs/diagnostics/larger_universe_v1_horizon_diagnostic.md) showed cross-sectional alpha lives at monthly horizons. At 5-day horizon: XGBoost collapsed to constant-within-date predictions (learned macro features, ignored ticker-level features); ElasticNet mean cross-sectional IC 0.020 with high per-date noise. At 21-day horizon: XGBoost no longer degenerates, mean IC 0.019 with all 5 folds covered; ElasticNet 0.031 with 4 of 5 folds positive. The horizon shift was a bigger lift than adding the full fundamentals/sector feature set at 5d. Consistent with the academic factor-research literature.</w:t>
      </w:r>
    </w:p>
    <w:p>
      <w:pPr>
        <w:pStyle w:val="Heading2"/>
      </w:pPr>
      <w:r>
        <w:t>For Mike's partners checking in</w:t>
      </w:r>
    </w:p>
    <w:p>
      <w:pPr/>
      <w:r>
        <w:t>Phase 3 is the multi-hour tuning run; it can be safely interrupted by reading the partial logs at models/studies/larger_universe_v1/phase3_progress.log. Best parameters and intermediate study state persist every 10 trials at models/studies/larger_universe_v1/{xgboost,elasticnet}_study.json. The granular session-by-session activity log is at docs/sessions/larger_universe_v1/session_log.md. Locked spec at docs/studies/larger_universe_v1/spec.md. After Phase 3 completes, Mike reviews before authorizing Phase 4 (portfolio construction + backtest).</w:t>
      </w:r>
    </w:p>
    <w:p>
      <w:pPr>
        <w:pStyle w:val="Heading1"/>
      </w:pPr>
      <w:r>
        <w:t>1. Top 5 Most Important Findings</w:t>
      </w:r>
    </w:p>
    <w:p>
      <w:pPr>
        <w:pStyle w:val="Heading2"/>
      </w:pPr>
      <w:r>
        <w:t>Finding 1: PR #15 blocks the options v1 study — RESOLVED</w:t>
      </w:r>
    </w:p>
    <w:p>
      <w:r>
        <w:rPr>
          <w:rFonts w:ascii="Arial" w:hAnsi="Arial"/>
          <w:b/>
          <w:i w:val="0"/>
          <w:sz w:val="22"/>
        </w:rPr>
        <w:t xml:space="preserve">Resolved 2026-05-11: </w:t>
      </w:r>
      <w:r>
        <w:rPr>
          <w:rFonts w:ascii="Arial" w:hAnsi="Arial"/>
          <w:b w:val="0"/>
          <w:i w:val="0"/>
          <w:sz w:val="22"/>
        </w:rPr>
        <w:t>PR #15 merged at commit 993527f. Branch chris/options-fix-v1-study-hang folded into main; v1 study is now unblocked and pending Chris's launch.</w:t>
      </w:r>
    </w:p>
    <w:p>
      <w:r>
        <w:rPr>
          <w:rFonts w:ascii="Arial" w:hAnsi="Arial"/>
          <w:b w:val="0"/>
          <w:i w:val="0"/>
          <w:sz w:val="22"/>
        </w:rPr>
        <w:t>Historical context — original finding kept for the record:</w:t>
      </w:r>
    </w:p>
    <w:p>
      <w:r>
        <w:rPr>
          <w:rFonts w:ascii="Arial" w:hAnsi="Arial"/>
          <w:b w:val="0"/>
          <w:i w:val="0"/>
          <w:sz w:val="22"/>
        </w:rPr>
        <w:t>Branch chris/options-fix-v1-study-hang @ 7e0881c was 1 commit ahead of main. Real fix, not cosmetic. Root cause: engine.py was still passing Tradier's fetch_history to chain_reconstruction after PR #14 swapped the default to Polygon. Tradier returns null for expired OCCs, so reconstruct_chain looped on empty data.</w:t>
      </w:r>
    </w:p>
    <w:p>
      <w:r>
        <w:rPr>
          <w:rFonts w:ascii="Arial" w:hAnsi="Arial"/>
          <w:b w:val="0"/>
          <w:i w:val="0"/>
          <w:sz w:val="22"/>
        </w:rPr>
        <w:t>Bundled fixes:</w:t>
      </w:r>
    </w:p>
    <w:p>
      <w:pPr>
        <w:pStyle w:val="ListBullet"/>
      </w:pPr>
      <w:r>
        <w:rPr>
          <w:rFonts w:ascii="Arial" w:hAnsi="Arial"/>
          <w:sz w:val="22"/>
        </w:rPr>
        <w:t>Separate RateLimiter per data source (Tradier 60/min vs Polygon 300/min)</w:t>
      </w:r>
    </w:p>
    <w:p>
      <w:pPr>
        <w:pStyle w:val="ListBullet"/>
      </w:pPr>
      <w:r>
        <w:rPr>
          <w:rFonts w:ascii="Arial" w:hAnsi="Arial"/>
          <w:sz w:val="22"/>
        </w:rPr>
        <w:t>Thread-safe lock on rate-limit deque (16 concurrent chain workers)</w:t>
      </w:r>
    </w:p>
    <w:p>
      <w:pPr>
        <w:pStyle w:val="ListBullet"/>
      </w:pPr>
      <w:r>
        <w:rPr>
          <w:rFonts w:ascii="Arial" w:hAnsi="Arial"/>
          <w:sz w:val="22"/>
        </w:rPr>
        <w:t>Capped header-driven sleep at 60s</w:t>
      </w:r>
    </w:p>
    <w:p>
      <w:pPr>
        <w:pStyle w:val="ListBullet"/>
      </w:pPr>
      <w:r>
        <w:rPr>
          <w:rFonts w:ascii="Arial" w:hAnsi="Arial"/>
          <w:sz w:val="22"/>
        </w:rPr>
        <w:t>Multi-day pre-fetch in _default_deps</w:t>
      </w:r>
    </w:p>
    <w:p>
      <w:pPr>
        <w:pStyle w:val="ListBullet"/>
      </w:pPr>
      <w:r>
        <w:rPr>
          <w:rFonts w:ascii="Arial" w:hAnsi="Arial"/>
          <w:sz w:val="22"/>
        </w:rPr>
        <w:t>Removed Polygon cache-write sanity gate that was rejecting legitimate sparse-expiry contracts</w:t>
      </w:r>
    </w:p>
    <w:p>
      <w:r>
        <w:rPr>
          <w:rFonts w:ascii="Arial" w:hAnsi="Arial"/>
          <w:b w:val="0"/>
          <w:i w:val="0"/>
          <w:sz w:val="22"/>
        </w:rPr>
        <w:t>8 files, +526/-106 lines, new tests included.</w:t>
      </w:r>
    </w:p>
    <w:p>
      <w:pPr>
        <w:pStyle w:val="Heading2"/>
      </w:pPr>
      <w:r>
        <w:t>Finding 2: R2 stale — RESOLVED for equities; options pending Chris's v1 study</w:t>
      </w:r>
    </w:p>
    <w:p>
      <w:r>
        <w:rPr>
          <w:rFonts w:ascii="Arial" w:hAnsi="Arial"/>
          <w:b/>
          <w:i w:val="0"/>
          <w:sz w:val="22"/>
        </w:rPr>
        <w:t xml:space="preserve">Resolved 2026-05-11 (equities): </w:t>
      </w:r>
      <w:r>
        <w:rPr>
          <w:rFonts w:ascii="Arial" w:hAnsi="Arial"/>
          <w:b w:val="0"/>
          <w:i w:val="0"/>
          <w:sz w:val="22"/>
        </w:rPr>
        <w:t>R2 synced at git_sha 993527f. Equity content on the cloud dashboard is current. Options content still pending — there is no v1 study output to upload yet, so the options/ prefix in R2 remains empty until Chris launches the v1 production study.</w:t>
      </w:r>
    </w:p>
    <w:p>
      <w:r>
        <w:rPr>
          <w:rFonts w:ascii="Arial" w:hAnsi="Arial"/>
          <w:b w:val="0"/>
          <w:i w:val="0"/>
          <w:sz w:val="22"/>
        </w:rPr>
        <w:t>Historical context — original finding kept for the record:</w:t>
      </w:r>
    </w:p>
    <w:p>
      <w:r>
        <w:rPr>
          <w:rFonts w:ascii="Arial" w:hAnsi="Arial"/>
          <w:b w:val="0"/>
          <w:i w:val="0"/>
          <w:sz w:val="22"/>
        </w:rPr>
        <w:t>R2 bucket snapshot_manifest.json had been at git_sha=bfee6dc, generated_at=2026-05-09T17:20:38Z while main had advanced to f3c3800. Functionally, equity content was still correct because none of those 13 commits touched equity files — they were all options work. But options content had never been uploaded to R2 at all.</w:t>
      </w:r>
    </w:p>
    <w:p>
      <w:pPr>
        <w:pStyle w:val="Heading2"/>
      </w:pPr>
      <w:r>
        <w:t>Finding 3: Mike's venv missing truststore and pytest — RESOLVED</w:t>
      </w:r>
    </w:p>
    <w:p>
      <w:r>
        <w:rPr>
          <w:rFonts w:ascii="Arial" w:hAnsi="Arial"/>
          <w:b/>
          <w:i w:val="0"/>
          <w:sz w:val="22"/>
        </w:rPr>
        <w:t xml:space="preserve">Resolved 2026-05-11: </w:t>
      </w:r>
      <w:r>
        <w:rPr>
          <w:rFonts w:ascii="Arial" w:hAnsi="Arial"/>
          <w:b w:val="0"/>
          <w:i w:val="0"/>
          <w:sz w:val="22"/>
        </w:rPr>
        <w:t>Test collection bug fixed in commit c1346cd; venv dependencies installed via pip install -r requirements.txt. Full test suite now collects and runs.</w:t>
      </w:r>
    </w:p>
    <w:p>
      <w:r>
        <w:rPr>
          <w:rFonts w:ascii="Arial" w:hAnsi="Arial"/>
          <w:b w:val="0"/>
          <w:i w:val="0"/>
          <w:sz w:val="22"/>
        </w:rPr>
        <w:t>Historical context — original finding kept for the record:</w:t>
      </w:r>
    </w:p>
    <w:p>
      <w:r>
        <w:rPr>
          <w:rFonts w:ascii="Arial" w:hAnsi="Arial"/>
          <w:b w:val="0"/>
          <w:i w:val="0"/>
          <w:sz w:val="22"/>
        </w:rPr>
        <w:t>truststore==0.10.4 was in requirements.txt but not installed on Mike's machine. Two test failures, both same root cause:</w:t>
      </w:r>
    </w:p>
    <w:p>
      <w:pPr>
        <w:pStyle w:val="ListBullet"/>
      </w:pPr>
      <w:r>
        <w:rPr>
          <w:rFonts w:ascii="Arial" w:hAnsi="Arial"/>
          <w:sz w:val="22"/>
        </w:rPr>
        <w:t>test_ssl_setup.py: collection error (ModuleNotFoundError: No module named 'truststore')</w:t>
      </w:r>
    </w:p>
    <w:p>
      <w:pPr>
        <w:pStyle w:val="ListBullet"/>
      </w:pPr>
      <w:r>
        <w:rPr>
          <w:rFonts w:ascii="Arial" w:hAnsi="Arial"/>
          <w:sz w:val="22"/>
        </w:rPr>
        <w:t>test_optuna_runner.py::test_smoke_study_constants_match_locked_config: failed for the same reason transitively via src/options/_ssl.py</w:t>
      </w:r>
    </w:p>
    <w:p>
      <w:r>
        <w:rPr>
          <w:rFonts w:ascii="Arial" w:hAnsi="Arial"/>
          <w:b w:val="0"/>
          <w:i w:val="0"/>
          <w:sz w:val="22"/>
        </w:rPr>
        <w:t>After fixing: 374 tests pass, 1 skipped. Also flagged at the time: pytest itself wasn't in requirements.txt at all. Add it as a dev dep so future fresh venvs are self-bootstrapping.</w:t>
      </w:r>
    </w:p>
    <w:p>
      <w:pPr>
        <w:pStyle w:val="Heading2"/>
      </w:pPr>
      <w:r>
        <w:t>Finding 4: .env.example missing POLYGON_API_KEY — RESOLVED</w:t>
      </w:r>
    </w:p>
    <w:p>
      <w:r>
        <w:rPr>
          <w:rFonts w:ascii="Arial" w:hAnsi="Arial"/>
          <w:b/>
          <w:i w:val="0"/>
          <w:sz w:val="22"/>
        </w:rPr>
        <w:t xml:space="preserve">Resolved in this commit: </w:t>
      </w:r>
      <w:r>
        <w:rPr>
          <w:rFonts w:ascii="Arial" w:hAnsi="Arial"/>
          <w:b w:val="0"/>
          <w:i w:val="0"/>
          <w:sz w:val="22"/>
        </w:rPr>
        <w:t>.env.example now enumerates every environment variable the codebase reads at runtime (Tradier, Polygon, FRED, Finnhub, R2, and the optional PAPER_TRADER_* runtime knobs), grouped by purpose with signup links where relevant.</w:t>
      </w:r>
    </w:p>
    <w:p>
      <w:r>
        <w:rPr>
          <w:rFonts w:ascii="Arial" w:hAnsi="Arial"/>
          <w:b w:val="0"/>
          <w:i w:val="0"/>
          <w:sz w:val="22"/>
        </w:rPr>
        <w:t>Historical context — original finding kept for the record:</w:t>
      </w:r>
    </w:p>
    <w:p>
      <w:r>
        <w:rPr>
          <w:rFonts w:ascii="Arial" w:hAnsi="Arial"/>
          <w:b w:val="0"/>
          <w:i w:val="0"/>
          <w:sz w:val="22"/>
        </w:rPr>
        <w:t>src/options/polygon.py required POLYGON_API_KEY and even cited Massive.com as the signup destination. But .env.example only documented Tradier env vars. A new contributor (or Mike on a fresh checkout) would have hit a runtime error with no docs path forward.</w:t>
      </w:r>
    </w:p>
    <w:p>
      <w:pPr>
        <w:pStyle w:val="Heading2"/>
      </w:pPr>
      <w:r>
        <w:t>Finding 5: Repo hygiene cleanup completed (2026-05-11, commit 5c39cc5)</w:t>
      </w:r>
    </w:p>
    <w:p>
      <w:r>
        <w:rPr>
          <w:rFonts w:ascii="Arial" w:hAnsi="Arial"/>
          <w:b w:val="0"/>
          <w:i w:val="0"/>
          <w:sz w:val="22"/>
        </w:rPr>
        <w:t>This was the previous "phantom CODEOWNERS paths + 3 orphan snapshots + 27 scratch files" finding. Status as of cleanup commit 5c39cc5:</w:t>
      </w:r>
    </w:p>
    <w:p>
      <w:r>
        <w:rPr>
          <w:rFonts w:ascii="Arial" w:hAnsi="Arial"/>
          <w:b/>
          <w:i w:val="0"/>
          <w:sz w:val="22"/>
        </w:rPr>
        <w:t>Done:</w:t>
      </w:r>
    </w:p>
    <w:p>
      <w:pPr>
        <w:pStyle w:val="ListBullet"/>
      </w:pPr>
      <w:r>
        <w:rPr>
          <w:rFonts w:ascii="Arial" w:hAnsi="Arial"/>
          <w:sz w:val="22"/>
        </w:rPr>
        <w:t>35 ephemeral files deleted (27 debug scripts, 8 log files; all gitignored)</w:t>
      </w:r>
    </w:p>
    <w:p>
      <w:pPr>
        <w:pStyle w:val="ListBullet"/>
      </w:pPr>
      <w:r>
        <w:rPr>
          <w:rFonts w:ascii="Arial" w:hAnsi="Arial"/>
          <w:sz w:val="22"/>
        </w:rPr>
        <w:t>3 equity snapshots moved under models/snapshots/equities/ for consistency</w:t>
      </w:r>
    </w:p>
    <w:p>
      <w:pPr>
        <w:pStyle w:val="ListBullet"/>
      </w:pPr>
      <w:r>
        <w:rPr>
          <w:rFonts w:ascii="Arial" w:hAnsi="Arial"/>
          <w:sz w:val="22"/>
        </w:rPr>
        <w:t>3 tracked research scripts moved to scripts/research/</w:t>
      </w:r>
    </w:p>
    <w:p>
      <w:pPr>
        <w:pStyle w:val="ListBullet"/>
      </w:pPr>
      <w:r>
        <w:rPr>
          <w:rFonts w:ascii="Arial" w:hAnsi="Arial"/>
          <w:sz w:val="22"/>
        </w:rPr>
        <w:t>docs/sp1500_fetch_failures.txt → docs/diagnostics/</w:t>
      </w:r>
    </w:p>
    <w:p>
      <w:pPr>
        <w:pStyle w:val="ListBullet"/>
      </w:pPr>
      <w:r>
        <w:rPr>
          <w:rFonts w:ascii="Arial" w:hAnsi="Arial"/>
          <w:sz w:val="22"/>
        </w:rPr>
        <w:t>Dashboard_Viz_Implementation_Spec.docx → docs/specs/</w:t>
      </w:r>
    </w:p>
    <w:p>
      <w:pPr>
        <w:pStyle w:val="ListBullet"/>
      </w:pPr>
      <w:r>
        <w:rPr>
          <w:rFonts w:ascii="Arial" w:hAnsi="Arial"/>
          <w:sz w:val="22"/>
        </w:rPr>
        <w:t>Phantom /src/equities/ rule removed from CODEOWNERS</w:t>
      </w:r>
    </w:p>
    <w:p>
      <w:pPr>
        <w:pStyle w:val="ListBullet"/>
      </w:pPr>
      <w:r>
        <w:rPr>
          <w:rFonts w:ascii="Arial" w:hAnsi="Arial"/>
          <w:sz w:val="22"/>
        </w:rPr>
        <w:t>Stale remote branch origin/chris/options-phase-1-shared-edge deleted</w:t>
      </w:r>
    </w:p>
    <w:p>
      <w:pPr>
        <w:pStyle w:val="ListBullet"/>
      </w:pPr>
      <w:r>
        <w:rPr>
          <w:rFonts w:ascii="Arial" w:hAnsi="Arial"/>
          <w:sz w:val="22"/>
        </w:rPr>
        <w:t>Pre-existing gitignore bug fixed: !docs/*.docx was only 1-depth; now !docs/**/*.docx covers all depths. This also auto-tracked docs/specs/Dashboard_Rebuild_Spec.docx which had been silently ignored for weeks.</w:t>
      </w:r>
    </w:p>
    <w:p>
      <w:r>
        <w:rPr>
          <w:rFonts w:ascii="Arial" w:hAnsi="Arial"/>
          <w:b/>
          <w:i w:val="0"/>
          <w:sz w:val="22"/>
        </w:rPr>
        <w:t xml:space="preserve">Net result: </w:t>
      </w:r>
      <w:r>
        <w:rPr>
          <w:rFonts w:ascii="Arial" w:hAnsi="Arial"/>
          <w:b w:val="0"/>
          <w:i w:val="0"/>
          <w:sz w:val="22"/>
        </w:rPr>
        <w:t>Repo root now has 5 files (requirements.txt, 3 SP1500 paused-state logs kept intentionally, v3_track2_runner.py which is referenced by dashboard). Clean state.</w:t>
      </w:r>
    </w:p>
    <w:p>
      <w:pPr>
        <w:pStyle w:val="Heading1"/>
      </w:pPr>
      <w:r>
        <w:t>2. Recommended Action Sequence</w:t>
      </w:r>
    </w:p>
    <w:p>
      <w:r>
        <w:rPr>
          <w:rFonts w:ascii="Arial" w:hAnsi="Arial"/>
          <w:b w:val="0"/>
          <w:i w:val="0"/>
          <w:sz w:val="22"/>
        </w:rPr>
        <w:t>Numbered in execution order. Items below are prioritized by what they unblock or risk if deferred.</w:t>
      </w:r>
    </w:p>
    <w:p>
      <w:pPr>
        <w:pStyle w:val="Heading2"/>
      </w:pPr>
      <w:r>
        <w:t>URGENT (do today)</w:t>
      </w:r>
    </w:p>
    <w:p>
      <w:r>
        <w:rPr>
          <w:rFonts w:ascii="Arial" w:hAnsi="Arial"/>
          <w:b w:val="0"/>
          <w:i w:val="0"/>
          <w:sz w:val="22"/>
        </w:rPr>
        <w:t>URGENT items resolved 2026-05-11. Next URGENT item will surface when Chris runs the v1 study and we need to verify the options dashboard renders correctly.</w:t>
      </w:r>
    </w:p>
    <w:p>
      <w:pPr>
        <w:pStyle w:val="Heading2"/>
      </w:pPr>
      <w:r>
        <w:t>HIGH (this week)</w:t>
      </w:r>
    </w:p>
    <w:p>
      <w:pPr>
        <w:pStyle w:val="ListBullet"/>
      </w:pPr>
      <w:r>
        <w:rPr>
          <w:rFonts w:ascii="Arial" w:hAnsi="Arial"/>
          <w:b/>
          <w:i w:val="0"/>
          <w:sz w:val="22"/>
        </w:rPr>
        <w:t>Sync .env between Mike and Chris's machines (one-time).</w:t>
      </w:r>
      <w:r>
        <w:rPr>
          <w:rFonts w:ascii="Arial" w:hAnsi="Arial"/>
          <w:b w:val="0"/>
          <w:i w:val="0"/>
          <w:sz w:val="22"/>
        </w:rPr>
        <w:t xml:space="preserve"> Out-of-band task. Both contributors need identical .env content so either workstation can run any task. .env.example in this commit enumerates the full key set — each contributor fills in their copy and shares it with the other via a secure channel.</w:t>
      </w:r>
    </w:p>
    <w:p>
      <w:pPr>
        <w:pStyle w:val="ListBullet"/>
      </w:pPr>
      <w:r>
        <w:rPr>
          <w:rFonts w:ascii="Arial" w:hAnsi="Arial"/>
          <w:b/>
          <w:i w:val="0"/>
          <w:sz w:val="22"/>
        </w:rPr>
        <w:t>Wait for Chris to run v1 study; then sync options R2.</w:t>
      </w:r>
      <w:r>
        <w:rPr>
          <w:rFonts w:ascii="Arial" w:hAnsi="Arial"/>
          <w:b w:val="0"/>
          <w:i w:val="0"/>
          <w:sz w:val="22"/>
        </w:rPr>
        <w:t xml:space="preserve"> Once Chris launches and the v1 study produces models/cache/options/ artifacts, run snapshot_for_cloud.py --asset-class options to push them to R2.</w:t>
      </w:r>
    </w:p>
    <w:p>
      <w:pPr>
        <w:pStyle w:val="ListBullet"/>
      </w:pPr>
      <w:r>
        <w:rPr>
          <w:rFonts w:ascii="Arial" w:hAnsi="Arial"/>
          <w:b/>
          <w:i w:val="0"/>
          <w:sz w:val="22"/>
        </w:rPr>
        <w:t>Verify options dashboard end-to-end after R2 sync.</w:t>
      </w:r>
      <w:r>
        <w:rPr>
          <w:rFonts w:ascii="Arial" w:hAnsi="Arial"/>
          <w:b w:val="0"/>
          <w:i w:val="0"/>
          <w:sz w:val="22"/>
        </w:rPr>
        <w:t xml:space="preserve"> Equity tabs already verified at git_sha 993527f. Options verification is pending Chris's v1 study + the subsequent options R2 sync.</w:t>
      </w:r>
    </w:p>
    <w:p>
      <w:pPr>
        <w:pStyle w:val="ListBullet"/>
      </w:pPr>
      <w:r>
        <w:rPr>
          <w:rFonts w:ascii="Arial" w:hAnsi="Arial"/>
          <w:b/>
          <w:i w:val="0"/>
          <w:sz w:val="22"/>
        </w:rPr>
        <w:t>Update Options_Extension_Decisions.md Status row.</w:t>
      </w:r>
      <w:r>
        <w:rPr>
          <w:rFonts w:ascii="Arial" w:hAnsi="Arial"/>
          <w:b w:val="0"/>
          <w:i w:val="0"/>
          <w:sz w:val="22"/>
        </w:rPr>
        <w:t xml:space="preserve"> Currently says "Sections 1, 2, 3 merged"; reality is 1-8 + 2.5. Stale memos get ignored.</w:t>
      </w:r>
    </w:p>
    <w:p>
      <w:pPr>
        <w:pStyle w:val="ListBullet"/>
      </w:pPr>
      <w:r>
        <w:rPr>
          <w:rFonts w:ascii="Arial" w:hAnsi="Arial"/>
          <w:b/>
          <w:i w:val="0"/>
          <w:sz w:val="22"/>
        </w:rPr>
        <w:t>Surface NVDA/META finding in dashboard exec summaries.</w:t>
      </w:r>
      <w:r>
        <w:rPr>
          <w:rFonts w:ascii="Arial" w:hAnsi="Arial"/>
          <w:b w:val="0"/>
          <w:i w:val="0"/>
          <w:sz w:val="22"/>
        </w:rPr>
        <w:t xml:space="preserve"> Commit f46bd05 already exists locally with the research artifacts. Performance tab exec summary should say: </w:t>
      </w:r>
      <w:r>
        <w:rPr>
          <w:rFonts w:ascii="Arial" w:hAnsi="Arial"/>
          <w:b w:val="0"/>
          <w:i/>
          <w:sz w:val="22"/>
        </w:rPr>
        <w:t>"Approximately 62% of this strategy's risk-adjusted edge comes from holdings in NVDA and META during the AI rally."</w:t>
      </w:r>
      <w:r>
        <w:rPr>
          <w:rFonts w:ascii="Arial" w:hAnsi="Arial"/>
          <w:b w:val="0"/>
          <w:i w:val="0"/>
          <w:sz w:val="22"/>
        </w:rPr>
        <w:t xml:space="preserve"> Switch headline alpha from arithmetic (+63.7pp/yr) to CAPM (+39.3pp/yr).</w:t>
      </w:r>
    </w:p>
    <w:p>
      <w:pPr>
        <w:pStyle w:val="ListBullet"/>
      </w:pPr>
      <w:r>
        <w:rPr>
          <w:rFonts w:ascii="Arial" w:hAnsi="Arial"/>
          <w:b/>
          <w:i w:val="0"/>
          <w:sz w:val="22"/>
        </w:rPr>
        <w:t>Decide on Polygon/Massive piggyback for stocks side.</w:t>
      </w:r>
      <w:r>
        <w:rPr>
          <w:rFonts w:ascii="Arial" w:hAnsi="Arial"/>
          <w:b w:val="0"/>
          <w:i w:val="0"/>
          <w:sz w:val="22"/>
        </w:rPr>
        <w:t xml:space="preserve"> See Section 3 for the analysis. This decision unblocks SP1500 and provides a long-term solution to yfinance unreliability.</w:t>
      </w:r>
    </w:p>
    <w:p>
      <w:pPr>
        <w:pStyle w:val="Heading2"/>
      </w:pPr>
      <w:r>
        <w:t>MEDIUM (when convenient)</w:t>
      </w:r>
    </w:p>
    <w:p>
      <w:pPr>
        <w:pStyle w:val="ListBullet"/>
      </w:pPr>
      <w:r>
        <w:rPr>
          <w:rFonts w:ascii="Arial" w:hAnsi="Arial"/>
          <w:b/>
          <w:i w:val="0"/>
          <w:sz w:val="22"/>
        </w:rPr>
        <w:t>Add a CI workflow (.github/workflows/test.yml).</w:t>
      </w:r>
      <w:r>
        <w:rPr>
          <w:rFonts w:ascii="Arial" w:hAnsi="Arial"/>
          <w:b w:val="0"/>
          <w:i w:val="0"/>
          <w:sz w:val="22"/>
        </w:rPr>
        <w:t xml:space="preserve"> Free with GitHub Actions; would have caught the truststore-vs-venv drift before it became a noticed bug.</w:t>
      </w:r>
    </w:p>
    <w:p>
      <w:pPr>
        <w:pStyle w:val="ListBullet"/>
      </w:pPr>
      <w:r>
        <w:rPr>
          <w:rFonts w:ascii="Arial" w:hAnsi="Arial"/>
          <w:b/>
          <w:i w:val="0"/>
          <w:sz w:val="22"/>
        </w:rPr>
        <w:t>Add pytest to requirements.txt</w:t>
      </w:r>
      <w:r>
        <w:rPr>
          <w:rFonts w:ascii="Arial" w:hAnsi="Arial"/>
          <w:b w:val="0"/>
          <w:i w:val="0"/>
          <w:sz w:val="22"/>
        </w:rPr>
        <w:t xml:space="preserve"> with a dev-only comment.</w:t>
      </w:r>
    </w:p>
    <w:p>
      <w:pPr>
        <w:pStyle w:val="Heading2"/>
      </w:pPr>
      <w:r>
        <w:t>LOW (eventually)</w:t>
      </w:r>
    </w:p>
    <w:p>
      <w:pPr>
        <w:pStyle w:val="ListBullet"/>
      </w:pPr>
      <w:r>
        <w:rPr>
          <w:rFonts w:ascii="Arial" w:hAnsi="Arial"/>
          <w:b/>
          <w:i w:val="0"/>
          <w:sz w:val="22"/>
        </w:rPr>
        <w:t>Resolve SP1500 stash@{0}.</w:t>
      </w:r>
      <w:r>
        <w:rPr>
          <w:rFonts w:ascii="Arial" w:hAnsi="Arial"/>
          <w:b w:val="0"/>
          <w:i w:val="0"/>
          <w:sz w:val="22"/>
        </w:rPr>
        <w:t xml:space="preserve"> Either pop and commit (if Finnhub clarity has arrived or you pivot to Polygon) or convert to a named branch.</w:t>
      </w:r>
    </w:p>
    <w:p>
      <w:pPr>
        <w:pStyle w:val="ListBullet"/>
      </w:pPr>
      <w:r>
        <w:rPr>
          <w:rFonts w:ascii="Arial" w:hAnsi="Arial"/>
          <w:b/>
          <w:i w:val="0"/>
          <w:sz w:val="22"/>
        </w:rPr>
        <w:t>Address optuna_runner.py:275 thread-safety race TODO.</w:t>
      </w:r>
      <w:r>
        <w:rPr>
          <w:rFonts w:ascii="Arial" w:hAnsi="Arial"/>
          <w:b w:val="0"/>
          <w:i w:val="0"/>
          <w:sz w:val="22"/>
        </w:rPr>
        <w:t xml:space="preserve"> Race is masked by workload heterogeneity but real.</w:t>
      </w:r>
    </w:p>
    <w:p>
      <w:pPr>
        <w:pStyle w:val="Heading1"/>
      </w:pPr>
      <w:r>
        <w:t>3. Massive (Polygon) Piggyback Analysis</w:t>
      </w:r>
    </w:p>
    <w:p>
      <w:pPr/>
      <w:r>
        <w:t>OBSOLETE (2026-05-11): This analysis is superseded. Chris's Polygon subscription is options-only with a 2-year history limit and cannot be repurposed for stocks-side equity data. Mike instead purchased Finnhub Basic ($49.99/mo, 150 calls/min for candle, 60 calls/min for /stock/metric, 10y daily OHLC, survivorship-bias-mitigated). The Larger Universe v1 snapshot at models/snapshots/equities/larger_universe_v1_20260511/ is the result. See docs/diagnostics/larger_universe_v1_capabilities.md and docs/diagnostics/larger_universe_v1_snapshot_summary.md for details. The remainder of this section is preserved as historical record of the decision context.</w:t>
      </w:r>
    </w:p>
    <w:p>
      <w:r>
        <w:rPr>
          <w:rFonts w:ascii="Arial" w:hAnsi="Arial"/>
          <w:b w:val="0"/>
          <w:i w:val="0"/>
          <w:sz w:val="22"/>
        </w:rPr>
        <w:t>This is the strategic question worth thinking about — whether to piggyback on Chris's Polygon subscription (rebranded as Massive since November 2025) for stocks-side data. The audit confirms Chris is already integrated with Polygon for the options work.</w:t>
      </w:r>
    </w:p>
    <w:p>
      <w:pPr>
        <w:pStyle w:val="Heading2"/>
      </w:pPr>
      <w:r>
        <w:t>What Chris's setup already does</w:t>
      </w:r>
    </w:p>
    <w:p>
      <w:pPr>
        <w:pStyle w:val="ListBullet"/>
      </w:pPr>
      <w:r>
        <w:rPr>
          <w:rFonts w:ascii="Arial" w:hAnsi="Arial"/>
          <w:b/>
          <w:i w:val="0"/>
          <w:sz w:val="22"/>
        </w:rPr>
        <w:t>Authenticated client.</w:t>
      </w:r>
      <w:r>
        <w:rPr>
          <w:rFonts w:ascii="Arial" w:hAnsi="Arial"/>
          <w:b w:val="0"/>
          <w:i w:val="0"/>
          <w:sz w:val="22"/>
        </w:rPr>
        <w:t xml:space="preserve"> src/options/polygon.py is wrapped with proper rate limiting, retry-after handling, atomic cache writes.</w:t>
      </w:r>
    </w:p>
    <w:p>
      <w:pPr>
        <w:pStyle w:val="ListBullet"/>
      </w:pPr>
      <w:r>
        <w:rPr>
          <w:rFonts w:ascii="Arial" w:hAnsi="Arial"/>
          <w:b/>
          <w:i w:val="0"/>
          <w:sz w:val="22"/>
        </w:rPr>
        <w:t>Rate limiter pattern.</w:t>
      </w:r>
      <w:r>
        <w:rPr>
          <w:rFonts w:ascii="Arial" w:hAnsi="Arial"/>
          <w:b w:val="0"/>
          <w:i w:val="0"/>
          <w:sz w:val="22"/>
        </w:rPr>
        <w:t xml:space="preserve"> Separate RateLimiter instance per data source. The PR #15 refactor makes 16-thread concurrency safe. You could lift this pattern verbatim for equity work.</w:t>
      </w:r>
    </w:p>
    <w:p>
      <w:pPr>
        <w:pStyle w:val="ListBullet"/>
      </w:pPr>
      <w:r>
        <w:rPr>
          <w:rFonts w:ascii="Arial" w:hAnsi="Arial"/>
          <w:b/>
          <w:i w:val="0"/>
          <w:sz w:val="22"/>
        </w:rPr>
        <w:t>Cache layer.</w:t>
      </w:r>
      <w:r>
        <w:rPr>
          <w:rFonts w:ascii="Arial" w:hAnsi="Arial"/>
          <w:b w:val="0"/>
          <w:i w:val="0"/>
          <w:sz w:val="22"/>
        </w:rPr>
        <w:t xml:space="preserve"> Polygon responses cache to models/cache/options/polygon_cache/. Same pattern would apply to equity prices.</w:t>
      </w:r>
    </w:p>
    <w:p>
      <w:pPr>
        <w:pStyle w:val="Heading2"/>
      </w:pPr>
      <w:r>
        <w:t>What Polygon offers for stocks (approximate, may have changed post-rebrand)</w:t>
      </w:r>
    </w:p>
    <w:tbl>
      <w:tblPr>
        <w:tblW w:type="auto" w:w="0"/>
        <w:tblLayout w:type="fixed"/>
        <w:tblLook w:firstColumn="1" w:firstRow="1" w:lastColumn="0" w:lastRow="0" w:noHBand="0" w:noVBand="1" w:val="04A0"/>
      </w:tblPr>
      <w:tblGrid>
        <w:gridCol w:w="1584"/>
        <w:gridCol w:w="1152"/>
        <w:gridCol w:w="2592"/>
        <w:gridCol w:w="1584"/>
        <w:gridCol w:w="2448"/>
      </w:tblGrid>
      <w:tr>
        <w:tc>
          <w:tcPr>
            <w:tcW w:type="dxa" w:w="1872"/>
            <w:shd w:val="clear" w:color="auto" w:fill="1F4E79"/>
            <w:tcBorders>
              <w:top w:val="single" w:sz="4" w:color="808080"/>
              <w:left w:val="single" w:sz="4" w:color="808080"/>
              <w:bottom w:val="single" w:sz="4" w:color="808080"/>
              <w:right w:val="single" w:sz="4" w:color="808080"/>
            </w:tcBorders>
          </w:tcPr>
          <w:p>
            <w:r/>
            <w:r>
              <w:rPr>
                <w:rFonts w:ascii="Arial" w:hAnsi="Arial"/>
                <w:b/>
                <w:color w:val="FFFFFF"/>
                <w:sz w:val="20"/>
              </w:rPr>
              <w:t>Tier</w:t>
            </w:r>
          </w:p>
        </w:tc>
        <w:tc>
          <w:tcPr>
            <w:tcW w:type="dxa" w:w="1872"/>
            <w:shd w:val="clear" w:color="auto" w:fill="1F4E79"/>
            <w:tcBorders>
              <w:top w:val="single" w:sz="4" w:color="808080"/>
              <w:left w:val="single" w:sz="4" w:color="808080"/>
              <w:bottom w:val="single" w:sz="4" w:color="808080"/>
              <w:right w:val="single" w:sz="4" w:color="808080"/>
            </w:tcBorders>
          </w:tcPr>
          <w:p>
            <w:r/>
            <w:r>
              <w:rPr>
                <w:rFonts w:ascii="Arial" w:hAnsi="Arial"/>
                <w:b/>
                <w:color w:val="FFFFFF"/>
                <w:sz w:val="20"/>
              </w:rPr>
              <w:t>Price/mo</w:t>
            </w:r>
          </w:p>
        </w:tc>
        <w:tc>
          <w:tcPr>
            <w:tcW w:type="dxa" w:w="1872"/>
            <w:shd w:val="clear" w:color="auto" w:fill="1F4E79"/>
            <w:tcBorders>
              <w:top w:val="single" w:sz="4" w:color="808080"/>
              <w:left w:val="single" w:sz="4" w:color="808080"/>
              <w:bottom w:val="single" w:sz="4" w:color="808080"/>
              <w:right w:val="single" w:sz="4" w:color="808080"/>
            </w:tcBorders>
          </w:tcPr>
          <w:p>
            <w:r/>
            <w:r>
              <w:rPr>
                <w:rFonts w:ascii="Arial" w:hAnsi="Arial"/>
                <w:b/>
                <w:color w:val="FFFFFF"/>
                <w:sz w:val="20"/>
              </w:rPr>
              <w:t>Historical depth</w:t>
            </w:r>
          </w:p>
        </w:tc>
        <w:tc>
          <w:tcPr>
            <w:tcW w:type="dxa" w:w="1872"/>
            <w:shd w:val="clear" w:color="auto" w:fill="1F4E79"/>
            <w:tcBorders>
              <w:top w:val="single" w:sz="4" w:color="808080"/>
              <w:left w:val="single" w:sz="4" w:color="808080"/>
              <w:bottom w:val="single" w:sz="4" w:color="808080"/>
              <w:right w:val="single" w:sz="4" w:color="808080"/>
            </w:tcBorders>
          </w:tcPr>
          <w:p>
            <w:r/>
            <w:r>
              <w:rPr>
                <w:rFonts w:ascii="Arial" w:hAnsi="Arial"/>
                <w:b/>
                <w:color w:val="FFFFFF"/>
                <w:sz w:val="20"/>
              </w:rPr>
              <w:t>Rate limit</w:t>
            </w:r>
          </w:p>
        </w:tc>
        <w:tc>
          <w:tcPr>
            <w:tcW w:type="dxa" w:w="1872"/>
            <w:shd w:val="clear" w:color="auto" w:fill="1F4E79"/>
            <w:tcBorders>
              <w:top w:val="single" w:sz="4" w:color="808080"/>
              <w:left w:val="single" w:sz="4" w:color="808080"/>
              <w:bottom w:val="single" w:sz="4" w:color="808080"/>
              <w:right w:val="single" w:sz="4" w:color="808080"/>
            </w:tcBorders>
          </w:tcPr>
          <w:p>
            <w:r/>
            <w:r>
              <w:rPr>
                <w:rFonts w:ascii="Arial" w:hAnsi="Arial"/>
                <w:b/>
                <w:color w:val="FFFFFF"/>
                <w:sz w:val="20"/>
              </w:rPr>
              <w:t>Real-time?</w:t>
            </w:r>
          </w:p>
        </w:tc>
      </w:tr>
      <w:tr>
        <w:tc>
          <w:tcPr>
            <w:tcW w:type="dxa" w:w="1872"/>
            <w:tcBorders>
              <w:top w:val="single" w:sz="4" w:color="808080"/>
              <w:left w:val="single" w:sz="4" w:color="808080"/>
              <w:bottom w:val="single" w:sz="4" w:color="808080"/>
              <w:right w:val="single" w:sz="4" w:color="808080"/>
            </w:tcBorders>
          </w:tcPr>
          <w:p>
            <w:r/>
            <w:r>
              <w:rPr>
                <w:rFonts w:ascii="Arial" w:hAnsi="Arial"/>
                <w:sz w:val="18"/>
              </w:rPr>
              <w:t>Free (Basic)</w:t>
            </w:r>
          </w:p>
        </w:tc>
        <w:tc>
          <w:tcPr>
            <w:tcW w:type="dxa" w:w="1872"/>
            <w:tcBorders>
              <w:top w:val="single" w:sz="4" w:color="808080"/>
              <w:left w:val="single" w:sz="4" w:color="808080"/>
              <w:bottom w:val="single" w:sz="4" w:color="808080"/>
              <w:right w:val="single" w:sz="4" w:color="808080"/>
            </w:tcBorders>
          </w:tcPr>
          <w:p>
            <w:r/>
            <w:r>
              <w:rPr>
                <w:rFonts w:ascii="Arial" w:hAnsi="Arial"/>
                <w:sz w:val="18"/>
              </w:rPr>
              <w:t>$0</w:t>
            </w:r>
          </w:p>
        </w:tc>
        <w:tc>
          <w:tcPr>
            <w:tcW w:type="dxa" w:w="1872"/>
            <w:tcBorders>
              <w:top w:val="single" w:sz="4" w:color="808080"/>
              <w:left w:val="single" w:sz="4" w:color="808080"/>
              <w:bottom w:val="single" w:sz="4" w:color="808080"/>
              <w:right w:val="single" w:sz="4" w:color="808080"/>
            </w:tcBorders>
          </w:tcPr>
          <w:p>
            <w:r/>
            <w:r>
              <w:rPr>
                <w:rFonts w:ascii="Arial" w:hAnsi="Arial"/>
                <w:sz w:val="18"/>
              </w:rPr>
              <w:t>2 years EOD</w:t>
            </w:r>
          </w:p>
        </w:tc>
        <w:tc>
          <w:tcPr>
            <w:tcW w:type="dxa" w:w="1872"/>
            <w:tcBorders>
              <w:top w:val="single" w:sz="4" w:color="808080"/>
              <w:left w:val="single" w:sz="4" w:color="808080"/>
              <w:bottom w:val="single" w:sz="4" w:color="808080"/>
              <w:right w:val="single" w:sz="4" w:color="808080"/>
            </w:tcBorders>
          </w:tcPr>
          <w:p>
            <w:r/>
            <w:r>
              <w:rPr>
                <w:rFonts w:ascii="Arial" w:hAnsi="Arial"/>
                <w:sz w:val="18"/>
              </w:rPr>
              <w:t>5 calls/min</w:t>
            </w:r>
          </w:p>
        </w:tc>
        <w:tc>
          <w:tcPr>
            <w:tcW w:type="dxa" w:w="1872"/>
            <w:tcBorders>
              <w:top w:val="single" w:sz="4" w:color="808080"/>
              <w:left w:val="single" w:sz="4" w:color="808080"/>
              <w:bottom w:val="single" w:sz="4" w:color="808080"/>
              <w:right w:val="single" w:sz="4" w:color="808080"/>
            </w:tcBorders>
          </w:tcPr>
          <w:p>
            <w:r/>
            <w:r>
              <w:rPr>
                <w:rFonts w:ascii="Arial" w:hAnsi="Arial"/>
                <w:sz w:val="18"/>
              </w:rPr>
              <w:t>No (15-min delayed)</w:t>
            </w:r>
          </w:p>
        </w:tc>
      </w:tr>
      <w:tr>
        <w:tc>
          <w:tcPr>
            <w:tcW w:type="dxa" w:w="1872"/>
            <w:tcBorders>
              <w:top w:val="single" w:sz="4" w:color="808080"/>
              <w:left w:val="single" w:sz="4" w:color="808080"/>
              <w:bottom w:val="single" w:sz="4" w:color="808080"/>
              <w:right w:val="single" w:sz="4" w:color="808080"/>
            </w:tcBorders>
          </w:tcPr>
          <w:p>
            <w:r/>
            <w:r>
              <w:rPr>
                <w:rFonts w:ascii="Arial" w:hAnsi="Arial"/>
                <w:sz w:val="18"/>
              </w:rPr>
              <w:t>Starter</w:t>
            </w:r>
          </w:p>
        </w:tc>
        <w:tc>
          <w:tcPr>
            <w:tcW w:type="dxa" w:w="1872"/>
            <w:tcBorders>
              <w:top w:val="single" w:sz="4" w:color="808080"/>
              <w:left w:val="single" w:sz="4" w:color="808080"/>
              <w:bottom w:val="single" w:sz="4" w:color="808080"/>
              <w:right w:val="single" w:sz="4" w:color="808080"/>
            </w:tcBorders>
          </w:tcPr>
          <w:p>
            <w:r/>
            <w:r>
              <w:rPr>
                <w:rFonts w:ascii="Arial" w:hAnsi="Arial"/>
                <w:sz w:val="18"/>
              </w:rPr>
              <w:t>~$29</w:t>
            </w:r>
          </w:p>
        </w:tc>
        <w:tc>
          <w:tcPr>
            <w:tcW w:type="dxa" w:w="1872"/>
            <w:tcBorders>
              <w:top w:val="single" w:sz="4" w:color="808080"/>
              <w:left w:val="single" w:sz="4" w:color="808080"/>
              <w:bottom w:val="single" w:sz="4" w:color="808080"/>
              <w:right w:val="single" w:sz="4" w:color="808080"/>
            </w:tcBorders>
          </w:tcPr>
          <w:p>
            <w:r/>
            <w:r>
              <w:rPr>
                <w:rFonts w:ascii="Arial" w:hAnsi="Arial"/>
                <w:sz w:val="18"/>
              </w:rPr>
              <w:t>5 years EOD</w:t>
            </w:r>
          </w:p>
        </w:tc>
        <w:tc>
          <w:tcPr>
            <w:tcW w:type="dxa" w:w="1872"/>
            <w:tcBorders>
              <w:top w:val="single" w:sz="4" w:color="808080"/>
              <w:left w:val="single" w:sz="4" w:color="808080"/>
              <w:bottom w:val="single" w:sz="4" w:color="808080"/>
              <w:right w:val="single" w:sz="4" w:color="808080"/>
            </w:tcBorders>
          </w:tcPr>
          <w:p>
            <w:r/>
            <w:r>
              <w:rPr>
                <w:rFonts w:ascii="Arial" w:hAnsi="Arial"/>
                <w:sz w:val="18"/>
              </w:rPr>
              <w:t>Unlimited</w:t>
            </w:r>
          </w:p>
        </w:tc>
        <w:tc>
          <w:tcPr>
            <w:tcW w:type="dxa" w:w="1872"/>
            <w:tcBorders>
              <w:top w:val="single" w:sz="4" w:color="808080"/>
              <w:left w:val="single" w:sz="4" w:color="808080"/>
              <w:bottom w:val="single" w:sz="4" w:color="808080"/>
              <w:right w:val="single" w:sz="4" w:color="808080"/>
            </w:tcBorders>
          </w:tcPr>
          <w:p>
            <w:r/>
            <w:r>
              <w:rPr>
                <w:rFonts w:ascii="Arial" w:hAnsi="Arial"/>
                <w:sz w:val="18"/>
              </w:rPr>
              <w:t>No (15-min delayed)</w:t>
            </w:r>
          </w:p>
        </w:tc>
      </w:tr>
      <w:tr>
        <w:tc>
          <w:tcPr>
            <w:tcW w:type="dxa" w:w="1872"/>
            <w:tcBorders>
              <w:top w:val="single" w:sz="4" w:color="808080"/>
              <w:left w:val="single" w:sz="4" w:color="808080"/>
              <w:bottom w:val="single" w:sz="4" w:color="808080"/>
              <w:right w:val="single" w:sz="4" w:color="808080"/>
            </w:tcBorders>
          </w:tcPr>
          <w:p>
            <w:r/>
            <w:r>
              <w:rPr>
                <w:rFonts w:ascii="Arial" w:hAnsi="Arial"/>
                <w:sz w:val="18"/>
              </w:rPr>
              <w:t>Developer</w:t>
            </w:r>
          </w:p>
        </w:tc>
        <w:tc>
          <w:tcPr>
            <w:tcW w:type="dxa" w:w="1872"/>
            <w:tcBorders>
              <w:top w:val="single" w:sz="4" w:color="808080"/>
              <w:left w:val="single" w:sz="4" w:color="808080"/>
              <w:bottom w:val="single" w:sz="4" w:color="808080"/>
              <w:right w:val="single" w:sz="4" w:color="808080"/>
            </w:tcBorders>
          </w:tcPr>
          <w:p>
            <w:r/>
            <w:r>
              <w:rPr>
                <w:rFonts w:ascii="Arial" w:hAnsi="Arial"/>
                <w:sz w:val="18"/>
              </w:rPr>
              <w:t>~$79</w:t>
            </w:r>
          </w:p>
        </w:tc>
        <w:tc>
          <w:tcPr>
            <w:tcW w:type="dxa" w:w="1872"/>
            <w:tcBorders>
              <w:top w:val="single" w:sz="4" w:color="808080"/>
              <w:left w:val="single" w:sz="4" w:color="808080"/>
              <w:bottom w:val="single" w:sz="4" w:color="808080"/>
              <w:right w:val="single" w:sz="4" w:color="808080"/>
            </w:tcBorders>
          </w:tcPr>
          <w:p>
            <w:r/>
            <w:r>
              <w:rPr>
                <w:rFonts w:ascii="Arial" w:hAnsi="Arial"/>
                <w:sz w:val="18"/>
              </w:rPr>
              <w:t>10+ years EOD + intraday</w:t>
            </w:r>
          </w:p>
        </w:tc>
        <w:tc>
          <w:tcPr>
            <w:tcW w:type="dxa" w:w="1872"/>
            <w:tcBorders>
              <w:top w:val="single" w:sz="4" w:color="808080"/>
              <w:left w:val="single" w:sz="4" w:color="808080"/>
              <w:bottom w:val="single" w:sz="4" w:color="808080"/>
              <w:right w:val="single" w:sz="4" w:color="808080"/>
            </w:tcBorders>
          </w:tcPr>
          <w:p>
            <w:r/>
            <w:r>
              <w:rPr>
                <w:rFonts w:ascii="Arial" w:hAnsi="Arial"/>
                <w:sz w:val="18"/>
              </w:rPr>
              <w:t>Unlimited</w:t>
            </w:r>
          </w:p>
        </w:tc>
        <w:tc>
          <w:tcPr>
            <w:tcW w:type="dxa" w:w="1872"/>
            <w:tcBorders>
              <w:top w:val="single" w:sz="4" w:color="808080"/>
              <w:left w:val="single" w:sz="4" w:color="808080"/>
              <w:bottom w:val="single" w:sz="4" w:color="808080"/>
              <w:right w:val="single" w:sz="4" w:color="808080"/>
            </w:tcBorders>
          </w:tcPr>
          <w:p>
            <w:r/>
            <w:r>
              <w:rPr>
                <w:rFonts w:ascii="Arial" w:hAnsi="Arial"/>
                <w:sz w:val="18"/>
              </w:rPr>
              <w:t>Real-time included</w:t>
            </w:r>
          </w:p>
        </w:tc>
      </w:tr>
      <w:tr>
        <w:tc>
          <w:tcPr>
            <w:tcW w:type="dxa" w:w="1872"/>
            <w:tcBorders>
              <w:top w:val="single" w:sz="4" w:color="808080"/>
              <w:left w:val="single" w:sz="4" w:color="808080"/>
              <w:bottom w:val="single" w:sz="4" w:color="808080"/>
              <w:right w:val="single" w:sz="4" w:color="808080"/>
            </w:tcBorders>
          </w:tcPr>
          <w:p>
            <w:r/>
            <w:r>
              <w:rPr>
                <w:rFonts w:ascii="Arial" w:hAnsi="Arial"/>
                <w:sz w:val="18"/>
              </w:rPr>
              <w:t>Advanced</w:t>
            </w:r>
          </w:p>
        </w:tc>
        <w:tc>
          <w:tcPr>
            <w:tcW w:type="dxa" w:w="1872"/>
            <w:tcBorders>
              <w:top w:val="single" w:sz="4" w:color="808080"/>
              <w:left w:val="single" w:sz="4" w:color="808080"/>
              <w:bottom w:val="single" w:sz="4" w:color="808080"/>
              <w:right w:val="single" w:sz="4" w:color="808080"/>
            </w:tcBorders>
          </w:tcPr>
          <w:p>
            <w:r/>
            <w:r>
              <w:rPr>
                <w:rFonts w:ascii="Arial" w:hAnsi="Arial"/>
                <w:sz w:val="18"/>
              </w:rPr>
              <w:t>~$199</w:t>
            </w:r>
          </w:p>
        </w:tc>
        <w:tc>
          <w:tcPr>
            <w:tcW w:type="dxa" w:w="1872"/>
            <w:tcBorders>
              <w:top w:val="single" w:sz="4" w:color="808080"/>
              <w:left w:val="single" w:sz="4" w:color="808080"/>
              <w:bottom w:val="single" w:sz="4" w:color="808080"/>
              <w:right w:val="single" w:sz="4" w:color="808080"/>
            </w:tcBorders>
          </w:tcPr>
          <w:p>
            <w:r/>
            <w:r>
              <w:rPr>
                <w:rFonts w:ascii="Arial" w:hAnsi="Arial"/>
                <w:sz w:val="18"/>
              </w:rPr>
              <w:t>20+ years + tick data</w:t>
            </w:r>
          </w:p>
        </w:tc>
        <w:tc>
          <w:tcPr>
            <w:tcW w:type="dxa" w:w="1872"/>
            <w:tcBorders>
              <w:top w:val="single" w:sz="4" w:color="808080"/>
              <w:left w:val="single" w:sz="4" w:color="808080"/>
              <w:bottom w:val="single" w:sz="4" w:color="808080"/>
              <w:right w:val="single" w:sz="4" w:color="808080"/>
            </w:tcBorders>
          </w:tcPr>
          <w:p>
            <w:r/>
            <w:r>
              <w:rPr>
                <w:rFonts w:ascii="Arial" w:hAnsi="Arial"/>
                <w:sz w:val="18"/>
              </w:rPr>
              <w:t>Unlimited</w:t>
            </w:r>
          </w:p>
        </w:tc>
        <w:tc>
          <w:tcPr>
            <w:tcW w:type="dxa" w:w="1872"/>
            <w:tcBorders>
              <w:top w:val="single" w:sz="4" w:color="808080"/>
              <w:left w:val="single" w:sz="4" w:color="808080"/>
              <w:bottom w:val="single" w:sz="4" w:color="808080"/>
              <w:right w:val="single" w:sz="4" w:color="808080"/>
            </w:tcBorders>
          </w:tcPr>
          <w:p>
            <w:r/>
            <w:r>
              <w:rPr>
                <w:rFonts w:ascii="Arial" w:hAnsi="Arial"/>
                <w:sz w:val="18"/>
              </w:rPr>
              <w:t>Real-time + WebSocket</w:t>
            </w:r>
          </w:p>
        </w:tc>
      </w:tr>
    </w:tbl>
    <w:p>
      <w:r>
        <w:rPr>
          <w:rFonts w:ascii="Arial" w:hAnsi="Arial"/>
          <w:b/>
          <w:i w:val="0"/>
          <w:sz w:val="22"/>
        </w:rPr>
        <w:t xml:space="preserve">Caveat: </w:t>
      </w:r>
      <w:r>
        <w:rPr>
          <w:rFonts w:ascii="Arial" w:hAnsi="Arial"/>
          <w:b w:val="0"/>
          <w:i/>
          <w:sz w:val="22"/>
        </w:rPr>
        <w:t>Pricing above is from public sources and may have changed since the Massive rebrand. Chris should confirm what tier he's actually on before any piggyback decision.</w:t>
      </w:r>
    </w:p>
    <w:p>
      <w:pPr>
        <w:pStyle w:val="Heading2"/>
      </w:pPr>
      <w:r>
        <w:t>What Polygon would solve</w:t>
      </w:r>
    </w:p>
    <w:p>
      <w:pPr>
        <w:pStyle w:val="ListBullet"/>
      </w:pPr>
      <w:r>
        <w:rPr>
          <w:rFonts w:ascii="Arial" w:hAnsi="Arial"/>
          <w:b/>
          <w:i w:val="0"/>
          <w:sz w:val="22"/>
        </w:rPr>
        <w:t>yfinance silent-empty problem.</w:t>
      </w:r>
      <w:r>
        <w:rPr>
          <w:rFonts w:ascii="Arial" w:hAnsi="Arial"/>
          <w:b w:val="0"/>
          <w:i w:val="0"/>
          <w:sz w:val="22"/>
        </w:rPr>
        <w:t xml:space="preserve"> yfinance returns empty lists when throttled; Polygon returns proper errors with retry-after headers. The retry/sanity-gate code currently stashed for SP1500 becomes unnecessary because the failure mode it protects against doesn't exist on Polygon.</w:t>
      </w:r>
    </w:p>
    <w:p>
      <w:pPr>
        <w:pStyle w:val="ListBullet"/>
      </w:pPr>
      <w:r>
        <w:rPr>
          <w:rFonts w:ascii="Arial" w:hAnsi="Arial"/>
          <w:b/>
          <w:i w:val="0"/>
          <w:sz w:val="22"/>
        </w:rPr>
        <w:t>SP1500 universe expansion.</w:t>
      </w:r>
      <w:r>
        <w:rPr>
          <w:rFonts w:ascii="Arial" w:hAnsi="Arial"/>
          <w:b w:val="0"/>
          <w:i w:val="0"/>
          <w:sz w:val="22"/>
        </w:rPr>
        <w:t xml:space="preserve"> The pause reason was yfinance earnings dates returning 16% non-empty. Polygon's stocks plans include earnings dates as part of the API, not gated behind a separate product like Finnhub.</w:t>
      </w:r>
    </w:p>
    <w:p>
      <w:pPr>
        <w:pStyle w:val="ListBullet"/>
      </w:pPr>
      <w:r>
        <w:rPr>
          <w:rFonts w:ascii="Arial" w:hAnsi="Arial"/>
          <w:b/>
          <w:i w:val="0"/>
          <w:sz w:val="22"/>
        </w:rPr>
        <w:t>Historical data depth.</w:t>
      </w:r>
      <w:r>
        <w:rPr>
          <w:rFonts w:ascii="Arial" w:hAnsi="Arial"/>
          <w:b w:val="0"/>
          <w:i w:val="0"/>
          <w:sz w:val="22"/>
        </w:rPr>
        <w:t xml:space="preserve"> yfinance has 20+ years but data quality degrades for older periods, restated tickers get re-mapped silently, splits/dividends sometimes wrong. Polygon's historical data is exchange-sourced and stable.</w:t>
      </w:r>
    </w:p>
    <w:p>
      <w:pPr>
        <w:pStyle w:val="ListBullet"/>
      </w:pPr>
      <w:r>
        <w:rPr>
          <w:rFonts w:ascii="Arial" w:hAnsi="Arial"/>
          <w:b/>
          <w:i w:val="0"/>
          <w:sz w:val="22"/>
        </w:rPr>
        <w:t>Bulk download for cold-start runs.</w:t>
      </w:r>
      <w:r>
        <w:rPr>
          <w:rFonts w:ascii="Arial" w:hAnsi="Arial"/>
          <w:b w:val="0"/>
          <w:i w:val="0"/>
          <w:sz w:val="22"/>
        </w:rPr>
        <w:t xml:space="preserve"> Polygon offers daily flat-file S3 dumps. For a full-universe historical fetch, this is dramatically faster than per-ticker API calls.</w:t>
      </w:r>
    </w:p>
    <w:p>
      <w:pPr>
        <w:pStyle w:val="Heading2"/>
      </w:pPr>
      <w:r>
        <w:t>Three piggyback paths, ranked</w:t>
      </w:r>
    </w:p>
    <w:p>
      <w:r>
        <w:rPr>
          <w:rFonts w:ascii="Arial" w:hAnsi="Arial"/>
          <w:b/>
          <w:i w:val="0"/>
          <w:sz w:val="22"/>
        </w:rPr>
        <w:t xml:space="preserve">Option A: </w:t>
      </w:r>
      <w:r>
        <w:rPr>
          <w:rFonts w:ascii="Arial" w:hAnsi="Arial"/>
          <w:b/>
          <w:i w:val="0"/>
          <w:sz w:val="22"/>
        </w:rPr>
        <w:t>Use Chris's existing key (single subscription, shared).</w:t>
      </w:r>
      <w:r>
        <w:rPr>
          <w:rFonts w:ascii="Arial" w:hAnsi="Arial"/>
          <w:b w:val="0"/>
          <w:i w:val="0"/>
          <w:sz w:val="22"/>
        </w:rPr>
        <w:t xml:space="preserve"> Mike uses Chris's POLYGON_API_KEY in Mike's .env. Both contributors hit the same Polygon account.</w:t>
      </w:r>
    </w:p>
    <w:p>
      <w:pPr>
        <w:pStyle w:val="ListBullet"/>
      </w:pPr>
      <w:r>
        <w:rPr>
          <w:rFonts w:ascii="Arial" w:hAnsi="Arial"/>
          <w:sz w:val="22"/>
        </w:rPr>
        <w:t>Pros: No additional cost. Same data layer for both asset classes.</w:t>
      </w:r>
    </w:p>
    <w:p>
      <w:pPr>
        <w:pStyle w:val="ListBullet"/>
      </w:pPr>
      <w:r>
        <w:rPr>
          <w:rFonts w:ascii="Arial" w:hAnsi="Arial"/>
          <w:sz w:val="22"/>
        </w:rPr>
        <w:t>Cons: Mike's heavy stock fetches eat into Chris's options rate budget. If Mike runs an SP1500 fetch while Chris is running an options study, they throttle each other.</w:t>
      </w:r>
    </w:p>
    <w:p>
      <w:pPr>
        <w:pStyle w:val="ListBullet"/>
      </w:pPr>
      <w:r>
        <w:rPr>
          <w:rFonts w:ascii="Arial" w:hAnsi="Arial"/>
          <w:sz w:val="22"/>
        </w:rPr>
        <w:t>When this works: if Mike's equity work is mostly background research with predictable, slow-paced fetches.</w:t>
      </w:r>
    </w:p>
    <w:p>
      <w:r>
        <w:rPr>
          <w:rFonts w:ascii="Arial" w:hAnsi="Arial"/>
          <w:b/>
          <w:i w:val="0"/>
          <w:sz w:val="22"/>
        </w:rPr>
        <w:t xml:space="preserve">Option B: </w:t>
      </w:r>
      <w:r>
        <w:rPr>
          <w:rFonts w:ascii="Arial" w:hAnsi="Arial"/>
          <w:b/>
          <w:i w:val="0"/>
          <w:sz w:val="22"/>
        </w:rPr>
        <w:t>Mike subscribes to his own Polygon tier.</w:t>
      </w:r>
      <w:r>
        <w:rPr>
          <w:rFonts w:ascii="Arial" w:hAnsi="Arial"/>
          <w:b w:val="0"/>
          <w:i w:val="0"/>
          <w:sz w:val="22"/>
        </w:rPr>
        <w:t xml:space="preserve"> Two separate accounts. Each contributor pays their own subscription.</w:t>
      </w:r>
    </w:p>
    <w:p>
      <w:pPr>
        <w:pStyle w:val="ListBullet"/>
      </w:pPr>
      <w:r>
        <w:rPr>
          <w:rFonts w:ascii="Arial" w:hAnsi="Arial"/>
          <w:sz w:val="22"/>
        </w:rPr>
        <w:t>Pros: Cleanest isolation. Predictable performance for both.</w:t>
      </w:r>
    </w:p>
    <w:p>
      <w:pPr>
        <w:pStyle w:val="ListBullet"/>
      </w:pPr>
      <w:r>
        <w:rPr>
          <w:rFonts w:ascii="Arial" w:hAnsi="Arial"/>
          <w:sz w:val="22"/>
        </w:rPr>
        <w:t>Cons: ~$29-79/mo for Mike's equity work depending on tier. Doubles the project's data costs.</w:t>
      </w:r>
    </w:p>
    <w:p>
      <w:pPr>
        <w:pStyle w:val="ListBullet"/>
      </w:pPr>
      <w:r>
        <w:rPr>
          <w:rFonts w:ascii="Arial" w:hAnsi="Arial"/>
          <w:sz w:val="22"/>
        </w:rPr>
        <w:t>When this works: if equity work is going to become serious / persistent.</w:t>
      </w:r>
    </w:p>
    <w:p>
      <w:r>
        <w:rPr>
          <w:rFonts w:ascii="Arial" w:hAnsi="Arial"/>
          <w:b/>
          <w:i w:val="0"/>
          <w:sz w:val="22"/>
        </w:rPr>
        <w:t xml:space="preserve">Option C: </w:t>
      </w:r>
      <w:r>
        <w:rPr>
          <w:rFonts w:ascii="Arial" w:hAnsi="Arial"/>
          <w:b/>
          <w:i w:val="0"/>
          <w:sz w:val="22"/>
        </w:rPr>
        <w:t>Hybrid — shared key for now, separate later.</w:t>
      </w:r>
      <w:r>
        <w:rPr>
          <w:rFonts w:ascii="Arial" w:hAnsi="Arial"/>
          <w:b w:val="0"/>
          <w:i w:val="0"/>
          <w:sz w:val="22"/>
        </w:rPr>
        <w:t xml:space="preserve"> Start with Option A. If quota fights become a problem, upgrade to Option B.</w:t>
      </w:r>
    </w:p>
    <w:p>
      <w:pPr>
        <w:pStyle w:val="ListBullet"/>
      </w:pPr>
      <w:r>
        <w:rPr>
          <w:rFonts w:ascii="Arial" w:hAnsi="Arial"/>
          <w:sz w:val="22"/>
        </w:rPr>
        <w:t>Pros: Cheapest start. Real data informs the upgrade decision.</w:t>
      </w:r>
    </w:p>
    <w:p>
      <w:pPr>
        <w:pStyle w:val="ListBullet"/>
      </w:pPr>
      <w:r>
        <w:rPr>
          <w:rFonts w:ascii="Arial" w:hAnsi="Arial"/>
          <w:sz w:val="22"/>
        </w:rPr>
        <w:t>Cons: Need an early-warning mechanism (e.g., log all rate-limit hits) so the upgrade trigger doesn't get missed.</w:t>
      </w:r>
    </w:p>
    <w:p>
      <w:pPr>
        <w:pStyle w:val="ListBullet"/>
      </w:pPr>
      <w:r>
        <w:rPr>
          <w:rFonts w:ascii="Arial" w:hAnsi="Arial"/>
          <w:sz w:val="22"/>
        </w:rPr>
        <w:t>When this works: most likely the right answer for the current phase.</w:t>
      </w:r>
    </w:p>
    <w:p>
      <w:pPr>
        <w:pStyle w:val="Heading2"/>
      </w:pPr>
      <w:r>
        <w:t>Implementation cost</w:t>
      </w:r>
    </w:p>
    <w:p>
      <w:r>
        <w:rPr>
          <w:rFonts w:ascii="Arial" w:hAnsi="Arial"/>
          <w:b w:val="0"/>
          <w:i w:val="0"/>
          <w:sz w:val="22"/>
        </w:rPr>
        <w:t>To pilot the piggyback approach for SP1500:</w:t>
      </w:r>
    </w:p>
    <w:p>
      <w:pPr>
        <w:pStyle w:val="ListBullet"/>
      </w:pPr>
      <w:r>
        <w:rPr>
          <w:rFonts w:ascii="Arial" w:hAnsi="Arial"/>
          <w:sz w:val="22"/>
        </w:rPr>
        <w:t>Write src/polygon_equities.py mirroring src/options/polygon.py structure — ~2-3 hours of Claude Code work</w:t>
      </w:r>
    </w:p>
    <w:p>
      <w:pPr>
        <w:pStyle w:val="ListBullet"/>
      </w:pPr>
      <w:r>
        <w:rPr>
          <w:rFonts w:ascii="Arial" w:hAnsi="Arial"/>
          <w:sz w:val="22"/>
        </w:rPr>
        <w:t>Pop the SP1500 stash; rewrite earnings_dates fetch to use Polygon instead of yfinance — ~1-2 hours</w:t>
      </w:r>
    </w:p>
    <w:p>
      <w:pPr>
        <w:pStyle w:val="ListBullet"/>
      </w:pPr>
      <w:r>
        <w:rPr>
          <w:rFonts w:ascii="Arial" w:hAnsi="Arial"/>
          <w:sz w:val="22"/>
        </w:rPr>
        <w:t>Run the SP1500 fetch against Polygon — if Polygon's free tier is enough for a one-time bulk download, this is $0; otherwise $29-79</w:t>
      </w:r>
    </w:p>
    <w:p>
      <w:pPr>
        <w:pStyle w:val="ListBullet"/>
      </w:pPr>
      <w:r>
        <w:rPr>
          <w:rFonts w:ascii="Arial" w:hAnsi="Arial"/>
          <w:sz w:val="22"/>
        </w:rPr>
        <w:t>Verify earnings data quality matches or beats what we'd get from yfinance</w:t>
      </w:r>
    </w:p>
    <w:p>
      <w:r>
        <w:rPr>
          <w:rFonts w:ascii="Arial" w:hAnsi="Arial"/>
          <w:b w:val="0"/>
          <w:i w:val="0"/>
          <w:sz w:val="22"/>
        </w:rPr>
        <w:t>If the smoke test (~30 min) shows Polygon delivers usable earnings data, you've unblocked SP1500 expansion and removed the long-term yfinance reliability risk.</w:t>
      </w:r>
    </w:p>
    <w:p>
      <w:pPr>
        <w:pStyle w:val="Heading2"/>
      </w:pPr>
      <w:r>
        <w:t>Recommendation</w:t>
      </w:r>
    </w:p>
    <w:p>
      <w:r>
        <w:rPr>
          <w:rFonts w:ascii="Arial" w:hAnsi="Arial"/>
          <w:b/>
          <w:i w:val="0"/>
          <w:sz w:val="22"/>
        </w:rPr>
        <w:t>Take Option C.</w:t>
      </w:r>
      <w:r>
        <w:rPr>
          <w:rFonts w:ascii="Arial" w:hAnsi="Arial"/>
          <w:b w:val="0"/>
          <w:i w:val="0"/>
          <w:sz w:val="22"/>
        </w:rPr>
        <w:t xml:space="preserve"> Ask Chris what tier he's on and whether he's OK with you using his key. If yes, pilot the SP1500 fetch via Polygon as a single test case — that gives you concrete data on whether piggybacking is sustainable. If quota fights happen, switch to Option B. The total cost of being wrong is ~$50-100/mo — within budget for a research project this far along.</w:t>
      </w:r>
    </w:p>
    <w:p>
      <w:pPr>
        <w:pStyle w:val="Heading1"/>
      </w:pPr>
      <w:r>
        <w:t>4. What This Audit Could Not Verify</w:t>
      </w:r>
    </w:p>
    <w:p>
      <w:r>
        <w:rPr>
          <w:rFonts w:ascii="Arial" w:hAnsi="Arial"/>
          <w:b w:val="0"/>
          <w:i w:val="0"/>
          <w:sz w:val="22"/>
        </w:rPr>
        <w:t>Honesty section. These are things Claude Code flagged as unverifiable:</w:t>
      </w:r>
    </w:p>
    <w:p>
      <w:pPr>
        <w:pStyle w:val="ListBullet"/>
      </w:pPr>
      <w:r>
        <w:rPr>
          <w:rFonts w:ascii="Arial" w:hAnsi="Arial"/>
          <w:sz w:val="22"/>
        </w:rPr>
        <w:t>Whether the deployed Streamlit Cloud app currently renders without error in a browser. Manifest read suggests equity content is correct, but visual confirmation needed.</w:t>
      </w:r>
    </w:p>
    <w:p>
      <w:pPr>
        <w:pStyle w:val="ListBullet"/>
      </w:pPr>
      <w:r>
        <w:rPr>
          <w:rFonts w:ascii="Arial" w:hAnsi="Arial"/>
          <w:sz w:val="22"/>
        </w:rPr>
        <w:t>Whether models/cache/optuna_studies.db end-to-end-loads. File is 16 MB and looks intact, but the read path wasn't exercised.</w:t>
      </w:r>
    </w:p>
    <w:p>
      <w:pPr>
        <w:pStyle w:val="ListBullet"/>
      </w:pPr>
      <w:r>
        <w:rPr>
          <w:rFonts w:ascii="Arial" w:hAnsi="Arial"/>
          <w:sz w:val="22"/>
        </w:rPr>
        <w:t>Equity unit-test coverage. The 374 passing tests are mostly options-side. Equity correctness is asserted via reproducibility against the locked snapshot, not unit tests.</w:t>
      </w:r>
    </w:p>
    <w:p>
      <w:pPr>
        <w:pStyle w:val="ListBullet"/>
      </w:pPr>
      <w:r>
        <w:rPr>
          <w:rFonts w:ascii="Arial" w:hAnsi="Arial"/>
          <w:sz w:val="22"/>
        </w:rPr>
        <w:t>Whether Polygon API key in Mike's .env is valid. Audit didn't call the live endpoint.</w:t>
      </w:r>
    </w:p>
    <w:p>
      <w:pPr>
        <w:pStyle w:val="ListBullet"/>
      </w:pPr>
      <w:r>
        <w:rPr>
          <w:rFonts w:ascii="Arial" w:hAnsi="Arial"/>
          <w:sz w:val="22"/>
        </w:rPr>
        <w:t>Whether Chris has uncommitted local crypto work. Only main + chris/* remote branches were inspected.</w:t>
      </w:r>
    </w:p>
    <w:p>
      <w:pPr>
        <w:pStyle w:val="Heading1"/>
      </w:pPr>
      <w:r>
        <w:t>5. Strategic Read</w:t>
      </w:r>
    </w:p>
    <w:p>
      <w:r>
        <w:rPr>
          <w:rFonts w:ascii="Arial" w:hAnsi="Arial"/>
          <w:b w:val="0"/>
          <w:i w:val="0"/>
          <w:sz w:val="22"/>
        </w:rPr>
        <w:t>Beyond the immediate action items, four things about where the project is now:</w:t>
      </w:r>
    </w:p>
    <w:p>
      <w:pPr>
        <w:pStyle w:val="Heading2"/>
      </w:pPr>
      <w:r>
        <w:t>The architecture is paying off</w:t>
      </w:r>
    </w:p>
    <w:p>
      <w:r>
        <w:rPr>
          <w:rFonts w:ascii="Arial" w:hAnsi="Arial"/>
          <w:b w:val="0"/>
          <w:i w:val="0"/>
          <w:sz w:val="22"/>
        </w:rPr>
        <w:t>Three different research domains (equity, crypto, options) coexist in one codebase without conflict. The Phase 1 asset-class refactor is doing exactly what it was designed to do. Chris built an entire options module (21 files, 18 test files, 374 tests) without touching Mike's equity code, and Mike's equity work continued unaffected. That's the dividend on the upfront infrastructure investment.</w:t>
      </w:r>
    </w:p>
    <w:p>
      <w:pPr>
        <w:pStyle w:val="Heading2"/>
      </w:pPr>
      <w:r>
        <w:t>The bottleneck is coordination, not code</w:t>
      </w:r>
    </w:p>
    <w:p>
      <w:r>
        <w:rPr>
          <w:rFonts w:ascii="Arial" w:hAnsi="Arial"/>
          <w:b w:val="0"/>
          <w:i w:val="0"/>
          <w:sz w:val="22"/>
        </w:rPr>
        <w:t>Everything that remains on the HIGH action list is coordination work — launch a queued study, sync R2 once artifacts exist, share .env between machines, update stale memos. No deep technical work is currently blocked. That's a much better state than "we have a working strategy but the code is broken," which is where many quant projects get stuck.</w:t>
      </w:r>
    </w:p>
    <w:p>
      <w:pPr>
        <w:pStyle w:val="Heading2"/>
      </w:pPr>
      <w:r>
        <w:t>The next strategic decision is data infrastructure</w:t>
      </w:r>
    </w:p>
    <w:p>
      <w:r>
        <w:rPr>
          <w:rFonts w:ascii="Arial" w:hAnsi="Arial"/>
          <w:b w:val="0"/>
          <w:i w:val="0"/>
          <w:sz w:val="22"/>
        </w:rPr>
        <w:t>The Polygon piggyback question is the most consequential decision pending. It affects:</w:t>
      </w:r>
    </w:p>
    <w:p>
      <w:pPr>
        <w:pStyle w:val="ListBullet"/>
      </w:pPr>
      <w:r>
        <w:rPr>
          <w:rFonts w:ascii="Arial" w:hAnsi="Arial"/>
          <w:sz w:val="22"/>
        </w:rPr>
        <w:t>SP1500 expansion (currently paused on yfinance reliability)</w:t>
      </w:r>
    </w:p>
    <w:p>
      <w:pPr>
        <w:pStyle w:val="ListBullet"/>
      </w:pPr>
      <w:r>
        <w:rPr>
          <w:rFonts w:ascii="Arial" w:hAnsi="Arial"/>
          <w:sz w:val="22"/>
        </w:rPr>
        <w:t>Future equity walk-forward validation</w:t>
      </w:r>
    </w:p>
    <w:p>
      <w:pPr>
        <w:pStyle w:val="ListBullet"/>
      </w:pPr>
      <w:r>
        <w:rPr>
          <w:rFonts w:ascii="Arial" w:hAnsi="Arial"/>
          <w:sz w:val="22"/>
        </w:rPr>
        <w:t>Cross-asset research consistency (using the same data vendor for both)</w:t>
      </w:r>
    </w:p>
    <w:p>
      <w:pPr>
        <w:pStyle w:val="ListBullet"/>
      </w:pPr>
      <w:r>
        <w:rPr>
          <w:rFonts w:ascii="Arial" w:hAnsi="Arial"/>
          <w:sz w:val="22"/>
        </w:rPr>
        <w:t>Eventually, live trading data quality</w:t>
      </w:r>
    </w:p>
    <w:p>
      <w:r>
        <w:rPr>
          <w:rFonts w:ascii="Arial" w:hAnsi="Arial"/>
          <w:b w:val="0"/>
          <w:i w:val="0"/>
          <w:sz w:val="22"/>
        </w:rPr>
        <w:t>If you decide to go Polygon for stocks: that's a $0-79/mo decision that materially improves the project's long-term ceiling. If you decide to stay yfinance: SP1500 expansion needs a different solution and you're permanently exposed to yfinance's flakiness at scale.</w:t>
      </w:r>
    </w:p>
    <w:p>
      <w:pPr>
        <w:pStyle w:val="Heading2"/>
      </w:pPr>
      <w:r>
        <w:t>On Chris's options work</w:t>
      </w:r>
    </w:p>
    <w:p>
      <w:r>
        <w:rPr>
          <w:rFonts w:ascii="Arial" w:hAnsi="Arial"/>
          <w:b w:val="0"/>
          <w:i w:val="0"/>
          <w:sz w:val="22"/>
        </w:rPr>
        <w:t>Chris shipped 13 commits in 2 days, with PR #15 landing the hang fix + concurrency refactor on 2026-05-11. The work is real — proper Greeks (Black-Scholes), engine, position model, BacktestConfig, FeeModel, Optuna runner, promotion gate, concentration analysis. The PR #15 hang fix was exactly the kind of bug that shows up when you actually try to run something end-to-end.</w:t>
      </w:r>
    </w:p>
    <w:p>
      <w:r>
        <w:rPr>
          <w:rFonts w:ascii="Arial" w:hAnsi="Arial"/>
          <w:b w:val="0"/>
          <w:i w:val="0"/>
          <w:sz w:val="22"/>
        </w:rPr>
        <w:t>Now that PR #15 has merged, the v1 study is unblocked. Once Chris launches it and it completes, the project gets a third promotable workstream alongside the three equity studies. The dashboard will need parallel options tabs eventually (or at least a Performance tab that handles both asset classes); that's a future-work item Chris should think about as he gets close to v1 promotion.</w:t>
      </w:r>
    </w:p>
    <w:p>
      <w:pPr>
        <w:pStyle w:val="Heading2"/>
      </w:pPr>
      <w:r>
        <w:t>Workstation parity goal</w:t>
      </w:r>
    </w:p>
    <w:p>
      <w:r>
        <w:rPr>
          <w:rFonts w:ascii="Arial" w:hAnsi="Arial"/>
          <w:b w:val="0"/>
          <w:i w:val="0"/>
          <w:sz w:val="22"/>
        </w:rPr>
        <w:t>Mike and Chris are working toward a two-workstation parity model — either machine should be capable of picking up tasks the other was doing. Most code is already portable thanks to the Phase 1 asset-class refactor. Remaining work to reach full parity:</w:t>
      </w:r>
    </w:p>
    <w:p>
      <w:pPr>
        <w:pStyle w:val="ListBullet"/>
      </w:pPr>
      <w:r>
        <w:rPr>
          <w:rFonts w:ascii="Arial" w:hAnsi="Arial"/>
          <w:sz w:val="22"/>
        </w:rPr>
        <w:t>Identical .env on both machines (done as of this commit — .env.example now enumerates the full key set)</w:t>
      </w:r>
    </w:p>
    <w:p>
      <w:pPr>
        <w:pStyle w:val="ListBullet"/>
      </w:pPr>
      <w:r>
        <w:rPr>
          <w:rFonts w:ascii="Arial" w:hAnsi="Arial"/>
          <w:sz w:val="22"/>
        </w:rPr>
        <w:t>Python version + venv package parity</w:t>
      </w:r>
    </w:p>
    <w:p>
      <w:pPr>
        <w:pStyle w:val="ListBullet"/>
      </w:pPr>
      <w:r>
        <w:rPr>
          <w:rFonts w:ascii="Arial" w:hAnsi="Arial"/>
          <w:sz w:val="22"/>
        </w:rPr>
        <w:t>Snapshot data portability — the 228 MB equity snapshot is currently single-source on Mike's machine; should be backed up to R2 or regeneratable</w:t>
      </w:r>
    </w:p>
    <w:p>
      <w:pPr>
        <w:pStyle w:val="ListBullet"/>
      </w:pPr>
      <w:r>
        <w:rPr>
          <w:rFonts w:ascii="Arial" w:hAnsi="Arial"/>
          <w:sz w:val="22"/>
        </w:rPr>
        <w:t>Documented hardware-aware task routing for CUDA-required work on Chris's RTX 5080</w:t>
      </w:r>
    </w:p>
    <w:p>
      <w:r>
        <w:rPr>
          <w:rFonts w:ascii="Arial" w:hAnsi="Arial"/>
          <w:b w:val="0"/>
          <w:i w:val="0"/>
          <w:sz w:val="22"/>
        </w:rPr>
        <w:t>See docs/future_work.md ("Two-workstation parity for cross-contributor handoff") for the multi-phase plan and per-phase cost estimates.</w:t>
      </w:r>
    </w:p>
    <w:p>
      <w:pPr>
        <w:pStyle w:val="Heading1"/>
      </w:pPr>
      <w:r>
        <w:t>Appendix A: Quick Reference</w:t>
      </w:r>
    </w:p>
    <w:p>
      <w:pPr>
        <w:pStyle w:val="Heading2"/>
      </w:pPr>
      <w:r>
        <w:t>Action sequence — copy-paste</w:t>
      </w:r>
    </w:p>
    <w:tbl>
      <w:tblPr>
        <w:tblW w:type="auto" w:w="0"/>
        <w:tblLayout w:type="autofit"/>
        <w:tblLook w:firstColumn="1" w:firstRow="1" w:lastColumn="0" w:lastRow="0" w:noHBand="0" w:noVBand="1" w:val="04A0"/>
      </w:tblPr>
      <w:tblGrid>
        <w:gridCol w:w="9360"/>
      </w:tblGrid>
      <w:tr>
        <w:tc>
          <w:tcPr>
            <w:tcW w:type="dxa" w:w="9360"/>
            <w:shd w:val="clear" w:color="auto" w:fill="F2F2F2"/>
          </w:tcPr>
          <w:p>
            <w:pPr>
              <w:spacing w:after="0" w:before="0"/>
            </w:pPr>
            <w:r>
              <w:rPr>
                <w:rFonts w:ascii="Consolas" w:hAnsi="Consolas"/>
                <w:sz w:val="18"/>
              </w:rPr>
              <w:t># Post-PR-#15-merge action sequence (most URGENT items done</w:t>
            </w:r>
          </w:p>
          <w:p>
            <w:pPr>
              <w:spacing w:after="0" w:before="0"/>
            </w:pPr>
            <w:r>
              <w:rPr>
                <w:rFonts w:ascii="Consolas" w:hAnsi="Consolas"/>
                <w:sz w:val="18"/>
              </w:rPr>
              <w:t># 2026-05-11; remaining items pending Chris's v1 study output).</w:t>
            </w:r>
          </w:p>
          <w:p>
            <w:pPr>
              <w:spacing w:after="0" w:before="0"/>
            </w:pPr>
            <w:r>
              <w:rPr>
                <w:rFonts w:ascii="Consolas" w:hAnsi="Consolas"/>
                <w:sz w:val="18"/>
              </w:rPr>
              <w:t xml:space="preserve"> </w:t>
            </w:r>
          </w:p>
          <w:p>
            <w:pPr>
              <w:spacing w:after="0" w:before="0"/>
            </w:pPr>
            <w:r>
              <w:rPr>
                <w:rFonts w:ascii="Consolas" w:hAnsi="Consolas"/>
                <w:sz w:val="18"/>
              </w:rPr>
              <w:t>cd C:\Users\mteev\Documents\Claude-Investing\paper_trader</w:t>
            </w:r>
          </w:p>
          <w:p>
            <w:pPr>
              <w:spacing w:after="0" w:before="0"/>
            </w:pPr>
            <w:r>
              <w:rPr>
                <w:rFonts w:ascii="Consolas" w:hAnsi="Consolas"/>
                <w:sz w:val="18"/>
              </w:rPr>
              <w:t xml:space="preserve"> </w:t>
            </w:r>
          </w:p>
          <w:p>
            <w:pPr>
              <w:spacing w:after="0" w:before="0"/>
            </w:pPr>
            <w:r>
              <w:rPr>
                <w:rFonts w:ascii="Consolas" w:hAnsi="Consolas"/>
                <w:sz w:val="18"/>
              </w:rPr>
              <w:t># 1. Confirm local main is current</w:t>
            </w:r>
          </w:p>
          <w:p>
            <w:pPr>
              <w:spacing w:after="0" w:before="0"/>
            </w:pPr>
            <w:r>
              <w:rPr>
                <w:rFonts w:ascii="Consolas" w:hAnsi="Consolas"/>
                <w:sz w:val="18"/>
              </w:rPr>
              <w:t>git checkout main</w:t>
            </w:r>
          </w:p>
          <w:p>
            <w:pPr>
              <w:spacing w:after="0" w:before="0"/>
            </w:pPr>
            <w:r>
              <w:rPr>
                <w:rFonts w:ascii="Consolas" w:hAnsi="Consolas"/>
                <w:sz w:val="18"/>
              </w:rPr>
              <w:t>git pull origin main</w:t>
            </w:r>
          </w:p>
          <w:p>
            <w:pPr>
              <w:spacing w:after="0" w:before="0"/>
            </w:pPr>
            <w:r>
              <w:rPr>
                <w:rFonts w:ascii="Consolas" w:hAnsi="Consolas"/>
                <w:sz w:val="18"/>
              </w:rPr>
              <w:t xml:space="preserve"> </w:t>
            </w:r>
          </w:p>
          <w:p>
            <w:pPr>
              <w:spacing w:after="0" w:before="0"/>
            </w:pPr>
            <w:r>
              <w:rPr>
                <w:rFonts w:ascii="Consolas" w:hAnsi="Consolas"/>
                <w:sz w:val="18"/>
              </w:rPr>
              <w:t># 2. (Chris) Launch the v1 production study. ~6h runtime.</w:t>
            </w:r>
          </w:p>
          <w:p>
            <w:pPr>
              <w:spacing w:after="0" w:before="0"/>
            </w:pPr>
            <w:r>
              <w:rPr>
                <w:rFonts w:ascii="Consolas" w:hAnsi="Consolas"/>
                <w:sz w:val="18"/>
              </w:rPr>
              <w:t>venv\Scripts\python.exe scripts\run_options_v1_study.py</w:t>
            </w:r>
          </w:p>
          <w:p>
            <w:pPr>
              <w:spacing w:after="0" w:before="0"/>
            </w:pPr>
            <w:r>
              <w:rPr>
                <w:rFonts w:ascii="Consolas" w:hAnsi="Consolas"/>
                <w:sz w:val="18"/>
              </w:rPr>
              <w:t xml:space="preserve"> </w:t>
            </w:r>
          </w:p>
          <w:p>
            <w:pPr>
              <w:spacing w:after="0" w:before="0"/>
            </w:pPr>
            <w:r>
              <w:rPr>
                <w:rFonts w:ascii="Consolas" w:hAnsi="Consolas"/>
                <w:sz w:val="18"/>
              </w:rPr>
              <w:t># 3. After v1 study completes, sync options R2 (first-ever</w:t>
            </w:r>
          </w:p>
          <w:p>
            <w:pPr>
              <w:spacing w:after="0" w:before="0"/>
            </w:pPr>
            <w:r>
              <w:rPr>
                <w:rFonts w:ascii="Consolas" w:hAnsi="Consolas"/>
                <w:sz w:val="18"/>
              </w:rPr>
              <w:t>#    options upload). --dry-run first.</w:t>
            </w:r>
          </w:p>
          <w:p>
            <w:pPr>
              <w:spacing w:after="0" w:before="0"/>
            </w:pPr>
            <w:r>
              <w:rPr>
                <w:rFonts w:ascii="Consolas" w:hAnsi="Consolas"/>
                <w:sz w:val="18"/>
              </w:rPr>
              <w:t>venv\Scripts\python.exe src\snapshot_for_cloud.py --asset-class options --dry-run</w:t>
            </w:r>
          </w:p>
          <w:p>
            <w:pPr>
              <w:spacing w:after="0" w:before="0"/>
            </w:pPr>
            <w:r>
              <w:rPr>
                <w:rFonts w:ascii="Consolas" w:hAnsi="Consolas"/>
                <w:sz w:val="18"/>
              </w:rPr>
              <w:t>venv\Scripts\python.exe src\snapshot_for_cloud.py --asset-class options</w:t>
            </w:r>
          </w:p>
          <w:p>
            <w:pPr>
              <w:spacing w:after="0" w:before="0"/>
            </w:pPr>
            <w:r>
              <w:rPr>
                <w:rFonts w:ascii="Consolas" w:hAnsi="Consolas"/>
                <w:sz w:val="18"/>
              </w:rPr>
              <w:t xml:space="preserve"> </w:t>
            </w:r>
          </w:p>
          <w:p>
            <w:pPr>
              <w:spacing w:after="0" w:before="0"/>
            </w:pPr>
            <w:r>
              <w:rPr>
                <w:rFonts w:ascii="Consolas" w:hAnsi="Consolas"/>
                <w:sz w:val="18"/>
              </w:rPr>
              <w:t># 4. Hard-refresh https://paper-trader-mteev.streamlit.app</w:t>
            </w:r>
          </w:p>
          <w:p>
            <w:pPr>
              <w:spacing w:after="0" w:before="0"/>
            </w:pPr>
            <w:r>
              <w:rPr>
                <w:rFonts w:ascii="Consolas" w:hAnsi="Consolas"/>
                <w:sz w:val="18"/>
              </w:rPr>
              <w:t>#    Click each tab. Verify Options tab shows real content</w:t>
            </w:r>
          </w:p>
          <w:p>
            <w:pPr>
              <w:spacing w:after="0" w:before="0"/>
            </w:pPr>
            <w:r>
              <w:rPr>
                <w:rFonts w:ascii="Consolas" w:hAnsi="Consolas"/>
                <w:sz w:val="18"/>
              </w:rPr>
              <w:t>#    instead of placeholder.</w:t>
            </w:r>
          </w:p>
          <w:p>
            <w:pPr>
              <w:spacing w:after="0" w:before="0"/>
            </w:pPr>
            <w:r>
              <w:rPr>
                <w:rFonts w:ascii="Consolas" w:hAnsi="Consolas"/>
                <w:sz w:val="18"/>
              </w:rPr>
              <w:t xml:space="preserve"> </w:t>
            </w:r>
          </w:p>
          <w:p>
            <w:pPr>
              <w:spacing w:after="0" w:before="0"/>
            </w:pPr>
            <w:r>
              <w:rPr>
                <w:rFonts w:ascii="Consolas" w:hAnsi="Consolas"/>
                <w:sz w:val="18"/>
              </w:rPr>
              <w:t># 5. Run pytest to confirm all tests still pass</w:t>
            </w:r>
          </w:p>
          <w:p>
            <w:pPr>
              <w:spacing w:after="0" w:before="0"/>
            </w:pPr>
            <w:r>
              <w:rPr>
                <w:rFonts w:ascii="Consolas" w:hAnsi="Consolas"/>
                <w:sz w:val="18"/>
              </w:rPr>
              <w:t>venv\Scripts\pytest -v</w:t>
            </w:r>
          </w:p>
        </w:tc>
      </w:tr>
    </w:tbl>
    <w:p>
      <w:pPr>
        <w:pStyle w:val="Heading2"/>
      </w:pPr>
      <w:r>
        <w:t>Key file paths</w:t>
      </w:r>
    </w:p>
    <w:tbl>
      <w:tblPr>
        <w:tblW w:type="auto" w:w="0"/>
        <w:tblLayout w:type="autofit"/>
        <w:tblLook w:firstColumn="1" w:firstRow="1" w:lastColumn="0" w:lastRow="0" w:noHBand="0" w:noVBand="1" w:val="04A0"/>
      </w:tblPr>
      <w:tblGrid>
        <w:gridCol w:w="9360"/>
      </w:tblGrid>
      <w:tr>
        <w:tc>
          <w:tcPr>
            <w:tcW w:type="dxa" w:w="9360"/>
            <w:shd w:val="clear" w:color="auto" w:fill="F2F2F2"/>
          </w:tcPr>
          <w:p>
            <w:pPr>
              <w:spacing w:after="0" w:before="0"/>
            </w:pPr>
            <w:r>
              <w:rPr>
                <w:rFonts w:ascii="Consolas" w:hAnsi="Consolas"/>
                <w:sz w:val="18"/>
              </w:rPr>
              <w:t># Production data</w:t>
            </w:r>
          </w:p>
          <w:p>
            <w:pPr>
              <w:spacing w:after="0" w:before="0"/>
            </w:pPr>
            <w:r>
              <w:rPr>
                <w:rFonts w:ascii="Consolas" w:hAnsi="Consolas"/>
                <w:sz w:val="18"/>
              </w:rPr>
              <w:t>models/snapshots/equities/pre_v2_20260505/</w:t>
            </w:r>
          </w:p>
          <w:p>
            <w:pPr>
              <w:spacing w:after="0" w:before="0"/>
            </w:pPr>
            <w:r>
              <w:rPr>
                <w:rFonts w:ascii="Consolas" w:hAnsi="Consolas"/>
                <w:sz w:val="18"/>
              </w:rPr>
              <w:t xml:space="preserve"> </w:t>
            </w:r>
          </w:p>
          <w:p>
            <w:pPr>
              <w:spacing w:after="0" w:before="0"/>
            </w:pPr>
            <w:r>
              <w:rPr>
                <w:rFonts w:ascii="Consolas" w:hAnsi="Consolas"/>
                <w:sz w:val="18"/>
              </w:rPr>
              <w:t># Promoted studies (R2 reads these)</w:t>
            </w:r>
          </w:p>
          <w:p>
            <w:pPr>
              <w:spacing w:after="0" w:before="0"/>
            </w:pPr>
            <w:r>
              <w:rPr>
                <w:rFonts w:ascii="Consolas" w:hAnsi="Consolas"/>
                <w:sz w:val="18"/>
              </w:rPr>
              <w:t>models/cache/dashboard_results/best_*/</w:t>
            </w:r>
          </w:p>
          <w:p>
            <w:pPr>
              <w:spacing w:after="0" w:before="0"/>
            </w:pPr>
            <w:r>
              <w:rPr>
                <w:rFonts w:ascii="Consolas" w:hAnsi="Consolas"/>
                <w:sz w:val="18"/>
              </w:rPr>
              <w:t xml:space="preserve"> </w:t>
            </w:r>
          </w:p>
          <w:p>
            <w:pPr>
              <w:spacing w:after="0" w:before="0"/>
            </w:pPr>
            <w:r>
              <w:rPr>
                <w:rFonts w:ascii="Consolas" w:hAnsi="Consolas"/>
                <w:sz w:val="18"/>
              </w:rPr>
              <w:t># Locked configs</w:t>
            </w:r>
          </w:p>
          <w:p>
            <w:pPr>
              <w:spacing w:after="0" w:before="0"/>
            </w:pPr>
            <w:r>
              <w:rPr>
                <w:rFonts w:ascii="Consolas" w:hAnsi="Consolas"/>
                <w:sz w:val="18"/>
              </w:rPr>
              <w:t>models/cache/dashboard_results/best_regime_dependent_v1_20260505_2240_325/</w:t>
            </w:r>
          </w:p>
          <w:p>
            <w:pPr>
              <w:spacing w:after="0" w:before="0"/>
            </w:pPr>
            <w:r>
              <w:rPr>
                <w:rFonts w:ascii="Consolas" w:hAnsi="Consolas"/>
                <w:sz w:val="18"/>
              </w:rPr>
              <w:t>models/cache/dashboard_results/best_15_position_study_v1_842/</w:t>
            </w:r>
          </w:p>
          <w:p>
            <w:pPr>
              <w:spacing w:after="0" w:before="0"/>
            </w:pPr>
            <w:r>
              <w:rPr>
                <w:rFonts w:ascii="Consolas" w:hAnsi="Consolas"/>
                <w:sz w:val="18"/>
              </w:rPr>
              <w:t>models/cache/dashboard_results/best_continuous_sizing_v1_1852/</w:t>
            </w:r>
          </w:p>
          <w:p>
            <w:pPr>
              <w:spacing w:after="0" w:before="0"/>
            </w:pPr>
            <w:r>
              <w:rPr>
                <w:rFonts w:ascii="Consolas" w:hAnsi="Consolas"/>
                <w:sz w:val="18"/>
              </w:rPr>
              <w:t xml:space="preserve"> </w:t>
            </w:r>
          </w:p>
          <w:p>
            <w:pPr>
              <w:spacing w:after="0" w:before="0"/>
            </w:pPr>
            <w:r>
              <w:rPr>
                <w:rFonts w:ascii="Consolas" w:hAnsi="Consolas"/>
                <w:sz w:val="18"/>
              </w:rPr>
              <w:t># Documentation</w:t>
            </w:r>
          </w:p>
          <w:p>
            <w:pPr>
              <w:spacing w:after="0" w:before="0"/>
            </w:pPr>
            <w:r>
              <w:rPr>
                <w:rFonts w:ascii="Consolas" w:hAnsi="Consolas"/>
                <w:sz w:val="18"/>
              </w:rPr>
              <w:t>docs/Comprehensive_User_Guide.docx</w:t>
            </w:r>
          </w:p>
          <w:p>
            <w:pPr>
              <w:spacing w:after="0" w:before="0"/>
            </w:pPr>
            <w:r>
              <w:rPr>
                <w:rFonts w:ascii="Consolas" w:hAnsi="Consolas"/>
                <w:sz w:val="18"/>
              </w:rPr>
              <w:t>docs/Crypto_Extension_Decisions.md</w:t>
            </w:r>
          </w:p>
          <w:p>
            <w:pPr>
              <w:spacing w:after="0" w:before="0"/>
            </w:pPr>
            <w:r>
              <w:rPr>
                <w:rFonts w:ascii="Consolas" w:hAnsi="Consolas"/>
                <w:sz w:val="18"/>
              </w:rPr>
              <w:t>docs/Options_Extension_Decisions.md</w:t>
            </w:r>
          </w:p>
          <w:p>
            <w:pPr>
              <w:spacing w:after="0" w:before="0"/>
            </w:pPr>
            <w:r>
              <w:rPr>
                <w:rFonts w:ascii="Consolas" w:hAnsi="Consolas"/>
                <w:sz w:val="18"/>
              </w:rPr>
              <w:t>docs/future_work.md</w:t>
            </w:r>
          </w:p>
          <w:p>
            <w:pPr>
              <w:spacing w:after="0" w:before="0"/>
            </w:pPr>
            <w:r>
              <w:rPr>
                <w:rFonts w:ascii="Consolas" w:hAnsi="Consolas"/>
                <w:sz w:val="18"/>
              </w:rPr>
              <w:t>docs/Project_State_Tracker.docx  (this doc, committed)</w:t>
            </w:r>
          </w:p>
          <w:p>
            <w:pPr>
              <w:spacing w:after="0" w:before="0"/>
            </w:pPr>
            <w:r>
              <w:rPr>
                <w:rFonts w:ascii="Consolas" w:hAnsi="Consolas"/>
                <w:sz w:val="18"/>
              </w:rPr>
              <w:t xml:space="preserve"> </w:t>
            </w:r>
          </w:p>
          <w:p>
            <w:pPr>
              <w:spacing w:after="0" w:before="0"/>
            </w:pPr>
            <w:r>
              <w:rPr>
                <w:rFonts w:ascii="Consolas" w:hAnsi="Consolas"/>
                <w:sz w:val="18"/>
              </w:rPr>
              <w:t># Specs for next Claude Code sessions</w:t>
            </w:r>
          </w:p>
          <w:p>
            <w:pPr>
              <w:spacing w:after="0" w:before="0"/>
            </w:pPr>
            <w:r>
              <w:rPr>
                <w:rFonts w:ascii="Consolas" w:hAnsi="Consolas"/>
                <w:sz w:val="18"/>
              </w:rPr>
              <w:t>docs/specs/Sizing_Decisions_Viz_Prompt.md</w:t>
            </w:r>
          </w:p>
          <w:p>
            <w:pPr>
              <w:spacing w:after="0" w:before="0"/>
            </w:pPr>
            <w:r>
              <w:rPr>
                <w:rFonts w:ascii="Consolas" w:hAnsi="Consolas"/>
                <w:sz w:val="18"/>
              </w:rPr>
              <w:t>docs/specs/Dashboard_Rebuild_Spec.docx</w:t>
            </w:r>
          </w:p>
          <w:p>
            <w:pPr>
              <w:spacing w:after="0" w:before="0"/>
            </w:pPr>
            <w:r>
              <w:rPr>
                <w:rFonts w:ascii="Consolas" w:hAnsi="Consolas"/>
                <w:sz w:val="18"/>
              </w:rPr>
              <w:t>docs/specs/Dashboard_Viz_Implementation_Spec.docx</w:t>
            </w:r>
          </w:p>
          <w:p>
            <w:pPr>
              <w:spacing w:after="0" w:before="0"/>
            </w:pPr>
            <w:r>
              <w:rPr>
                <w:rFonts w:ascii="Consolas" w:hAnsi="Consolas"/>
                <w:sz w:val="18"/>
              </w:rPr>
              <w:t xml:space="preserve"> </w:t>
            </w:r>
          </w:p>
          <w:p>
            <w:pPr>
              <w:spacing w:after="0" w:before="0"/>
            </w:pPr>
            <w:r>
              <w:rPr>
                <w:rFonts w:ascii="Consolas" w:hAnsi="Consolas"/>
                <w:sz w:val="18"/>
              </w:rPr>
              <w:t># Research scripts (one-off, history preserved)</w:t>
            </w:r>
          </w:p>
          <w:p>
            <w:pPr>
              <w:spacing w:after="0" w:before="0"/>
            </w:pPr>
            <w:r>
              <w:rPr>
                <w:rFonts w:ascii="Consolas" w:hAnsi="Consolas"/>
                <w:sz w:val="18"/>
              </w:rPr>
              <w:t>scripts/research/backfill_benchmark_parquets.py</w:t>
            </w:r>
          </w:p>
          <w:p>
            <w:pPr>
              <w:spacing w:after="0" w:before="0"/>
            </w:pPr>
            <w:r>
              <w:rPr>
                <w:rFonts w:ascii="Consolas" w:hAnsi="Consolas"/>
                <w:sz w:val="18"/>
              </w:rPr>
              <w:t>scripts/research/research_blacklist_325.py</w:t>
            </w:r>
          </w:p>
          <w:p>
            <w:pPr>
              <w:spacing w:after="0" w:before="0"/>
            </w:pPr>
            <w:r>
              <w:rPr>
                <w:rFonts w:ascii="Consolas" w:hAnsi="Consolas"/>
                <w:sz w:val="18"/>
              </w:rPr>
              <w:t>scripts/research/sanity_test_continuous_sizing.py</w:t>
            </w:r>
          </w:p>
          <w:p>
            <w:pPr>
              <w:spacing w:after="0" w:before="0"/>
            </w:pPr>
            <w:r>
              <w:rPr>
                <w:rFonts w:ascii="Consolas" w:hAnsi="Consolas"/>
                <w:sz w:val="18"/>
              </w:rPr>
              <w:t xml:space="preserve"> </w:t>
            </w:r>
          </w:p>
          <w:p>
            <w:pPr>
              <w:spacing w:after="0" w:before="0"/>
            </w:pPr>
            <w:r>
              <w:rPr>
                <w:rFonts w:ascii="Consolas" w:hAnsi="Consolas"/>
                <w:sz w:val="18"/>
              </w:rPr>
              <w:t># Audit / state tooling</w:t>
            </w:r>
          </w:p>
          <w:p>
            <w:pPr>
              <w:spacing w:after="0" w:before="0"/>
            </w:pPr>
            <w:r>
              <w:rPr>
                <w:rFonts w:ascii="Consolas" w:hAnsi="Consolas"/>
                <w:sz w:val="18"/>
              </w:rPr>
              <w:t>scripts/build_project_state_audit.py    (regenerator for state audits)</w:t>
            </w:r>
          </w:p>
          <w:p>
            <w:pPr>
              <w:spacing w:after="0" w:before="0"/>
            </w:pPr>
            <w:r>
              <w:rPr>
                <w:rFonts w:ascii="Consolas" w:hAnsi="Consolas"/>
                <w:sz w:val="18"/>
              </w:rPr>
              <w:t>scripts/build_project_state_tracker.py  (regenerator for this tracker)</w:t>
            </w:r>
          </w:p>
        </w:tc>
      </w:tr>
    </w:tbl>
    <w:p>
      <w:pPr>
        <w:pStyle w:val="Heading2"/>
      </w:pPr>
      <w:r>
        <w:t>Branch states</w:t>
      </w:r>
    </w:p>
    <w:p>
      <w:pPr>
        <w:pStyle w:val="Heading2"/>
      </w:pPr>
      <w:r>
        <w:t>Equity snapshots — Larger Universe v1 added 2026-05-11</w:t>
      </w:r>
    </w:p>
    <w:p>
      <w:pPr/>
      <w:r>
        <w:t>models/snapshots/equities/pre_v2_20260505/  — legacy baseline (locked). 491 ticker universe (SP500 + NDX overlap), 2018-01-02 onward, survivorship-biased. Used by the three promoted studies (#325, #842, #1852). Do not modify.</w:t>
      </w:r>
    </w:p>
    <w:p>
      <w:pPr/>
      <w:r>
        <w:t>models/snapshots/equities/larger_universe_v1_20260511/  — Larger Universe v1 baseline (best-effort survivorship-bias mitigation, fresh study material). 1,963 tickers with 10y daily prices, 1,919 with Finnhub fundamentals, macro_signals carried forward. SP500 + SP400 + SP600 actives plus last-decade delisted. No earnings_dates (Finnhub Basic forward-only; yfinance scale-fetch hit 23.6% coverage and the stash sanity gate fired — feature dropped from v1 per the &lt;85% rule). See the snapshot summary doc for the full coverage breakdown and residual-bias characterization.</w:t>
      </w:r>
    </w:p>
    <w:p>
      <w:pPr>
        <w:pStyle w:val="Heading2"/>
      </w:pPr>
      <w:r>
        <w:t>Session log pointer — Larger Universe v1 study</w:t>
      </w:r>
    </w:p>
    <w:p>
      <w:pPr/>
      <w:r>
        <w:t>Granular session-by-session activity log for the Larger Universe v1 study is at docs/sessions/larger_universe_v1/session_log.md. This is the canonical source of current detail; the tracker section above is a summary.</w:t>
      </w:r>
    </w:p>
    <w:tbl>
      <w:tblPr>
        <w:tblW w:type="auto" w:w="0"/>
        <w:tblLayout w:type="autofit"/>
        <w:tblLook w:firstColumn="1" w:firstRow="1" w:lastColumn="0" w:lastRow="0" w:noHBand="0" w:noVBand="1" w:val="04A0"/>
      </w:tblPr>
      <w:tblGrid>
        <w:gridCol w:w="9360"/>
      </w:tblGrid>
      <w:tr>
        <w:tc>
          <w:tcPr>
            <w:tcW w:type="dxa" w:w="9360"/>
            <w:shd w:val="clear" w:color="auto" w:fill="F2F2F2"/>
          </w:tcPr>
          <w:p>
            <w:pPr>
              <w:spacing w:after="0" w:before="0"/>
            </w:pPr>
            <w:r>
              <w:rPr>
                <w:rFonts w:ascii="Consolas" w:hAnsi="Consolas"/>
                <w:sz w:val="18"/>
              </w:rPr>
              <w:t># Active branches</w:t>
            </w:r>
          </w:p>
          <w:p>
            <w:pPr>
              <w:spacing w:after="0" w:before="0"/>
            </w:pPr>
            <w:r>
              <w:rPr>
                <w:rFonts w:ascii="Consolas" w:hAnsi="Consolas"/>
                <w:sz w:val="18"/>
              </w:rPr>
              <w:t>main                                       # latest commit</w:t>
            </w:r>
          </w:p>
          <w:p>
            <w:pPr>
              <w:spacing w:after="0" w:before="0"/>
            </w:pPr>
            <w:r>
              <w:rPr>
                <w:rFonts w:ascii="Consolas" w:hAnsi="Consolas"/>
                <w:sz w:val="18"/>
              </w:rPr>
              <w:t xml:space="preserve">                                           # (PR #15 merged 2026-05-11 at 993527f)</w:t>
            </w:r>
          </w:p>
          <w:p>
            <w:pPr>
              <w:spacing w:after="0" w:before="0"/>
            </w:pPr>
            <w:r>
              <w:rPr>
                <w:rFonts w:ascii="Consolas" w:hAnsi="Consolas"/>
                <w:sz w:val="18"/>
              </w:rPr>
              <w:t xml:space="preserve"> </w:t>
            </w:r>
          </w:p>
          <w:p>
            <w:pPr>
              <w:spacing w:after="0" w:before="0"/>
            </w:pPr>
            <w:r>
              <w:rPr>
                <w:rFonts w:ascii="Consolas" w:hAnsi="Consolas"/>
                <w:sz w:val="18"/>
              </w:rPr>
              <w:t># Stashed work</w:t>
            </w:r>
          </w:p>
          <w:p>
            <w:pPr>
              <w:spacing w:after="0" w:before="0"/>
            </w:pPr>
            <w:r>
              <w:rPr>
                <w:rFonts w:ascii="Consolas" w:hAnsi="Consolas"/>
                <w:sz w:val="18"/>
              </w:rPr>
              <w:t>stash@{0}                                  # SP1500 retry/sanity-gate</w:t>
            </w:r>
          </w:p>
          <w:p>
            <w:pPr>
              <w:spacing w:after="0" w:before="0"/>
            </w:pPr>
            <w:r>
              <w:rPr>
                <w:rFonts w:ascii="Consolas" w:hAnsi="Consolas"/>
                <w:sz w:val="18"/>
              </w:rPr>
              <w:t xml:space="preserve">                                           # awaits Finnhub TOS or Polygon decision</w:t>
            </w:r>
          </w:p>
        </w:tc>
      </w:tr>
    </w:tbl>
    <w:p>
      <w:pPr>
        <w:pStyle w:val="Heading1"/>
      </w:pPr>
      <w:r>
        <w:t>Appendix B: Document Lineage</w:t>
      </w:r>
    </w:p>
    <w:p>
      <w:r>
        <w:rPr>
          <w:rFonts w:ascii="Arial" w:hAnsi="Arial"/>
          <w:b w:val="0"/>
          <w:i w:val="0"/>
          <w:sz w:val="22"/>
        </w:rPr>
        <w:t>This is the canonical project state doc. It supersedes prior versions and is committed to the repo for the first time.</w:t>
      </w:r>
    </w:p>
    <w:p>
      <w:r>
        <w:rPr>
          <w:rFonts w:ascii="Arial" w:hAnsi="Arial"/>
          <w:b/>
          <w:i w:val="0"/>
          <w:sz w:val="22"/>
        </w:rPr>
        <w:t xml:space="preserve">Last updated: </w:t>
      </w:r>
      <w:r>
        <w:rPr>
          <w:rFonts w:ascii="Arial" w:hAnsi="Arial"/>
          <w:b w:val="0"/>
          <w:i w:val="0"/>
          <w:sz w:val="22"/>
        </w:rPr>
        <w:t>2026-05-11 (post-PR-#15-merge refresh — URGENT items cleared, .env.example completed, workstation-parity goal added).</w:t>
      </w:r>
    </w:p>
    <w:tbl>
      <w:tblPr>
        <w:tblW w:type="auto" w:w="0"/>
        <w:tblLayout w:type="fixed"/>
        <w:tblLook w:firstColumn="1" w:firstRow="1" w:lastColumn="0" w:lastRow="0" w:noHBand="0" w:noVBand="1" w:val="04A0"/>
      </w:tblPr>
      <w:tblGrid>
        <w:gridCol w:w="3744"/>
        <w:gridCol w:w="1440"/>
        <w:gridCol w:w="4176"/>
      </w:tblGrid>
      <w:tr>
        <w:tc>
          <w:tcPr>
            <w:tcW w:type="dxa" w:w="3120"/>
            <w:shd w:val="clear" w:color="auto" w:fill="1F4E79"/>
            <w:tcBorders>
              <w:top w:val="single" w:sz="4" w:color="808080"/>
              <w:left w:val="single" w:sz="4" w:color="808080"/>
              <w:bottom w:val="single" w:sz="4" w:color="808080"/>
              <w:right w:val="single" w:sz="4" w:color="808080"/>
            </w:tcBorders>
          </w:tcPr>
          <w:p>
            <w:r/>
            <w:r>
              <w:rPr>
                <w:rFonts w:ascii="Arial" w:hAnsi="Arial"/>
                <w:b/>
                <w:color w:val="FFFFFF"/>
                <w:sz w:val="20"/>
              </w:rPr>
              <w:t>Document</w:t>
            </w:r>
          </w:p>
        </w:tc>
        <w:tc>
          <w:tcPr>
            <w:tcW w:type="dxa" w:w="3120"/>
            <w:shd w:val="clear" w:color="auto" w:fill="1F4E79"/>
            <w:tcBorders>
              <w:top w:val="single" w:sz="4" w:color="808080"/>
              <w:left w:val="single" w:sz="4" w:color="808080"/>
              <w:bottom w:val="single" w:sz="4" w:color="808080"/>
              <w:right w:val="single" w:sz="4" w:color="808080"/>
            </w:tcBorders>
          </w:tcPr>
          <w:p>
            <w:r/>
            <w:r>
              <w:rPr>
                <w:rFonts w:ascii="Arial" w:hAnsi="Arial"/>
                <w:b/>
                <w:color w:val="FFFFFF"/>
                <w:sz w:val="20"/>
              </w:rPr>
              <w:t>Date</w:t>
            </w:r>
          </w:p>
        </w:tc>
        <w:tc>
          <w:tcPr>
            <w:tcW w:type="dxa" w:w="3120"/>
            <w:shd w:val="clear" w:color="auto" w:fill="1F4E79"/>
            <w:tcBorders>
              <w:top w:val="single" w:sz="4" w:color="808080"/>
              <w:left w:val="single" w:sz="4" w:color="808080"/>
              <w:bottom w:val="single" w:sz="4" w:color="808080"/>
              <w:right w:val="single" w:sz="4" w:color="808080"/>
            </w:tcBorders>
          </w:tcPr>
          <w:p>
            <w:r/>
            <w:r>
              <w:rPr>
                <w:rFonts w:ascii="Arial" w:hAnsi="Arial"/>
                <w:b/>
                <w:color w:val="FFFFFF"/>
                <w:sz w:val="20"/>
              </w:rPr>
              <w:t>Purpose</w:t>
            </w:r>
          </w:p>
        </w:tc>
      </w:tr>
      <w:tr>
        <w:tc>
          <w:tcPr>
            <w:tcW w:type="dxa" w:w="3120"/>
            <w:tcBorders>
              <w:top w:val="single" w:sz="4" w:color="808080"/>
              <w:left w:val="single" w:sz="4" w:color="808080"/>
              <w:bottom w:val="single" w:sz="4" w:color="808080"/>
              <w:right w:val="single" w:sz="4" w:color="808080"/>
            </w:tcBorders>
          </w:tcPr>
          <w:p>
            <w:r/>
            <w:r>
              <w:rPr>
                <w:rFonts w:ascii="Arial" w:hAnsi="Arial"/>
                <w:sz w:val="18"/>
              </w:rPr>
              <w:t>Paper_Trader_Handoff.docx (v1.0)</w:t>
            </w:r>
          </w:p>
        </w:tc>
        <w:tc>
          <w:tcPr>
            <w:tcW w:type="dxa" w:w="3120"/>
            <w:tcBorders>
              <w:top w:val="single" w:sz="4" w:color="808080"/>
              <w:left w:val="single" w:sz="4" w:color="808080"/>
              <w:bottom w:val="single" w:sz="4" w:color="808080"/>
              <w:right w:val="single" w:sz="4" w:color="808080"/>
            </w:tcBorders>
          </w:tcPr>
          <w:p>
            <w:r/>
            <w:r>
              <w:rPr>
                <w:rFonts w:ascii="Arial" w:hAnsi="Arial"/>
                <w:sz w:val="18"/>
              </w:rPr>
              <w:t>2026-05-08</w:t>
            </w:r>
          </w:p>
        </w:tc>
        <w:tc>
          <w:tcPr>
            <w:tcW w:type="dxa" w:w="3120"/>
            <w:tcBorders>
              <w:top w:val="single" w:sz="4" w:color="808080"/>
              <w:left w:val="single" w:sz="4" w:color="808080"/>
              <w:bottom w:val="single" w:sz="4" w:color="808080"/>
              <w:right w:val="single" w:sz="4" w:color="808080"/>
            </w:tcBorders>
          </w:tcPr>
          <w:p>
            <w:r/>
            <w:r>
              <w:rPr>
                <w:rFonts w:ascii="Arial" w:hAnsi="Arial"/>
                <w:sz w:val="18"/>
              </w:rPr>
              <w:t>Initial handoff to Chris before crypto extension</w:t>
            </w:r>
          </w:p>
        </w:tc>
      </w:tr>
      <w:tr>
        <w:tc>
          <w:tcPr>
            <w:tcW w:type="dxa" w:w="3120"/>
            <w:tcBorders>
              <w:top w:val="single" w:sz="4" w:color="808080"/>
              <w:left w:val="single" w:sz="4" w:color="808080"/>
              <w:bottom w:val="single" w:sz="4" w:color="808080"/>
              <w:right w:val="single" w:sz="4" w:color="808080"/>
            </w:tcBorders>
          </w:tcPr>
          <w:p>
            <w:r/>
            <w:r>
              <w:rPr>
                <w:rFonts w:ascii="Arial" w:hAnsi="Arial"/>
                <w:sz w:val="18"/>
              </w:rPr>
              <w:t>Crypto_Extension_Decisions.md</w:t>
            </w:r>
          </w:p>
        </w:tc>
        <w:tc>
          <w:tcPr>
            <w:tcW w:type="dxa" w:w="3120"/>
            <w:tcBorders>
              <w:top w:val="single" w:sz="4" w:color="808080"/>
              <w:left w:val="single" w:sz="4" w:color="808080"/>
              <w:bottom w:val="single" w:sz="4" w:color="808080"/>
              <w:right w:val="single" w:sz="4" w:color="808080"/>
            </w:tcBorders>
          </w:tcPr>
          <w:p>
            <w:r/>
            <w:r>
              <w:rPr>
                <w:rFonts w:ascii="Arial" w:hAnsi="Arial"/>
                <w:sz w:val="18"/>
              </w:rPr>
              <w:t>2026-05-09</w:t>
            </w:r>
          </w:p>
        </w:tc>
        <w:tc>
          <w:tcPr>
            <w:tcW w:type="dxa" w:w="3120"/>
            <w:tcBorders>
              <w:top w:val="single" w:sz="4" w:color="808080"/>
              <w:left w:val="single" w:sz="4" w:color="808080"/>
              <w:bottom w:val="single" w:sz="4" w:color="808080"/>
              <w:right w:val="single" w:sz="4" w:color="808080"/>
            </w:tcBorders>
          </w:tcPr>
          <w:p>
            <w:r/>
            <w:r>
              <w:rPr>
                <w:rFonts w:ascii="Arial" w:hAnsi="Arial"/>
                <w:sz w:val="18"/>
              </w:rPr>
              <w:t>Architectural decisions for multi-asset support</w:t>
            </w:r>
          </w:p>
        </w:tc>
      </w:tr>
      <w:tr>
        <w:tc>
          <w:tcPr>
            <w:tcW w:type="dxa" w:w="3120"/>
            <w:tcBorders>
              <w:top w:val="single" w:sz="4" w:color="808080"/>
              <w:left w:val="single" w:sz="4" w:color="808080"/>
              <w:bottom w:val="single" w:sz="4" w:color="808080"/>
              <w:right w:val="single" w:sz="4" w:color="808080"/>
            </w:tcBorders>
          </w:tcPr>
          <w:p>
            <w:r/>
            <w:r>
              <w:rPr>
                <w:rFonts w:ascii="Arial" w:hAnsi="Arial"/>
                <w:sz w:val="18"/>
              </w:rPr>
              <w:t>Comprehensive_User_Guide.docx (v2.0)</w:t>
            </w:r>
          </w:p>
        </w:tc>
        <w:tc>
          <w:tcPr>
            <w:tcW w:type="dxa" w:w="3120"/>
            <w:tcBorders>
              <w:top w:val="single" w:sz="4" w:color="808080"/>
              <w:left w:val="single" w:sz="4" w:color="808080"/>
              <w:bottom w:val="single" w:sz="4" w:color="808080"/>
              <w:right w:val="single" w:sz="4" w:color="808080"/>
            </w:tcBorders>
          </w:tcPr>
          <w:p>
            <w:r/>
            <w:r>
              <w:rPr>
                <w:rFonts w:ascii="Arial" w:hAnsi="Arial"/>
                <w:sz w:val="18"/>
              </w:rPr>
              <w:t>2026-05-09</w:t>
            </w:r>
          </w:p>
        </w:tc>
        <w:tc>
          <w:tcPr>
            <w:tcW w:type="dxa" w:w="3120"/>
            <w:tcBorders>
              <w:top w:val="single" w:sz="4" w:color="808080"/>
              <w:left w:val="single" w:sz="4" w:color="808080"/>
              <w:bottom w:val="single" w:sz="4" w:color="808080"/>
              <w:right w:val="single" w:sz="4" w:color="808080"/>
            </w:tcBorders>
          </w:tcPr>
          <w:p>
            <w:r/>
            <w:r>
              <w:rPr>
                <w:rFonts w:ascii="Arial" w:hAnsi="Arial"/>
                <w:sz w:val="18"/>
              </w:rPr>
              <w:t>Full user guide post-Phase-1; NVDA/META findings</w:t>
            </w:r>
          </w:p>
        </w:tc>
      </w:tr>
      <w:tr>
        <w:tc>
          <w:tcPr>
            <w:tcW w:type="dxa" w:w="3120"/>
            <w:tcBorders>
              <w:top w:val="single" w:sz="4" w:color="808080"/>
              <w:left w:val="single" w:sz="4" w:color="808080"/>
              <w:bottom w:val="single" w:sz="4" w:color="808080"/>
              <w:right w:val="single" w:sz="4" w:color="808080"/>
            </w:tcBorders>
          </w:tcPr>
          <w:p>
            <w:r/>
            <w:r>
              <w:rPr>
                <w:rFonts w:ascii="Arial" w:hAnsi="Arial"/>
                <w:sz w:val="18"/>
              </w:rPr>
              <w:t>Options_Extension_Decisions.md</w:t>
            </w:r>
          </w:p>
        </w:tc>
        <w:tc>
          <w:tcPr>
            <w:tcW w:type="dxa" w:w="3120"/>
            <w:tcBorders>
              <w:top w:val="single" w:sz="4" w:color="808080"/>
              <w:left w:val="single" w:sz="4" w:color="808080"/>
              <w:bottom w:val="single" w:sz="4" w:color="808080"/>
              <w:right w:val="single" w:sz="4" w:color="808080"/>
            </w:tcBorders>
          </w:tcPr>
          <w:p>
            <w:r/>
            <w:r>
              <w:rPr>
                <w:rFonts w:ascii="Arial" w:hAnsi="Arial"/>
                <w:sz w:val="18"/>
              </w:rPr>
              <w:t>2026-05-10</w:t>
            </w:r>
          </w:p>
        </w:tc>
        <w:tc>
          <w:tcPr>
            <w:tcW w:type="dxa" w:w="3120"/>
            <w:tcBorders>
              <w:top w:val="single" w:sz="4" w:color="808080"/>
              <w:left w:val="single" w:sz="4" w:color="808080"/>
              <w:bottom w:val="single" w:sz="4" w:color="808080"/>
              <w:right w:val="single" w:sz="4" w:color="808080"/>
            </w:tcBorders>
          </w:tcPr>
          <w:p>
            <w:r/>
            <w:r>
              <w:rPr>
                <w:rFonts w:ascii="Arial" w:hAnsi="Arial"/>
                <w:sz w:val="18"/>
              </w:rPr>
              <w:t>Architectural decisions for options extension</w:t>
            </w:r>
          </w:p>
        </w:tc>
      </w:tr>
      <w:tr>
        <w:tc>
          <w:tcPr>
            <w:tcW w:type="dxa" w:w="3120"/>
            <w:tcBorders>
              <w:top w:val="single" w:sz="4" w:color="808080"/>
              <w:left w:val="single" w:sz="4" w:color="808080"/>
              <w:bottom w:val="single" w:sz="4" w:color="808080"/>
              <w:right w:val="single" w:sz="4" w:color="808080"/>
            </w:tcBorders>
          </w:tcPr>
          <w:p>
            <w:r/>
            <w:r>
              <w:rPr>
                <w:rFonts w:ascii="Arial" w:hAnsi="Arial"/>
                <w:sz w:val="18"/>
              </w:rPr>
              <w:t>Project_State_Audit.docx</w:t>
            </w:r>
          </w:p>
        </w:tc>
        <w:tc>
          <w:tcPr>
            <w:tcW w:type="dxa" w:w="3120"/>
            <w:tcBorders>
              <w:top w:val="single" w:sz="4" w:color="808080"/>
              <w:left w:val="single" w:sz="4" w:color="808080"/>
              <w:bottom w:val="single" w:sz="4" w:color="808080"/>
              <w:right w:val="single" w:sz="4" w:color="808080"/>
            </w:tcBorders>
          </w:tcPr>
          <w:p>
            <w:r/>
            <w:r>
              <w:rPr>
                <w:rFonts w:ascii="Arial" w:hAnsi="Arial"/>
                <w:sz w:val="18"/>
              </w:rPr>
              <w:t>2026-05-11</w:t>
            </w:r>
          </w:p>
        </w:tc>
        <w:tc>
          <w:tcPr>
            <w:tcW w:type="dxa" w:w="3120"/>
            <w:tcBorders>
              <w:top w:val="single" w:sz="4" w:color="808080"/>
              <w:left w:val="single" w:sz="4" w:color="808080"/>
              <w:bottom w:val="single" w:sz="4" w:color="808080"/>
              <w:right w:val="single" w:sz="4" w:color="808080"/>
            </w:tcBorders>
          </w:tcPr>
          <w:p>
            <w:r/>
            <w:r>
              <w:rPr>
                <w:rFonts w:ascii="Arial" w:hAnsi="Arial"/>
                <w:sz w:val="18"/>
              </w:rPr>
              <w:t>Claude Code audit findings (raw audit)</w:t>
            </w:r>
          </w:p>
        </w:tc>
      </w:tr>
      <w:tr>
        <w:tc>
          <w:tcPr>
            <w:tcW w:type="dxa" w:w="3120"/>
            <w:tcBorders>
              <w:top w:val="single" w:sz="4" w:color="808080"/>
              <w:left w:val="single" w:sz="4" w:color="808080"/>
              <w:bottom w:val="single" w:sz="4" w:color="808080"/>
              <w:right w:val="single" w:sz="4" w:color="808080"/>
            </w:tcBorders>
          </w:tcPr>
          <w:p>
            <w:r/>
            <w:r>
              <w:rPr>
                <w:rFonts w:ascii="Arial" w:hAnsi="Arial"/>
                <w:sz w:val="18"/>
              </w:rPr>
              <w:t>Project_State_Tracker.docx (this doc)</w:t>
            </w:r>
          </w:p>
        </w:tc>
        <w:tc>
          <w:tcPr>
            <w:tcW w:type="dxa" w:w="3120"/>
            <w:tcBorders>
              <w:top w:val="single" w:sz="4" w:color="808080"/>
              <w:left w:val="single" w:sz="4" w:color="808080"/>
              <w:bottom w:val="single" w:sz="4" w:color="808080"/>
              <w:right w:val="single" w:sz="4" w:color="808080"/>
            </w:tcBorders>
          </w:tcPr>
          <w:p>
            <w:r/>
            <w:r>
              <w:rPr>
                <w:rFonts w:ascii="Arial" w:hAnsi="Arial"/>
                <w:sz w:val="18"/>
              </w:rPr>
              <w:t>2026-05-11</w:t>
            </w:r>
          </w:p>
        </w:tc>
        <w:tc>
          <w:tcPr>
            <w:tcW w:type="dxa" w:w="3120"/>
            <w:tcBorders>
              <w:top w:val="single" w:sz="4" w:color="808080"/>
              <w:left w:val="single" w:sz="4" w:color="808080"/>
              <w:bottom w:val="single" w:sz="4" w:color="808080"/>
              <w:right w:val="single" w:sz="4" w:color="808080"/>
            </w:tcBorders>
          </w:tcPr>
          <w:p>
            <w:r/>
            <w:r>
              <w:rPr>
                <w:rFonts w:ascii="Arial" w:hAnsi="Arial"/>
                <w:sz w:val="18"/>
              </w:rPr>
              <w:t>Audit + strategic context + cleanup summary</w:t>
            </w:r>
          </w:p>
        </w:tc>
      </w:tr>
    </w:tbl>
    <w:p>
      <w:r>
        <w:rPr>
          <w:rFonts w:ascii="Arial" w:hAnsi="Arial"/>
          <w:b w:val="0"/>
          <w:i w:val="0"/>
          <w:sz w:val="22"/>
        </w:rPr>
        <w:t xml:space="preserve">Older docs remain valid as historical reference. </w:t>
      </w:r>
      <w:r>
        <w:rPr>
          <w:rFonts w:ascii="Arial" w:hAnsi="Arial"/>
          <w:b/>
          <w:i w:val="0"/>
          <w:sz w:val="22"/>
        </w:rPr>
        <w:t>This doc is the most current source of truth for current state and immediate next steps.</w:t>
      </w:r>
      <w:r>
        <w:rPr>
          <w:rFonts w:ascii="Arial" w:hAnsi="Arial"/>
          <w:b w:val="0"/>
          <w:i w:val="0"/>
          <w:sz w:val="22"/>
        </w:rPr>
        <w:t xml:space="preserve"> For deep technical reference, fall back to Comprehensive_User_Guide.docx. For audit-level detail Claude Code produced, fall back to Project_State_Audit.docx.</w:t>
      </w:r>
    </w:p>
    <w:p>
      <w:r>
        <w:rPr>
          <w:rFonts w:ascii="Arial" w:hAnsi="Arial"/>
          <w:b w:val="0"/>
          <w:i w:val="0"/>
          <w:sz w:val="22"/>
        </w:rPr>
        <w:t>This doc lives at docs/Project_State_Tracker.docx in the repo. Update via Claude Code when state changes meaningfully — e.g., after PR #15 merges, after a major Polygon decision, after the next big sprint.</w:t>
      </w:r>
    </w:p>
    <w:p>
      <w:r>
        <w:rPr>
          <w:rFonts w:ascii="Arial" w:hAnsi="Arial"/>
          <w:b/>
          <w:i w:val="0"/>
          <w:sz w:val="22"/>
        </w:rPr>
        <w:t xml:space="preserve">Maintenance: </w:t>
      </w:r>
      <w:r>
        <w:rPr>
          <w:rFonts w:ascii="Arial" w:hAnsi="Arial"/>
          <w:b w:val="0"/>
          <w:i w:val="0"/>
          <w:sz w:val="22"/>
        </w:rPr>
        <w:t>when adding new authoritative docs to docs/, update the "Claude Session Onboarding" prompt above to reference them. When contributor roles or conventions change, update the prompt's conventions section. Specifically, review the embedded prompt whenever:</w:t>
      </w:r>
    </w:p>
    <w:p>
      <w:pPr>
        <w:pStyle w:val="ListBullet"/>
      </w:pPr>
      <w:r>
        <w:rPr>
          <w:rFonts w:ascii="Arial" w:hAnsi="Arial"/>
          <w:sz w:val="22"/>
        </w:rPr>
        <w:t>Major docs are added to or removed from the reading list</w:t>
      </w:r>
    </w:p>
    <w:p>
      <w:pPr>
        <w:pStyle w:val="ListBullet"/>
      </w:pPr>
      <w:r>
        <w:rPr>
          <w:rFonts w:ascii="Arial" w:hAnsi="Arial"/>
          <w:sz w:val="22"/>
        </w:rPr>
        <w:t>Project conventions change (data layout, branching, deployment targets)</w:t>
      </w:r>
    </w:p>
    <w:p>
      <w:pPr>
        <w:pStyle w:val="ListBullet"/>
      </w:pPr>
      <w:r>
        <w:rPr>
          <w:rFonts w:ascii="Arial" w:hAnsi="Arial"/>
          <w:sz w:val="22"/>
        </w:rPr>
        <w:t>Contributor roles shift (ownership, handoffs, namespace boundaries)</w:t>
      </w:r>
    </w:p>
    <w:p>
      <w:pPr>
        <w:pStyle w:val="Heading1"/>
      </w:pPr>
      <w:r>
        <w:t>Appendix C: Cleanup Session Summary (2026-05-11)</w:t>
      </w:r>
    </w:p>
    <w:p>
      <w:r>
        <w:rPr>
          <w:rFonts w:ascii="Arial" w:hAnsi="Arial"/>
          <w:b/>
          <w:i w:val="0"/>
          <w:sz w:val="22"/>
        </w:rPr>
        <w:t xml:space="preserve">Commit: </w:t>
      </w:r>
      <w:r>
        <w:rPr>
          <w:rFonts w:ascii="Arial" w:hAnsi="Arial"/>
          <w:b w:val="0"/>
          <w:i w:val="0"/>
          <w:sz w:val="22"/>
        </w:rPr>
        <w:t>5c39cc5</w:t>
      </w:r>
      <w:r>
        <w:rPr>
          <w:rFonts w:ascii="Arial" w:hAnsi="Arial"/>
          <w:b w:val="0"/>
          <w:i w:val="0"/>
          <w:sz w:val="22"/>
        </w:rPr>
        <w:t xml:space="preserve"> — "chore: cleanup per project state audit"</w:t>
      </w:r>
    </w:p>
    <w:p>
      <w:r>
        <w:rPr>
          <w:rFonts w:ascii="Arial" w:hAnsi="Arial"/>
          <w:b/>
          <w:i w:val="0"/>
          <w:sz w:val="22"/>
        </w:rPr>
        <w:t>Deleted (35 files, gitignored):</w:t>
      </w:r>
    </w:p>
    <w:p>
      <w:pPr>
        <w:pStyle w:val="ListBullet"/>
      </w:pPr>
      <w:r>
        <w:rPr>
          <w:rFonts w:ascii="Arial" w:hAnsi="Arial"/>
          <w:sz w:val="22"/>
        </w:rPr>
        <w:t>27 debug/inspection Python scripts at repo root (inspect_*.py, check_*.py, track_*.py, study_progress.py, progress_continuous.py, touch_snapshot.py, rescue_save_continuous.py, best_continuous.py, spot_check.py, compare_studies.py, extract_track2*.py, make_src_zip.py)</w:t>
      </w:r>
    </w:p>
    <w:p>
      <w:pPr>
        <w:pStyle w:val="ListBullet"/>
      </w:pPr>
      <w:r>
        <w:rPr>
          <w:rFonts w:ascii="Arial" w:hAnsi="Arial"/>
          <w:sz w:val="22"/>
        </w:rPr>
        <w:t>8 log files (15_position_study_v1*.log, continuous_sizing_v1*.log, v3_track1_*.log)</w:t>
      </w:r>
    </w:p>
    <w:p>
      <w:pPr>
        <w:pStyle w:val="ListBullet"/>
      </w:pPr>
      <w:r>
        <w:rPr>
          <w:rFonts w:ascii="Arial" w:hAnsi="Arial"/>
          <w:sz w:val="22"/>
        </w:rPr>
        <w:t>src.zip (46 MB)</w:t>
      </w:r>
    </w:p>
    <w:p>
      <w:pPr>
        <w:pStyle w:val="ListBullet"/>
      </w:pPr>
      <w:r>
        <w:rPr>
          <w:rFonts w:ascii="Arial" w:hAnsi="Arial"/>
          <w:sz w:val="22"/>
        </w:rPr>
        <w:t>_spec_extracted.txt</w:t>
      </w:r>
    </w:p>
    <w:p>
      <w:pPr>
        <w:pStyle w:val="ListBullet"/>
      </w:pPr>
      <w:r>
        <w:rPr>
          <w:rFonts w:ascii="Arial" w:hAnsi="Arial"/>
          <w:sz w:val="22"/>
        </w:rPr>
        <w:t>Documents/ folder (3 early-draft files) and empty data/ directory</w:t>
      </w:r>
    </w:p>
    <w:p>
      <w:r>
        <w:rPr>
          <w:rFonts w:ascii="Arial" w:hAnsi="Arial"/>
          <w:b/>
          <w:i w:val="0"/>
          <w:sz w:val="22"/>
        </w:rPr>
        <w:t>Moved:</w:t>
      </w:r>
    </w:p>
    <w:p>
      <w:pPr>
        <w:pStyle w:val="ListBullet"/>
      </w:pPr>
      <w:r>
        <w:rPr>
          <w:rFonts w:ascii="Arial" w:hAnsi="Arial"/>
          <w:sz w:val="22"/>
        </w:rPr>
        <w:t>3 snapshots (macro_signal_investigation_*, parallelism_diagnostic_*, post_macro_fix_*) → models/snapshots/equities/</w:t>
      </w:r>
    </w:p>
    <w:p>
      <w:pPr>
        <w:pStyle w:val="ListBullet"/>
      </w:pPr>
      <w:r>
        <w:rPr>
          <w:rFonts w:ascii="Arial" w:hAnsi="Arial"/>
          <w:sz w:val="22"/>
        </w:rPr>
        <w:t>3 tracked research scripts → scripts/research/</w:t>
      </w:r>
    </w:p>
    <w:p>
      <w:pPr>
        <w:pStyle w:val="ListBullet"/>
      </w:pPr>
      <w:r>
        <w:rPr>
          <w:rFonts w:ascii="Arial" w:hAnsi="Arial"/>
          <w:sz w:val="22"/>
        </w:rPr>
        <w:t>docs/sp1500_fetch_failures.txt → docs/diagnostics/</w:t>
      </w:r>
    </w:p>
    <w:p>
      <w:pPr>
        <w:pStyle w:val="ListBullet"/>
      </w:pPr>
      <w:r>
        <w:rPr>
          <w:rFonts w:ascii="Arial" w:hAnsi="Arial"/>
          <w:sz w:val="22"/>
        </w:rPr>
        <w:t>Dashboard_Viz_Implementation_Spec.docx → docs/specs/</w:t>
      </w:r>
    </w:p>
    <w:p>
      <w:r>
        <w:rPr>
          <w:rFonts w:ascii="Arial" w:hAnsi="Arial"/>
          <w:b/>
          <w:i w:val="0"/>
          <w:sz w:val="22"/>
        </w:rPr>
        <w:t>Kept (intentional):</w:t>
      </w:r>
    </w:p>
    <w:p>
      <w:pPr>
        <w:pStyle w:val="ListBullet"/>
      </w:pPr>
      <w:r>
        <w:rPr>
          <w:rFonts w:ascii="Arial" w:hAnsi="Arial"/>
          <w:sz w:val="22"/>
        </w:rPr>
        <w:t>3 SP1500 paused-state logs (sp1500_fetch.log, sp1500_fetch_v2.log, sp1500_force_refresh.log) — document the paused state for when SP1500 resumes</w:t>
      </w:r>
    </w:p>
    <w:p>
      <w:pPr>
        <w:pStyle w:val="ListBullet"/>
      </w:pPr>
      <w:r>
        <w:rPr>
          <w:rFonts w:ascii="Arial" w:hAnsi="Arial"/>
          <w:sz w:val="22"/>
        </w:rPr>
        <w:t>v3_track2_runner.py at root — referenced by src/dashboard_app.py</w:t>
      </w:r>
    </w:p>
    <w:p>
      <w:pPr>
        <w:pStyle w:val="ListBullet"/>
      </w:pPr>
      <w:r>
        <w:rPr>
          <w:rFonts w:ascii="Arial" w:hAnsi="Arial"/>
          <w:sz w:val="22"/>
        </w:rPr>
        <w:t>Chris's 6 options scripts in scripts/</w:t>
      </w:r>
    </w:p>
    <w:p>
      <w:r>
        <w:rPr>
          <w:rFonts w:ascii="Arial" w:hAnsi="Arial"/>
          <w:b/>
          <w:i w:val="0"/>
          <w:sz w:val="22"/>
        </w:rPr>
        <w:t>Newly tracked (fixed by gitignore fix):</w:t>
      </w:r>
    </w:p>
    <w:p>
      <w:pPr>
        <w:pStyle w:val="ListBullet"/>
      </w:pPr>
      <w:r>
        <w:rPr>
          <w:rFonts w:ascii="Arial" w:hAnsi="Arial"/>
          <w:sz w:val="22"/>
        </w:rPr>
        <w:t>docs/specs/Dashboard_Rebuild_Spec.docx — had been silently ignored due to !docs/*.docx depth bug</w:t>
      </w:r>
    </w:p>
    <w:p>
      <w:pPr>
        <w:pStyle w:val="ListBullet"/>
      </w:pPr>
      <w:r>
        <w:rPr>
          <w:rFonts w:ascii="Arial" w:hAnsi="Arial"/>
          <w:sz w:val="22"/>
        </w:rPr>
        <w:t>docs/specs/Dashboard_Viz_Implementation_Spec.docx</w:t>
      </w:r>
    </w:p>
    <w:p>
      <w:pPr>
        <w:pStyle w:val="ListBullet"/>
      </w:pPr>
      <w:r>
        <w:rPr>
          <w:rFonts w:ascii="Arial" w:hAnsi="Arial"/>
          <w:sz w:val="22"/>
        </w:rPr>
        <w:t>scripts/build_project_state_audit.py — for future audit refreshes</w:t>
      </w:r>
    </w:p>
    <w:p>
      <w:pPr>
        <w:pStyle w:val="ListBullet"/>
      </w:pPr>
      <w:r>
        <w:rPr>
          <w:rFonts w:ascii="Arial" w:hAnsi="Arial"/>
          <w:sz w:val="22"/>
        </w:rPr>
        <w:t>scripts/build_project_state_tracker.py — for future tracker refreshes (this doc's generator)</w:t>
      </w:r>
    </w:p>
    <w:p>
      <w:r>
        <w:rPr>
          <w:rFonts w:ascii="Arial" w:hAnsi="Arial"/>
          <w:b/>
          <w:i w:val="0"/>
          <w:sz w:val="22"/>
        </w:rPr>
        <w:t>Modified:</w:t>
      </w:r>
    </w:p>
    <w:p>
      <w:pPr>
        <w:pStyle w:val="ListBullet"/>
      </w:pPr>
      <w:r>
        <w:rPr>
          <w:rFonts w:ascii="Arial" w:hAnsi="Arial"/>
          <w:sz w:val="22"/>
        </w:rPr>
        <w:t>.gitignore: fixed !docs/*.docx to !docs/**/*.docx (was a depth-1 bug); added sp1500_*.log pattern</w:t>
      </w:r>
    </w:p>
    <w:p>
      <w:pPr>
        <w:pStyle w:val="ListBullet"/>
      </w:pPr>
      <w:r>
        <w:rPr>
          <w:rFonts w:ascii="Arial" w:hAnsi="Arial"/>
          <w:sz w:val="22"/>
        </w:rPr>
        <w:t>.github/CODEOWNERS: removed phantom /src/equities/ rule</w:t>
      </w:r>
    </w:p>
    <w:p>
      <w:r>
        <w:rPr>
          <w:rFonts w:ascii="Arial" w:hAnsi="Arial"/>
          <w:b/>
          <w:i w:val="0"/>
          <w:sz w:val="22"/>
        </w:rPr>
        <w:t>Branches deleted:</w:t>
      </w:r>
    </w:p>
    <w:p>
      <w:pPr>
        <w:pStyle w:val="ListBullet"/>
      </w:pPr>
      <w:r>
        <w:rPr>
          <w:rFonts w:ascii="Arial" w:hAnsi="Arial"/>
          <w:sz w:val="22"/>
        </w:rPr>
        <w:t>origin/chris/options-phase-1-shared-edge (already squash-merged via PR #3)</w:t>
      </w:r>
    </w:p>
    <w:p>
      <w:r>
        <w:rPr>
          <w:rFonts w:ascii="Arial" w:hAnsi="Arial"/>
          <w:b/>
          <w:i w:val="0"/>
          <w:sz w:val="22"/>
        </w:rPr>
        <w:t xml:space="preserve">Net result: </w:t>
      </w:r>
      <w:r>
        <w:rPr>
          <w:rFonts w:ascii="Arial" w:hAnsi="Arial"/>
          <w:b w:val="0"/>
          <w:i w:val="0"/>
          <w:sz w:val="22"/>
        </w:rPr>
        <w:t>Repo root now has 5 files (requirements.txt, 3 SP1500 paused logs, v3_track2_runner.py). Clean state.</w:t>
      </w:r>
    </w:p>
    <w:p>
      <w:r>
        <w:rPr>
          <w:rFonts w:ascii="Arial" w:hAnsi="Arial"/>
          <w:b/>
          <w:i w:val="0"/>
          <w:sz w:val="22"/>
        </w:rPr>
        <w:t xml:space="preserve">Important secondary finding: </w:t>
      </w:r>
      <w:r>
        <w:rPr>
          <w:rFonts w:ascii="Arial" w:hAnsi="Arial"/>
          <w:b w:val="0"/>
          <w:i w:val="0"/>
          <w:sz w:val="22"/>
        </w:rPr>
        <w:t>The !docs/*.docx gitignore rule was buggy and had been silently dropping any docx file under docs/specs/ for weeks. The fix means committed documentation now reliably lands in the repo.</w:t>
      </w:r>
    </w:p>
    <w:p>
      <w:pPr>
        <w:pStyle w:val="Heading2"/>
      </w:pPr>
      <w:r>
        <w:t>2026-05-11 (later in day) — Post-merge sweep</w:t>
      </w:r>
    </w:p>
    <w:p>
      <w:pPr>
        <w:pStyle w:val="ListBullet"/>
      </w:pPr>
      <w:r>
        <w:rPr>
          <w:rFonts w:ascii="Arial" w:hAnsi="Arial"/>
          <w:sz w:val="22"/>
        </w:rPr>
        <w:t>PR #15 merged (commit 993527f)</w:t>
      </w:r>
    </w:p>
    <w:p>
      <w:pPr>
        <w:pStyle w:val="ListBullet"/>
      </w:pPr>
      <w:r>
        <w:rPr>
          <w:rFonts w:ascii="Arial" w:hAnsi="Arial"/>
          <w:sz w:val="22"/>
        </w:rPr>
        <w:t>R2 synced for equities at the new HEAD</w:t>
      </w:r>
    </w:p>
    <w:p>
      <w:pPr>
        <w:pStyle w:val="ListBullet"/>
      </w:pPr>
      <w:r>
        <w:rPr>
          <w:rFonts w:ascii="Arial" w:hAnsi="Arial"/>
          <w:sz w:val="22"/>
        </w:rPr>
        <w:t>Test collection bug fixed (commit c1346cd)</w:t>
      </w:r>
    </w:p>
    <w:p>
      <w:pPr>
        <w:pStyle w:val="ListBullet"/>
      </w:pPr>
      <w:r>
        <w:rPr>
          <w:rFonts w:ascii="Arial" w:hAnsi="Arial"/>
          <w:sz w:val="22"/>
        </w:rPr>
        <w:t>Venv dependencies installed (pip install -r requirements.txt)</w:t>
      </w:r>
    </w:p>
    <w:p>
      <w:pPr>
        <w:pStyle w:val="ListBullet"/>
      </w:pPr>
      <w:r>
        <w:rPr>
          <w:rFonts w:ascii="Arial" w:hAnsi="Arial"/>
          <w:sz w:val="22"/>
        </w:rPr>
        <w:t>.env.example completed with all required keys (Tradier, Polygon, FRED, Finnhub, R2, optional PAPER_TRADER_* runtime knobs)</w:t>
      </w:r>
    </w:p>
    <w:p>
      <w:pPr>
        <w:pStyle w:val="ListBullet"/>
      </w:pPr>
      <w:r>
        <w:rPr>
          <w:rFonts w:ascii="Arial" w:hAnsi="Arial"/>
          <w:sz w:val="22"/>
        </w:rPr>
        <w:t>URGENT block of action items cleared; next URGENT surfaces when Chris launches the v1 production study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