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F4E79"/>
          <w:sz w:val="48"/>
        </w:rPr>
        <w:t>Paper Trader — Project State Tracker</w:t>
      </w:r>
    </w:p>
    <w:p>
      <w:r>
        <w:rPr>
          <w:rFonts w:ascii="Arial" w:hAnsi="Arial"/>
          <w:b w:val="0"/>
          <w:i/>
          <w:sz w:val="20"/>
        </w:rPr>
        <w:t>Canonical project-state doc. Built from the Claude Code audit (2026-05-11) plus strategic context — Polygon piggyback analysis, prioritization framing, cleanup commit summary, and the post-PR-#15-merge refresh. Lives at docs/Project_State_Tracker.docx; update via Claude Code when state changes meaningfully.</w:t>
      </w:r>
    </w:p>
    <w:p>
      <w:pPr>
        <w:pStyle w:val="Heading1"/>
      </w:pPr>
      <w:r>
        <w:t>Executive Summary</w:t>
      </w:r>
    </w:p>
    <w:p>
      <w:r>
        <w:rPr>
          <w:rFonts w:ascii="Arial" w:hAnsi="Arial"/>
          <w:b w:val="0"/>
          <w:i w:val="0"/>
          <w:sz w:val="22"/>
        </w:rPr>
        <w:t>Where the project actually stands as of May 11, 2026 (post-PR-#15-merge):</w:t>
      </w:r>
    </w:p>
    <w:p>
      <w:pPr>
        <w:pStyle w:val="ListBullet"/>
      </w:pPr>
      <w:r>
        <w:rPr>
          <w:rFonts w:ascii="Arial" w:hAnsi="Arial"/>
          <w:b/>
          <w:i w:val="0"/>
          <w:sz w:val="22"/>
        </w:rPr>
        <w:t>Equity research framework (Mike) is production-stable.</w:t>
      </w:r>
      <w:r>
        <w:rPr>
          <w:rFonts w:ascii="Arial" w:hAnsi="Arial"/>
          <w:b w:val="0"/>
          <w:i w:val="0"/>
          <w:sz w:val="22"/>
        </w:rPr>
        <w:t xml:space="preserve"> Three promoted studies live on the cloud. NVDA/META concentration finding documented but not yet surfaced in dashboard exec summaries.</w:t>
      </w:r>
    </w:p>
    <w:p>
      <w:pPr>
        <w:pStyle w:val="ListBullet"/>
      </w:pPr>
      <w:r>
        <w:rPr>
          <w:rFonts w:ascii="Arial" w:hAnsi="Arial"/>
          <w:b/>
          <w:i w:val="0"/>
          <w:sz w:val="22"/>
        </w:rPr>
        <w:t>Crypto extension is paused.</w:t>
      </w:r>
      <w:r>
        <w:rPr>
          <w:rFonts w:ascii="Arial" w:hAnsi="Arial"/>
          <w:b w:val="0"/>
          <w:i w:val="0"/>
          <w:sz w:val="22"/>
        </w:rPr>
        <w:t xml:space="preserve"> 4-file stub committed, Chris pivoted to options. Crypto Phase 2 strategy code never started.</w:t>
      </w:r>
    </w:p>
    <w:p>
      <w:pPr>
        <w:pStyle w:val="ListBullet"/>
      </w:pPr>
      <w:r>
        <w:rPr>
          <w:rFonts w:ascii="Arial" w:hAnsi="Arial"/>
          <w:b/>
          <w:i w:val="0"/>
          <w:sz w:val="22"/>
        </w:rPr>
        <w:t>Options extension is the active build-out.</w:t>
      </w:r>
      <w:r>
        <w:rPr>
          <w:rFonts w:ascii="Arial" w:hAnsi="Arial"/>
          <w:b w:val="0"/>
          <w:i w:val="0"/>
          <w:sz w:val="22"/>
        </w:rPr>
        <w:t xml:space="preserve"> Chris shipped Sections 1-8 + 2.5 to main over 2 days. PR #15 (hang fix + concurrency refactor) merged 2026-05-11 (commit 993527f); v1 production study is now ready to run and is pending Chris's launch.</w:t>
      </w:r>
    </w:p>
    <w:p>
      <w:pPr>
        <w:pStyle w:val="ListBullet"/>
      </w:pPr>
      <w:r>
        <w:rPr>
          <w:rFonts w:ascii="Arial" w:hAnsi="Arial"/>
          <w:b/>
          <w:i w:val="0"/>
          <w:sz w:val="22"/>
        </w:rPr>
        <w:t>Cloud dashboard equity content is current; options content is pending Chris's v1 study output.</w:t>
      </w:r>
      <w:r>
        <w:rPr>
          <w:rFonts w:ascii="Arial" w:hAnsi="Arial"/>
          <w:b w:val="0"/>
          <w:i w:val="0"/>
          <w:sz w:val="22"/>
        </w:rPr>
        <w:t xml:space="preserve"> R2 synced 2026-05-11 at git_sha 993527f. The options/ prefix stays empty in R2 until the v1 study produces artifacts under models/cache/options/.</w:t>
      </w:r>
    </w:p>
    <w:p>
      <w:pPr>
        <w:pStyle w:val="ListBullet"/>
      </w:pPr>
      <w:r>
        <w:rPr>
          <w:rFonts w:ascii="Arial" w:hAnsi="Arial"/>
          <w:b/>
          <w:i w:val="0"/>
          <w:sz w:val="22"/>
        </w:rPr>
        <w:t>Mike's venv is healthy.</w:t>
      </w:r>
      <w:r>
        <w:rPr>
          <w:rFonts w:ascii="Arial" w:hAnsi="Arial"/>
          <w:b w:val="0"/>
          <w:i w:val="0"/>
          <w:sz w:val="22"/>
        </w:rPr>
        <w:t xml:space="preserve"> Test collection bug fixed (commit c1346cd); truststore + pytest installed; full test suite runs.</w:t>
      </w:r>
    </w:p>
    <w:p>
      <w:pPr>
        <w:pStyle w:val="ListBullet"/>
      </w:pPr>
      <w:r>
        <w:rPr>
          <w:rFonts w:ascii="Arial" w:hAnsi="Arial"/>
          <w:b/>
          <w:i w:val="0"/>
          <w:sz w:val="22"/>
        </w:rPr>
        <w:t>.env.example now documents the full key set.</w:t>
      </w:r>
      <w:r>
        <w:rPr>
          <w:rFonts w:ascii="Arial" w:hAnsi="Arial"/>
          <w:b w:val="0"/>
          <w:i w:val="0"/>
          <w:sz w:val="22"/>
        </w:rPr>
        <w:t xml:space="preserve"> Tradier, Polygon, FRED, Finnhub, R2, plus the optional PAPER_TRADER_* runtime knobs — see Finding 4.</w:t>
      </w:r>
    </w:p>
    <w:p>
      <w:pPr>
        <w:pStyle w:val="ListBullet"/>
      </w:pPr>
      <w:r>
        <w:rPr>
          <w:rFonts w:ascii="Arial" w:hAnsi="Arial"/>
          <w:b/>
          <w:i w:val="0"/>
          <w:sz w:val="22"/>
        </w:rPr>
        <w:t>SP1500 universe expansion remains stashed, awaiting Finnhub TOS clarity.</w:t>
      </w:r>
      <w:r>
        <w:rPr>
          <w:rFonts w:ascii="Arial" w:hAnsi="Arial"/>
          <w:b w:val="0"/>
          <w:i w:val="0"/>
          <w:sz w:val="22"/>
        </w:rPr>
        <w:t xml:space="preserve"> Polygon/Massive (Chris's data source) may make this question obsolete — see Section 3 for the piggyback math.</w:t>
      </w:r>
    </w:p>
    <w:p>
      <w:r>
        <w:rPr>
          <w:rFonts w:ascii="Arial" w:hAnsi="Arial"/>
          <w:b/>
          <w:i w:val="0"/>
          <w:sz w:val="22"/>
        </w:rPr>
        <w:t xml:space="preserve">Honest read: </w:t>
      </w:r>
      <w:r>
        <w:rPr>
          <w:rFonts w:ascii="Arial" w:hAnsi="Arial"/>
          <w:b w:val="0"/>
          <w:i w:val="0"/>
          <w:sz w:val="22"/>
        </w:rPr>
        <w:t>URGENT items are now cleared. PR #15 is merged, equity R2 is current, venv dependencies are installed, .env.example is complete. The next forcing function is Chris launching the v1 production study — once that completes, options content gets uploaded to R2 and we get the first end-to-end options-side dashboard. Three different research domains (equity, crypto, options) coexist without conflict thanks to Phase 1's asset-class refactor.</w:t>
      </w:r>
    </w:p>
    <w:p>
      <w:pPr>
        <w:pStyle w:val="Heading2"/>
      </w:pPr>
      <w:r>
        <w:t>Status table at a glance</w:t>
      </w:r>
    </w:p>
    <w:p>
      <w:r>
        <w:rPr>
          <w:rFonts w:ascii="Arial" w:hAnsi="Arial"/>
          <w:b w:val="0"/>
          <w:i/>
          <w:sz w:val="20"/>
        </w:rPr>
        <w:t>Red rows are URGENT (blocking work); yellow rows are warnings (needs attention but not blocking); green rows are working as designed. As of 2026-05-11 post-merge, no rows are red.</w:t>
      </w:r>
    </w:p>
    <w:tbl>
      <w:tblPr>
        <w:tblW w:type="auto" w:w="0"/>
        <w:tblLayout w:type="fixed"/>
        <w:tblLook w:firstColumn="1" w:firstRow="1" w:lastColumn="0" w:lastRow="0" w:noHBand="0" w:noVBand="1" w:val="04A0"/>
      </w:tblPr>
      <w:tblGrid>
        <w:gridCol w:w="2736"/>
        <w:gridCol w:w="2448"/>
        <w:gridCol w:w="1008"/>
        <w:gridCol w:w="3168"/>
      </w:tblGrid>
      <w:tr>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Workstream</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Status</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Owner</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Blocker / Next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Equity research framework</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WORKING</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None; dashboard updates needed for NVDA/META finding</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Cloud dashboard (equities)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WORKING — R2 current</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Synced 2026-05-11 at git_sha 993527f</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Options Sections 1-8 + 2.5</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Done; foundation for v1 study</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Options PR #15 (hang fix)</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 2026-05-11; commit 993527f</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Options v1 study</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READY — pending Chris launch</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 launches v1 production study</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Crypto Phase 2 strategy code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STUB ONLY</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Indefinitely; Chris on options</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SP1500 expansion</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STASHED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Finnhub TOS OR pivot to Polygon (see §3)</w:t>
            </w:r>
          </w:p>
        </w:tc>
      </w:tr>
      <w:tr>
        <w:tc>
          <w:tcPr>
            <w:tcW w:type="dxa" w:w="2340"/>
            <w:tcBorders>
              <w:top w:val="single" w:sz="4" w:color="808080"/>
              <w:left w:val="single" w:sz="4" w:color="808080"/>
              <w:bottom w:val="single" w:sz="4" w:color="808080"/>
              <w:right w:val="single" w:sz="4" w:color="808080"/>
            </w:tcBorders>
          </w:tcPr>
          <w:p>
            <w:r/>
            <w:r>
              <w:rPr>
                <w:rFonts w:ascii="Arial" w:hAnsi="Arial"/>
                <w:sz w:val="18"/>
              </w:rPr>
              <w:t>NVDA/META dashboard surfacing</w:t>
            </w:r>
          </w:p>
        </w:tc>
        <w:tc>
          <w:tcPr>
            <w:tcW w:type="dxa" w:w="2340"/>
            <w:tcBorders>
              <w:top w:val="single" w:sz="4" w:color="808080"/>
              <w:left w:val="single" w:sz="4" w:color="808080"/>
              <w:bottom w:val="single" w:sz="4" w:color="808080"/>
              <w:right w:val="single" w:sz="4" w:color="808080"/>
            </w:tcBorders>
          </w:tcPr>
          <w:p>
            <w:r/>
            <w:r>
              <w:rPr>
                <w:rFonts w:ascii="Arial" w:hAnsi="Arial"/>
                <w:sz w:val="18"/>
              </w:rPr>
              <w:t>QUEUED</w:t>
            </w:r>
          </w:p>
        </w:tc>
        <w:tc>
          <w:tcPr>
            <w:tcW w:type="dxa" w:w="2340"/>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tcBorders>
              <w:top w:val="single" w:sz="4" w:color="808080"/>
              <w:left w:val="single" w:sz="4" w:color="808080"/>
              <w:bottom w:val="single" w:sz="4" w:color="808080"/>
              <w:right w:val="single" w:sz="4" w:color="808080"/>
            </w:tcBorders>
          </w:tcPr>
          <w:p>
            <w:r/>
            <w:r>
              <w:rPr>
                <w:rFonts w:ascii="Arial" w:hAnsi="Arial"/>
                <w:sz w:val="18"/>
              </w:rPr>
              <w:t>Small Claude Code session; commits ready (f46bd05)</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Test suite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374 pass / 2 venv-fixable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Shared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Run pip install -r requirements.txt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Repo hygiene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CLEANED 2026-05-11</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Commit 5c39cc5</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Options R2 sync</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PENDING — no v1 study output yet</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Run v1 production study; that produces the artifacts snapshot_for_cloud.py expects under models/cache/options/</w:t>
            </w:r>
          </w:p>
        </w:tc>
      </w:tr>
    </w:tbl>
    <w:p>
      <w:pPr>
        <w:pStyle w:val="Heading1"/>
      </w:pPr>
      <w:r>
        <w:t>Claude Session Onboarding</w:t>
      </w:r>
    </w:p>
    <w:p>
      <w:r>
        <w:rPr>
          <w:rFonts w:ascii="Arial" w:hAnsi="Arial"/>
          <w:b w:val="0"/>
          <w:i w:val="0"/>
          <w:sz w:val="22"/>
        </w:rPr>
        <w:t>When opening a new Claude.ai or Claude Code session about this project, paste the prompt below into the first message. This gives Claude immediate context on project state, recent decisions, and what's in flight — so the session doesn't waste turns asking what the project is or rediscovering things this tracker already documents.</w:t>
      </w:r>
    </w:p>
    <w:tbl>
      <w:tblPr>
        <w:tblW w:type="auto" w:w="0"/>
        <w:tblLayout w:type="autofit"/>
        <w:tblLook w:firstColumn="1" w:firstRow="1" w:lastColumn="0" w:lastRow="0" w:noHBand="0" w:noVBand="1" w:val="04A0"/>
      </w:tblPr>
      <w:tblGrid>
        <w:gridCol w:w="9360"/>
      </w:tblGrid>
      <w:tr>
        <w:tc>
          <w:tcPr>
            <w:tcW w:type="dxa" w:w="9360"/>
            <w:shd w:val="clear" w:color="auto" w:fill="F5F5F5"/>
          </w:tcPr>
          <w:p>
            <w:pPr>
              <w:spacing w:after="0" w:before="0"/>
            </w:pPr>
            <w:r>
              <w:rPr>
                <w:rFonts w:ascii="Consolas" w:hAnsi="Consolas"/>
                <w:sz w:val="18"/>
              </w:rPr>
              <w:t>I'm working on a quant equity / options paper trading project at</w:t>
            </w:r>
          </w:p>
          <w:p>
            <w:pPr>
              <w:spacing w:after="0" w:before="0"/>
            </w:pPr>
            <w:r>
              <w:rPr>
                <w:rFonts w:ascii="Consolas" w:hAnsi="Consolas"/>
                <w:sz w:val="18"/>
              </w:rPr>
              <w:t>github.com/mteevan90/paper_trader_dashboard. Two contributors: Mike</w:t>
            </w:r>
          </w:p>
          <w:p>
            <w:pPr>
              <w:spacing w:after="0" w:before="0"/>
            </w:pPr>
            <w:r>
              <w:rPr>
                <w:rFonts w:ascii="Consolas" w:hAnsi="Consolas"/>
                <w:sz w:val="18"/>
              </w:rPr>
              <w:t>(equity research; account @mteevan90) and Chris (options + paused</w:t>
            </w:r>
          </w:p>
          <w:p>
            <w:pPr>
              <w:spacing w:after="0" w:before="0"/>
            </w:pPr>
            <w:r>
              <w:rPr>
                <w:rFonts w:ascii="Consolas" w:hAnsi="Consolas"/>
                <w:sz w:val="18"/>
              </w:rPr>
              <w:t>crypto; @cmjteevan).</w:t>
            </w:r>
          </w:p>
          <w:p>
            <w:pPr>
              <w:spacing w:after="0" w:before="0"/>
            </w:pPr>
            <w:r>
              <w:rPr>
                <w:rFonts w:ascii="Consolas" w:hAnsi="Consolas"/>
                <w:sz w:val="18"/>
              </w:rPr>
              <w:t xml:space="preserve"> </w:t>
            </w:r>
          </w:p>
          <w:p>
            <w:pPr>
              <w:spacing w:after="0" w:before="0"/>
            </w:pPr>
            <w:r>
              <w:rPr>
                <w:rFonts w:ascii="Consolas" w:hAnsi="Consolas"/>
                <w:sz w:val="18"/>
              </w:rPr>
              <w:t>Before answering my first question, please read these in order:</w:t>
            </w:r>
          </w:p>
          <w:p>
            <w:pPr>
              <w:spacing w:after="0" w:before="0"/>
            </w:pPr>
            <w:r>
              <w:rPr>
                <w:rFonts w:ascii="Consolas" w:hAnsi="Consolas"/>
                <w:sz w:val="18"/>
              </w:rPr>
              <w:t xml:space="preserve"> </w:t>
            </w:r>
          </w:p>
          <w:p>
            <w:pPr>
              <w:spacing w:after="0" w:before="0"/>
            </w:pPr>
            <w:r>
              <w:rPr>
                <w:rFonts w:ascii="Consolas" w:hAnsi="Consolas"/>
                <w:sz w:val="18"/>
              </w:rPr>
              <w:t>1. docs/Project_State_Tracker.docx — canonical current state, action</w:t>
            </w:r>
          </w:p>
          <w:p>
            <w:pPr>
              <w:spacing w:after="0" w:before="0"/>
            </w:pPr>
            <w:r>
              <w:rPr>
                <w:rFonts w:ascii="Consolas" w:hAnsi="Consolas"/>
                <w:sz w:val="18"/>
              </w:rPr>
              <w:t xml:space="preserve">   items, strategic context. THIS is your primary orientation doc.</w:t>
            </w:r>
          </w:p>
          <w:p>
            <w:pPr>
              <w:spacing w:after="0" w:before="0"/>
            </w:pPr>
            <w:r>
              <w:rPr>
                <w:rFonts w:ascii="Consolas" w:hAnsi="Consolas"/>
                <w:sz w:val="18"/>
              </w:rPr>
              <w:t xml:space="preserve"> </w:t>
            </w:r>
          </w:p>
          <w:p>
            <w:pPr>
              <w:spacing w:after="0" w:before="0"/>
            </w:pPr>
            <w:r>
              <w:rPr>
                <w:rFonts w:ascii="Consolas" w:hAnsi="Consolas"/>
                <w:sz w:val="18"/>
              </w:rPr>
              <w:t>2. docs/Comprehensive_User_Guide.docx — full technical reference</w:t>
            </w:r>
          </w:p>
          <w:p>
            <w:pPr>
              <w:spacing w:after="0" w:before="0"/>
            </w:pPr>
            <w:r>
              <w:rPr>
                <w:rFonts w:ascii="Consolas" w:hAnsi="Consolas"/>
                <w:sz w:val="18"/>
              </w:rPr>
              <w:t xml:space="preserve">   (architecture, data layer, dashboard patterns, gotchas). Reference</w:t>
            </w:r>
          </w:p>
          <w:p>
            <w:pPr>
              <w:spacing w:after="0" w:before="0"/>
            </w:pPr>
            <w:r>
              <w:rPr>
                <w:rFonts w:ascii="Consolas" w:hAnsi="Consolas"/>
                <w:sz w:val="18"/>
              </w:rPr>
              <w:t xml:space="preserve">   for depth.</w:t>
            </w:r>
          </w:p>
          <w:p>
            <w:pPr>
              <w:spacing w:after="0" w:before="0"/>
            </w:pPr>
            <w:r>
              <w:rPr>
                <w:rFonts w:ascii="Consolas" w:hAnsi="Consolas"/>
                <w:sz w:val="18"/>
              </w:rPr>
              <w:t xml:space="preserve"> </w:t>
            </w:r>
          </w:p>
          <w:p>
            <w:pPr>
              <w:spacing w:after="0" w:before="0"/>
            </w:pPr>
            <w:r>
              <w:rPr>
                <w:rFonts w:ascii="Consolas" w:hAnsi="Consolas"/>
                <w:sz w:val="18"/>
              </w:rPr>
              <w:t>3. docs/Project_State_Audit.docx — most recent audit from Claude Code</w:t>
            </w:r>
          </w:p>
          <w:p>
            <w:pPr>
              <w:spacing w:after="0" w:before="0"/>
            </w:pPr>
            <w:r>
              <w:rPr>
                <w:rFonts w:ascii="Consolas" w:hAnsi="Consolas"/>
                <w:sz w:val="18"/>
              </w:rPr>
              <w:t xml:space="preserve">   (2026-05-11), with file-level details on what's broken / stale /</w:t>
            </w:r>
          </w:p>
          <w:p>
            <w:pPr>
              <w:spacing w:after="0" w:before="0"/>
            </w:pPr>
            <w:r>
              <w:rPr>
                <w:rFonts w:ascii="Consolas" w:hAnsi="Consolas"/>
                <w:sz w:val="18"/>
              </w:rPr>
              <w:t xml:space="preserve">   clean.</w:t>
            </w:r>
          </w:p>
          <w:p>
            <w:pPr>
              <w:spacing w:after="0" w:before="0"/>
            </w:pPr>
            <w:r>
              <w:rPr>
                <w:rFonts w:ascii="Consolas" w:hAnsi="Consolas"/>
                <w:sz w:val="18"/>
              </w:rPr>
              <w:t xml:space="preserve"> </w:t>
            </w:r>
          </w:p>
          <w:p>
            <w:pPr>
              <w:spacing w:after="0" w:before="0"/>
            </w:pPr>
            <w:r>
              <w:rPr>
                <w:rFonts w:ascii="Consolas" w:hAnsi="Consolas"/>
                <w:sz w:val="18"/>
              </w:rPr>
              <w:t>4. docs/Options_Extension_Decisions.md — Chris's options architecture</w:t>
            </w:r>
          </w:p>
          <w:p>
            <w:pPr>
              <w:spacing w:after="0" w:before="0"/>
            </w:pPr>
            <w:r>
              <w:rPr>
                <w:rFonts w:ascii="Consolas" w:hAnsi="Consolas"/>
                <w:sz w:val="18"/>
              </w:rPr>
              <w:t xml:space="preserve">   decisions.</w:t>
            </w:r>
          </w:p>
          <w:p>
            <w:pPr>
              <w:spacing w:after="0" w:before="0"/>
            </w:pPr>
            <w:r>
              <w:rPr>
                <w:rFonts w:ascii="Consolas" w:hAnsi="Consolas"/>
                <w:sz w:val="18"/>
              </w:rPr>
              <w:t xml:space="preserve"> </w:t>
            </w:r>
          </w:p>
          <w:p>
            <w:pPr>
              <w:spacing w:after="0" w:before="0"/>
            </w:pPr>
            <w:r>
              <w:rPr>
                <w:rFonts w:ascii="Consolas" w:hAnsi="Consolas"/>
                <w:sz w:val="18"/>
              </w:rPr>
              <w:t>5. docs/Crypto_Extension_Decisions.md — Crypto extension architectural</w:t>
            </w:r>
          </w:p>
          <w:p>
            <w:pPr>
              <w:spacing w:after="0" w:before="0"/>
            </w:pPr>
            <w:r>
              <w:rPr>
                <w:rFonts w:ascii="Consolas" w:hAnsi="Consolas"/>
                <w:sz w:val="18"/>
              </w:rPr>
              <w:t xml:space="preserve">   decisions (extension is paused but doc is authoritative if work</w:t>
            </w:r>
          </w:p>
          <w:p>
            <w:pPr>
              <w:spacing w:after="0" w:before="0"/>
            </w:pPr>
            <w:r>
              <w:rPr>
                <w:rFonts w:ascii="Consolas" w:hAnsi="Consolas"/>
                <w:sz w:val="18"/>
              </w:rPr>
              <w:t xml:space="preserve">   resumes).</w:t>
            </w:r>
          </w:p>
          <w:p>
            <w:pPr>
              <w:spacing w:after="0" w:before="0"/>
            </w:pPr>
            <w:r>
              <w:rPr>
                <w:rFonts w:ascii="Consolas" w:hAnsi="Consolas"/>
                <w:sz w:val="18"/>
              </w:rPr>
              <w:t xml:space="preserve"> </w:t>
            </w:r>
          </w:p>
          <w:p>
            <w:pPr>
              <w:spacing w:after="0" w:before="0"/>
            </w:pPr>
            <w:r>
              <w:rPr>
                <w:rFonts w:ascii="Consolas" w:hAnsi="Consolas"/>
                <w:sz w:val="18"/>
              </w:rPr>
              <w:t>6. docs/future_work.md — deferred items, including hardware-aware work</w:t>
            </w:r>
          </w:p>
          <w:p>
            <w:pPr>
              <w:spacing w:after="0" w:before="0"/>
            </w:pPr>
            <w:r>
              <w:rPr>
                <w:rFonts w:ascii="Consolas" w:hAnsi="Consolas"/>
                <w:sz w:val="18"/>
              </w:rPr>
              <w:t xml:space="preserve">   allocation and distributed Optuna trigger.</w:t>
            </w:r>
          </w:p>
          <w:p>
            <w:pPr>
              <w:spacing w:after="0" w:before="0"/>
            </w:pPr>
            <w:r>
              <w:rPr>
                <w:rFonts w:ascii="Consolas" w:hAnsi="Consolas"/>
                <w:sz w:val="18"/>
              </w:rPr>
              <w:t xml:space="preserve"> </w:t>
            </w:r>
          </w:p>
          <w:p>
            <w:pPr>
              <w:spacing w:after="0" w:before="0"/>
            </w:pPr>
            <w:r>
              <w:rPr>
                <w:rFonts w:ascii="Consolas" w:hAnsi="Consolas"/>
                <w:sz w:val="18"/>
              </w:rPr>
              <w:t>Once you've read these, give me a 3-sentence summary of where the</w:t>
            </w:r>
          </w:p>
          <w:p>
            <w:pPr>
              <w:spacing w:after="0" w:before="0"/>
            </w:pPr>
            <w:r>
              <w:rPr>
                <w:rFonts w:ascii="Consolas" w:hAnsi="Consolas"/>
                <w:sz w:val="18"/>
              </w:rPr>
              <w:t>project stands and what URGENT items remain, then ask what I want to</w:t>
            </w:r>
          </w:p>
          <w:p>
            <w:pPr>
              <w:spacing w:after="0" w:before="0"/>
            </w:pPr>
            <w:r>
              <w:rPr>
                <w:rFonts w:ascii="Consolas" w:hAnsi="Consolas"/>
                <w:sz w:val="18"/>
              </w:rPr>
              <w:t>work on. Don't write any code or run any tools until I respond. Don't</w:t>
            </w:r>
          </w:p>
          <w:p>
            <w:pPr>
              <w:spacing w:after="0" w:before="0"/>
            </w:pPr>
            <w:r>
              <w:rPr>
                <w:rFonts w:ascii="Consolas" w:hAnsi="Consolas"/>
                <w:sz w:val="18"/>
              </w:rPr>
              <w:t>make assumptions about my role (Mike or Chris) — ask if it's not</w:t>
            </w:r>
          </w:p>
          <w:p>
            <w:pPr>
              <w:spacing w:after="0" w:before="0"/>
            </w:pPr>
            <w:r>
              <w:rPr>
                <w:rFonts w:ascii="Consolas" w:hAnsi="Consolas"/>
                <w:sz w:val="18"/>
              </w:rPr>
              <w:t>clear from context.</w:t>
            </w:r>
          </w:p>
          <w:p>
            <w:pPr>
              <w:spacing w:after="0" w:before="0"/>
            </w:pPr>
            <w:r>
              <w:rPr>
                <w:rFonts w:ascii="Consolas" w:hAnsi="Consolas"/>
                <w:sz w:val="18"/>
              </w:rPr>
              <w:t xml:space="preserve"> </w:t>
            </w:r>
          </w:p>
          <w:p>
            <w:pPr>
              <w:spacing w:after="0" w:before="0"/>
            </w:pPr>
            <w:r>
              <w:rPr>
                <w:rFonts w:ascii="Consolas" w:hAnsi="Consolas"/>
                <w:sz w:val="18"/>
              </w:rPr>
              <w:t>Key project conventions to absorb:</w:t>
            </w:r>
          </w:p>
          <w:p>
            <w:pPr>
              <w:spacing w:after="0" w:before="0"/>
            </w:pPr>
            <w:r>
              <w:rPr>
                <w:rFonts w:ascii="Consolas" w:hAnsi="Consolas"/>
                <w:sz w:val="18"/>
              </w:rPr>
              <w:t>- Mike owns equity work + shared infrastructure</w:t>
            </w:r>
          </w:p>
          <w:p>
            <w:pPr>
              <w:spacing w:after="0" w:before="0"/>
            </w:pPr>
            <w:r>
              <w:rPr>
                <w:rFonts w:ascii="Consolas" w:hAnsi="Consolas"/>
                <w:sz w:val="18"/>
              </w:rPr>
              <w:t>- Chris owns options + crypto code</w:t>
            </w:r>
          </w:p>
          <w:p>
            <w:pPr>
              <w:spacing w:after="0" w:before="0"/>
            </w:pPr>
            <w:r>
              <w:rPr>
                <w:rFonts w:ascii="Consolas" w:hAnsi="Consolas"/>
                <w:sz w:val="18"/>
              </w:rPr>
              <w:t>- CODEOWNERS in .github/ enforces cross-namespace boundaries</w:t>
            </w:r>
          </w:p>
          <w:p>
            <w:pPr>
              <w:spacing w:after="0" w:before="0"/>
            </w:pPr>
            <w:r>
              <w:rPr>
                <w:rFonts w:ascii="Consolas" w:hAnsi="Consolas"/>
                <w:sz w:val="18"/>
              </w:rPr>
              <w:t>- Cloud dashboard at paper-trader-mteev.streamlit.app (read-only,</w:t>
            </w:r>
          </w:p>
          <w:p>
            <w:pPr>
              <w:spacing w:after="0" w:before="0"/>
            </w:pPr>
            <w:r>
              <w:rPr>
                <w:rFonts w:ascii="Consolas" w:hAnsi="Consolas"/>
                <w:sz w:val="18"/>
              </w:rPr>
              <w:t xml:space="preserve">  R2-backed)</w:t>
            </w:r>
          </w:p>
          <w:p>
            <w:pPr>
              <w:spacing w:after="0" w:before="0"/>
            </w:pPr>
            <w:r>
              <w:rPr>
                <w:rFonts w:ascii="Consolas" w:hAnsi="Consolas"/>
                <w:sz w:val="18"/>
              </w:rPr>
              <w:t>- Asset-class-namespaced data layer: equities/, crypto/, options/</w:t>
            </w:r>
          </w:p>
          <w:p>
            <w:pPr>
              <w:spacing w:after="0" w:before="0"/>
            </w:pPr>
            <w:r>
              <w:rPr>
                <w:rFonts w:ascii="Consolas" w:hAnsi="Consolas"/>
                <w:sz w:val="18"/>
              </w:rPr>
              <w:t xml:space="preserve">  subdirs under models/cache/ and models/snapshots/</w:t>
            </w:r>
          </w:p>
          <w:p>
            <w:pPr>
              <w:spacing w:after="0" w:before="0"/>
            </w:pPr>
            <w:r>
              <w:rPr>
                <w:rFonts w:ascii="Consolas" w:hAnsi="Consolas"/>
                <w:sz w:val="18"/>
              </w:rPr>
              <w:t>- The tracker doc supersedes prior versions of any other handoff doc</w:t>
            </w:r>
          </w:p>
          <w:p>
            <w:pPr>
              <w:spacing w:after="0" w:before="0"/>
            </w:pPr>
            <w:r>
              <w:rPr>
                <w:rFonts w:ascii="Consolas" w:hAnsi="Consolas"/>
                <w:sz w:val="18"/>
              </w:rPr>
              <w:t xml:space="preserve"> </w:t>
            </w:r>
          </w:p>
          <w:p>
            <w:pPr>
              <w:spacing w:after="0" w:before="0"/>
            </w:pPr>
            <w:r>
              <w:rPr>
                <w:rFonts w:ascii="Consolas" w:hAnsi="Consolas"/>
                <w:sz w:val="18"/>
              </w:rPr>
              <w:t>Three things you should specifically NOT do without explicit</w:t>
            </w:r>
          </w:p>
          <w:p>
            <w:pPr>
              <w:spacing w:after="0" w:before="0"/>
            </w:pPr>
            <w:r>
              <w:rPr>
                <w:rFonts w:ascii="Consolas" w:hAnsi="Consolas"/>
                <w:sz w:val="18"/>
              </w:rPr>
              <w:t>confirmation:</w:t>
            </w:r>
          </w:p>
          <w:p>
            <w:pPr>
              <w:spacing w:after="0" w:before="0"/>
            </w:pPr>
            <w:r>
              <w:rPr>
                <w:rFonts w:ascii="Consolas" w:hAnsi="Consolas"/>
                <w:sz w:val="18"/>
              </w:rPr>
              <w:t>- Don't push to main (use feature branches; let me merge via PR)</w:t>
            </w:r>
          </w:p>
          <w:p>
            <w:pPr>
              <w:spacing w:after="0" w:before="0"/>
            </w:pPr>
            <w:r>
              <w:rPr>
                <w:rFonts w:ascii="Consolas" w:hAnsi="Consolas"/>
                <w:sz w:val="18"/>
              </w:rPr>
              <w:t>- Don't run snapshot_for_cloud.py without --dry-run first</w:t>
            </w:r>
          </w:p>
          <w:p>
            <w:pPr>
              <w:spacing w:after="0" w:before="0"/>
            </w:pPr>
            <w:r>
              <w:rPr>
                <w:rFonts w:ascii="Consolas" w:hAnsi="Consolas"/>
                <w:sz w:val="18"/>
              </w:rPr>
              <w:t>- Don't pop or modify stash@{0} (deferred SP1500 work)</w:t>
            </w:r>
          </w:p>
          <w:p>
            <w:pPr>
              <w:spacing w:after="0" w:before="0"/>
            </w:pPr>
            <w:r>
              <w:rPr>
                <w:rFonts w:ascii="Consolas" w:hAnsi="Consolas"/>
                <w:sz w:val="18"/>
              </w:rPr>
              <w:t xml:space="preserve"> </w:t>
            </w:r>
          </w:p>
          <w:p>
            <w:pPr>
              <w:spacing w:after="0" w:before="0"/>
            </w:pPr>
            <w:r>
              <w:rPr>
                <w:rFonts w:ascii="Consolas" w:hAnsi="Consolas"/>
                <w:sz w:val="18"/>
              </w:rPr>
              <w:t>If you find yourself working without having read the tracker doc</w:t>
            </w:r>
          </w:p>
          <w:p>
            <w:pPr>
              <w:spacing w:after="0" w:before="0"/>
            </w:pPr>
            <w:r>
              <w:rPr>
                <w:rFonts w:ascii="Consolas" w:hAnsi="Consolas"/>
                <w:sz w:val="18"/>
              </w:rPr>
              <w:t>first, stop and read it. The tracker is updated when project state</w:t>
            </w:r>
          </w:p>
          <w:p>
            <w:pPr>
              <w:spacing w:after="0" w:before="0"/>
            </w:pPr>
            <w:r>
              <w:rPr>
                <w:rFonts w:ascii="Consolas" w:hAnsi="Consolas"/>
                <w:sz w:val="18"/>
              </w:rPr>
              <w:t>changes meaningfully — its commit date in git log tells you how</w:t>
            </w:r>
          </w:p>
          <w:p>
            <w:pPr>
              <w:spacing w:after="0" w:before="0"/>
            </w:pPr>
            <w:r>
              <w:rPr>
                <w:rFonts w:ascii="Consolas" w:hAnsi="Consolas"/>
                <w:sz w:val="18"/>
              </w:rPr>
              <w:t>recently.</w:t>
            </w:r>
          </w:p>
        </w:tc>
      </w:tr>
    </w:tbl>
    <w:p>
      <w:r>
        <w:rPr>
          <w:rFonts w:ascii="Arial" w:hAnsi="Arial"/>
          <w:b w:val="0"/>
          <w:i/>
          <w:sz w:val="20"/>
        </w:rPr>
        <w:t>After pasting, Claude will read this tracker and any referenced docs before answering your first question. Update this prompt's reference list if you add new authoritative docs to the repo.</w:t>
      </w:r>
    </w:p>
    <w:p>
      <w:pPr>
        <w:pStyle w:val="Heading1"/>
      </w:pPr>
      <w:r>
        <w:t>Larger Universe v1 study — COMPLETE (not promoted) — 2026-05-12</w:t>
      </w:r>
    </w:p>
    <w:p>
      <w:pPr/>
      <w:r>
        <w:t>Status: Phase 5 complete on branch feat/larger-universe-v1-study (pre-merge, awaiting Mike's review). Branch contains the full five-phase study build plus an architectural memo, a dashboard-contract update, a Phase 4.5 dashboard implementation, six static figures, and this tracker update — all bundled as one coherent unit. Merge decision happens after review.</w:t>
      </w:r>
    </w:p>
    <w:p>
      <w:pPr>
        <w:pStyle w:val="Heading2"/>
      </w:pPr>
      <w:r>
        <w:t>Headline disposition</w:t>
      </w:r>
    </w:p>
    <w:p>
      <w:pPr>
        <w:pStyle w:val="ListBullet"/>
      </w:pPr>
      <w:r>
        <w:t>Universe expansion succeeded: 2,122-ticker SP1500+delisted snapshot with documented survivorship-bias mitigation. Infrastructure is reusable for future studies.</w:t>
      </w:r>
    </w:p>
    <w:p>
      <w:pPr>
        <w:pStyle w:val="ListBullet"/>
      </w:pPr>
      <w:r>
        <w:t>Neither model met all hard success criteria. XGBoost (primary) earned +3.5pp excess CAGR vs SPY on the test window but failed the 1.5×-SPY-drawdown constraint (−33.5% vs −28.5% threshold) and the 25%-single-ticker constraint (MXL at 33.9%). ElasticNet (sanity) showed +21.2pp excess CAGR but 88% of its alpha came from a single ticker (DBD).</w:t>
      </w:r>
    </w:p>
    <w:p>
      <w:pPr>
        <w:pStyle w:val="ListBullet"/>
      </w:pPr>
      <w:r>
        <w:t>Per spec: not promoted. The strategy beats SPY on average but fails risk-adjusted promotion criteria. Documented for the record; not deployed.</w:t>
      </w:r>
    </w:p>
    <w:p>
      <w:pPr>
        <w:pStyle w:val="ListBullet"/>
      </w:pPr>
      <w:r>
        <w:t>Two methodology findings worth retaining: (1) full-cross-section Spearman IC was the wrong CV objective for top-N portfolio strategies — XGBoost CV winner had +0.028 in-fold IC but −0.009 held-out full-IC with +0.048 top-quintile IC; (2) feature/model/construction interaction drove the DBD concentration deterministically (trend features + linear model + light regularization + rank-top-N).</w:t>
      </w:r>
    </w:p>
    <w:p>
      <w:pPr>
        <w:pStyle w:val="ListBullet"/>
      </w:pPr>
      <w:r>
        <w:t>First contract-conformant study under dashboard_contract_v1. Future studies inherit the dashboard infrastructure rather than each retrofitting it.</w:t>
      </w:r>
    </w:p>
    <w:p>
      <w:pPr>
        <w:pStyle w:val="Heading2"/>
      </w:pPr>
      <w:r>
        <w:t>What was built (Phase 5 close session, 2026-05-12)</w:t>
      </w:r>
    </w:p>
    <w:p>
      <w:pPr>
        <w:pStyle w:val="ListBullet"/>
      </w:pPr>
      <w:r>
        <w:t>docs/architecture/ml_study_cv_objectives_v1.md — architectural memo distilling the CV-objective finding. APPROVED 2026-05-12. Establishes a dual-reporting requirement so future studies can validate or revise the top-quintile-IC recommendation (n=1 today).</w:t>
      </w:r>
    </w:p>
    <w:p>
      <w:pPr>
        <w:pStyle w:val="ListBullet"/>
      </w:pPr>
      <w:r>
        <w:t>docs/architecture/dashboard_contract_v1.md — updated with the objective.training_cv field requirement under meta.json.objective. Controlled vocabulary added (top_quintile_spearman_ic recommended).</w:t>
      </w:r>
    </w:p>
    <w:p>
      <w:pPr>
        <w:pStyle w:val="ListBullet"/>
      </w:pPr>
      <w:r>
        <w:t>docs/studies/larger_universe_v1/results.md — full study writeup with executive summary, methodology (Phase 1-5), six embedded figures, the DBD case study, success-criteria pass/fail table, forward-looking findings, future-work candidates (no endorsement), methodology limitations.</w:t>
      </w:r>
    </w:p>
    <w:p>
      <w:pPr>
        <w:pStyle w:val="ListBullet"/>
      </w:pPr>
      <w:r>
        <w:t>docs/studies/larger_universe_v1/figures/*.png — six static figures: equity_curves, year_by_year, decile_returns, alpha_attribution, walk_forward, ic_decomposition. Generated via scripts/research/phase5_generate_figures.py.</w:t>
      </w:r>
    </w:p>
    <w:p>
      <w:pPr>
        <w:pStyle w:val="ListBullet"/>
      </w:pPr>
      <w:r>
        <w:t>src/dashboard_app.py — Phase 4.5 dashboard. Sidebar now offers a Legacy / Contract-conformant radio (Legacy is default). The Contract-conformant branch renders 8 tabs from contract_v1/ artifacts: Overview, Performance, Holdings, Trades, Alpha Attribution, Diagnostics, Walk-forward, Tuning. Legacy tabs unchanged.</w:t>
      </w:r>
    </w:p>
    <w:p>
      <w:pPr>
        <w:pStyle w:val="ListBullet"/>
      </w:pPr>
      <w:r>
        <w:t>models/studies/larger_universe_v1/contract_v1/ — 14 artifacts (meta.json + 12 parquet/json files) following the dashboard contract. Phase 4 and Phase 5 analytics outputs.</w:t>
      </w:r>
    </w:p>
    <w:p>
      <w:pPr>
        <w:pStyle w:val="Heading2"/>
      </w:pPr>
      <w:r>
        <w:t>Pointers</w:t>
      </w:r>
    </w:p>
    <w:p>
      <w:pPr>
        <w:pStyle w:val="ListBullet"/>
      </w:pPr>
      <w:r>
        <w:t>Writeup: docs/studies/larger_universe_v1/results.md</w:t>
      </w:r>
    </w:p>
    <w:p>
      <w:pPr>
        <w:pStyle w:val="ListBullet"/>
      </w:pPr>
      <w:r>
        <w:t>Session log: docs/sessions/larger_universe_v1/session_log.md</w:t>
      </w:r>
    </w:p>
    <w:p>
      <w:pPr>
        <w:pStyle w:val="ListBullet"/>
      </w:pPr>
      <w:r>
        <w:t>Architectural memo: docs/architecture/ml_study_cv_objectives_v1.md</w:t>
      </w:r>
    </w:p>
    <w:p>
      <w:pPr>
        <w:pStyle w:val="ListBullet"/>
      </w:pPr>
      <w:r>
        <w:t>Dashboard contract: docs/architecture/dashboard_contract_v1.md</w:t>
      </w:r>
    </w:p>
    <w:p>
      <w:pPr>
        <w:pStyle w:val="ListBullet"/>
      </w:pPr>
      <w:r>
        <w:t>Spec: docs/studies/larger_universe_v1/spec.md (Phase 4 spec at phase4_spec.md)</w:t>
      </w:r>
    </w:p>
    <w:p>
      <w:pPr>
        <w:pStyle w:val="ListBullet"/>
      </w:pPr>
      <w:r>
        <w:t>Contract artifacts: models/studies/larger_universe_v1/contract_v1/</w:t>
      </w:r>
    </w:p>
    <w:p>
      <w:pPr>
        <w:pStyle w:val="ListBullet"/>
      </w:pPr>
      <w:r>
        <w:t>Dashboard route: /studies/larger_universe_v1 via the Contract-conformant sidebar branch in src/dashboard_app.py</w:t>
      </w:r>
    </w:p>
    <w:p>
      <w:pPr>
        <w:pStyle w:val="Heading2"/>
      </w:pPr>
      <w:r>
        <w:t>What's next (post-review)</w:t>
      </w:r>
    </w:p>
    <w:p>
      <w:pPr>
        <w:pStyle w:val="ListBullet"/>
      </w:pPr>
      <w:r>
        <w:t>Mike reviews the coherent unit on feat/larger-universe-v1-study. Approve → merge to main via PR (Mike handles). Request revisions → Claude addresses specific revisions before merge.</w:t>
      </w:r>
    </w:p>
    <w:p>
      <w:pPr>
        <w:pStyle w:val="ListBullet"/>
      </w:pPr>
      <w:r>
        <w:t>v2 study design conversation deferred until after merge. Not queued or specced. Future-work section in the writeup lists candidate directions without endorsement.</w:t>
      </w:r>
    </w:p>
    <w:p>
      <w:pPr>
        <w:pStyle w:val="ListBullet"/>
      </w:pPr>
      <w:r>
        <w:t>Any future contract-conformant study inherits the Phase 4.5 dashboard tabs by writing artifacts to its own contract_v1/ folder per the contract spec.</w:t>
      </w:r>
    </w:p>
    <w:p>
      <w:pPr>
        <w:pStyle w:val="Heading2"/>
      </w:pPr>
      <w:r>
        <w:t>For Mike's partners checking in</w:t>
      </w:r>
    </w:p>
    <w:p>
      <w:pPr/>
      <w:r>
        <w:t>Phase 5 is done. Branch sits pre-merge for Mike's review. There is no in-flight long-running compute; the work to look at is documentation (writeup, memo, session log), dashboard code, and the contract artifacts. The promotion criteria came in as a clean fail on two of three hard criteria for both models, which means the study contributes methodology learnings rather than a new promoted strategy — that outcome is documented honestly and not spun.</w:t>
      </w:r>
    </w:p>
    <w:p>
      <w:pPr>
        <w:pStyle w:val="Heading1"/>
      </w:pPr>
      <w:r>
        <w:t>Post-LU-v1 dashboard refinements — 2026-05-12</w:t>
      </w:r>
    </w:p>
    <w:p>
      <w:pPr/>
      <w:r>
        <w:t>After Larger Universe v1 closed, four narrow follow-ups landed on main as separate feature branches: an add_vline render-bug fix, a Tuning-tab parity enhancement (with contract additions), a primary-model selector-default fix, and an Overview-merge + terminology cleanup. Each was reviewed and merged via the standard --no-ff branch-policy pattern. The end-state below captures the current stable shape of the contract-conformant dashboard.</w:t>
      </w:r>
    </w:p>
    <w:p>
      <w:pPr>
        <w:pStyle w:val="Heading2"/>
      </w:pPr>
      <w:r>
        <w:t>Tab structure (7 tabs)</w:t>
      </w:r>
    </w:p>
    <w:p>
      <w:pPr/>
      <w:r>
        <w:t>The contract-conformant dashboard now renders seven universal tabs. Overview was promoted to executive summary by absorbing the headline NAV-vs-benchmarks chart from the former Performance tab; that chart sits directly above the headline metrics and gives visual context for the numbers that follow. The Performance tab is gone.</w:t>
      </w:r>
    </w:p>
    <w:p>
      <w:pPr>
        <w:pStyle w:val="ListBullet"/>
      </w:pPr>
      <w:r>
        <w:t>Overview — date-range header, NAV chart vs benchmarks with the reserved-validation marker, headline metrics per slice, concentration check, repeat-holding profile, objective + construction summary, and an explanatory note defining the reserved-validation period.</w:t>
      </w:r>
    </w:p>
    <w:p>
      <w:pPr>
        <w:pStyle w:val="ListBullet"/>
      </w:pPr>
      <w:r>
        <w:t>Holdings — per-model rebalance-date selector → positions table.</w:t>
      </w:r>
    </w:p>
    <w:p>
      <w:pPr>
        <w:pStyle w:val="ListBullet"/>
      </w:pPr>
      <w:r>
        <w:t>Trades — per-model round-trip trade list.</w:t>
      </w:r>
    </w:p>
    <w:p>
      <w:pPr>
        <w:pStyle w:val="ListBullet"/>
      </w:pPr>
      <w:r>
        <w:t>Alpha Attribution — per-model top-N alpha contributors with the 25% constraint line marked.</w:t>
      </w:r>
    </w:p>
    <w:p>
      <w:pPr>
        <w:pStyle w:val="ListBullet"/>
      </w:pPr>
      <w:r>
        <w:t>Diagnostics — IC decomposition (full vs top-quintile), decile returns with error bars, rolling 12-month win rate.</w:t>
      </w:r>
    </w:p>
    <w:p>
      <w:pPr>
        <w:pStyle w:val="ListBullet"/>
      </w:pPr>
      <w:r>
        <w:t>Walk-forward — per-window excess CAGR bars (rendered when walk_forward.parquet is present).</w:t>
      </w:r>
    </w:p>
    <w:p>
      <w:pPr>
        <w:pStyle w:val="ListBullet"/>
      </w:pPr>
      <w:r>
        <w:t>Tuning — narrative summary box quoting tuning_summary.json, score-distribution histogram, running-best convergence curve, per-parameter sensitivity scatter grid, collapsed trial log, preserved feature-importance section.</w:t>
      </w:r>
    </w:p>
    <w:p>
      <w:pPr>
        <w:pStyle w:val="Heading2"/>
      </w:pPr>
      <w:r>
        <w:t>Terminology convention</w:t>
      </w:r>
    </w:p>
    <w:p>
      <w:pPr/>
      <w:r>
        <w:t>Human-facing artifacts now use "Reserved validation period" (or "reserved validation window" / "reserved validation slice") where they previously used "OOS". The phrase "out-of-sample" remains correct when the surrounding context distinguishes model-level out-of-sample from analyst-level analysis discretion. Schema field names and Python code variables retain the technical "oos_*" names — the schema is short, technical, developer-facing; the UI is partner-facing and prioritizes legibility.</w:t>
      </w:r>
    </w:p>
    <w:p>
      <w:pPr>
        <w:pStyle w:val="ListBullet"/>
      </w:pPr>
      <w:r>
        <w:t>meta.json.windows.oos_start / oos_end — unchanged</w:t>
      </w:r>
    </w:p>
    <w:p>
      <w:pPr>
        <w:pStyle w:val="ListBullet"/>
      </w:pPr>
      <w:r>
        <w:t>meta.json.summary_metrics.oos — unchanged</w:t>
      </w:r>
    </w:p>
    <w:p>
      <w:pPr>
        <w:pStyle w:val="ListBullet"/>
      </w:pPr>
      <w:r>
        <w:t>Python variables (oos_start, oos_ms, etc.) — unchanged</w:t>
      </w:r>
    </w:p>
    <w:p>
      <w:pPr>
        <w:pStyle w:val="ListBullet"/>
      </w:pPr>
      <w:r>
        <w:t>Dashboard UI labels — "Reserved validation period"</w:t>
      </w:r>
    </w:p>
    <w:p>
      <w:pPr>
        <w:pStyle w:val="ListBullet"/>
      </w:pPr>
      <w:r>
        <w:t>Architectural memos and writeup narrative — "reserved validation" or contextually appropriate variant</w:t>
      </w:r>
    </w:p>
    <w:p>
      <w:pPr/>
      <w:r>
        <w:t>The terminology convention is formalized in docs/architecture/dashboard_contract_v1.md under the "Terminology convention — schema fields vs UI labels" section.</w:t>
      </w:r>
    </w:p>
    <w:p>
      <w:pPr>
        <w:pStyle w:val="Heading2"/>
      </w:pPr>
      <w:r>
        <w:t>New architectural reference</w:t>
      </w:r>
    </w:p>
    <w:p>
      <w:pPr/>
      <w:r>
        <w:t>docs/architecture/dashboard_operations_v1.md is a how-to-work-on-the-dashboard reference for future sessions — part tutorial, part architecture overview. Covers the legacy-vs-contract-conformant routing, cached loaders, role-aware model defaults, and four recipes (fix a render bug, add a chart to an existing tab, add a new optional contract artifact + section, add a whole new tab). Grounded in concrete examples from this project's history (tuning_convergence additive change, add_vline ms-since-epoch fix, primary-model-default fix, Overview merge + terminology cleanup).</w:t>
      </w:r>
    </w:p>
    <w:p>
      <w:pPr>
        <w:pStyle w:val="Heading2"/>
      </w:pPr>
      <w:r>
        <w:t>Standing follow-ups (unchanged)</w:t>
      </w:r>
    </w:p>
    <w:p>
      <w:pPr/>
      <w:r>
        <w:t>All tracked in the LU-v1 session log; none urgent. Mike decides when/whether to action.</w:t>
      </w:r>
    </w:p>
    <w:p>
      <w:pPr>
        <w:pStyle w:val="ListBullet"/>
      </w:pPr>
      <w:r>
        <w:t>use_container_width deprecation sweep — ~40 Streamlit warnings per page load; mechanical replace with width="stretch" / width="content". Affects both legacy and contract code.</w:t>
      </w:r>
    </w:p>
    <w:p>
      <w:pPr>
        <w:pStyle w:val="ListBullet"/>
      </w:pPr>
      <w:r>
        <w:t>Dashboard pytest coverage via streamlit.testing.v1.AppTest — no existing pytest coverage; harness pattern is the right shape for formal tests.</w:t>
      </w:r>
    </w:p>
    <w:p>
      <w:pPr>
        <w:pStyle w:val="ListBullet"/>
      </w:pPr>
      <w:r>
        <w:t>attempted_trials enhancement to tuning_summary.json — current total_trials is COMPLETE-only; future studies with high failure rates would benefit from surfacing the attempted-vs-complete split.</w:t>
      </w:r>
    </w:p>
    <w:p>
      <w:pPr>
        <w:pStyle w:val="ListBullet"/>
      </w:pPr>
      <w:r>
        <w:t>Convergence-pattern methodology memo — pending a third Optuna data point. XGBoost on LU-v1 plateaued at 61% of 200 trials; legacy v1 plateaued at ~33% of 1000 trials. A third study with documented convergence promotes this observation to an architectural memo.</w:t>
      </w:r>
    </w:p>
    <w:p>
      <w:pPr>
        <w:pStyle w:val="Heading2"/>
      </w:pPr>
      <w:r>
        <w:t>Merge SHAs (for traceability)</w:t>
      </w:r>
    </w:p>
    <w:p>
      <w:pPr>
        <w:pStyle w:val="ListBullet"/>
      </w:pPr>
      <w:r>
        <w:t>727bc0d — add_vline ms-since-epoch fix</w:t>
      </w:r>
    </w:p>
    <w:p>
      <w:pPr>
        <w:pStyle w:val="ListBullet"/>
      </w:pPr>
      <w:r>
        <w:t>b486e65 — Tuning-tab parity enhancement (tuning_convergence + tuning_summary contract additions)</w:t>
      </w:r>
    </w:p>
    <w:p>
      <w:pPr>
        <w:pStyle w:val="ListBullet"/>
      </w:pPr>
      <w:r>
        <w:t>235c8a6 — primary-model selector-default fix</w:t>
      </w:r>
    </w:p>
    <w:p>
      <w:pPr>
        <w:pStyle w:val="ListBullet"/>
      </w:pPr>
      <w:r>
        <w:t>Overview merge + terminology cleanup — pre-merge at time of this tracker entry; SHA filled in on the post-merge session-log entry.</w:t>
      </w:r>
    </w:p>
    <w:p>
      <w:pPr>
        <w:pStyle w:val="Heading1"/>
      </w:pPr>
      <w:r>
        <w:t>1. Top 5 Most Important Findings</w:t>
      </w:r>
    </w:p>
    <w:p>
      <w:pPr>
        <w:pStyle w:val="Heading2"/>
      </w:pPr>
      <w:r>
        <w:t>Finding 1: PR #15 blocks the options v1 study — RESOLVED</w:t>
      </w:r>
    </w:p>
    <w:p>
      <w:r>
        <w:rPr>
          <w:rFonts w:ascii="Arial" w:hAnsi="Arial"/>
          <w:b/>
          <w:i w:val="0"/>
          <w:sz w:val="22"/>
        </w:rPr>
        <w:t xml:space="preserve">Resolved 2026-05-11: </w:t>
      </w:r>
      <w:r>
        <w:rPr>
          <w:rFonts w:ascii="Arial" w:hAnsi="Arial"/>
          <w:b w:val="0"/>
          <w:i w:val="0"/>
          <w:sz w:val="22"/>
        </w:rPr>
        <w:t>PR #15 merged at commit 993527f. Branch chris/options-fix-v1-study-hang folded into main; v1 study is now unblocked and pending Chris's launch.</w:t>
      </w:r>
    </w:p>
    <w:p>
      <w:r>
        <w:rPr>
          <w:rFonts w:ascii="Arial" w:hAnsi="Arial"/>
          <w:b w:val="0"/>
          <w:i w:val="0"/>
          <w:sz w:val="22"/>
        </w:rPr>
        <w:t>Historical context — original finding kept for the record:</w:t>
      </w:r>
    </w:p>
    <w:p>
      <w:r>
        <w:rPr>
          <w:rFonts w:ascii="Arial" w:hAnsi="Arial"/>
          <w:b w:val="0"/>
          <w:i w:val="0"/>
          <w:sz w:val="22"/>
        </w:rPr>
        <w:t>Branch chris/options-fix-v1-study-hang @ 7e0881c was 1 commit ahead of main. Real fix, not cosmetic. Root cause: engine.py was still passing Tradier's fetch_history to chain_reconstruction after PR #14 swapped the default to Polygon. Tradier returns null for expired OCCs, so reconstruct_chain looped on empty data.</w:t>
      </w:r>
    </w:p>
    <w:p>
      <w:r>
        <w:rPr>
          <w:rFonts w:ascii="Arial" w:hAnsi="Arial"/>
          <w:b w:val="0"/>
          <w:i w:val="0"/>
          <w:sz w:val="22"/>
        </w:rPr>
        <w:t>Bundled fixes:</w:t>
      </w:r>
    </w:p>
    <w:p>
      <w:pPr>
        <w:pStyle w:val="ListBullet"/>
      </w:pPr>
      <w:r>
        <w:rPr>
          <w:rFonts w:ascii="Arial" w:hAnsi="Arial"/>
          <w:sz w:val="22"/>
        </w:rPr>
        <w:t>Separate RateLimiter per data source (Tradier 60/min vs Polygon 300/min)</w:t>
      </w:r>
    </w:p>
    <w:p>
      <w:pPr>
        <w:pStyle w:val="ListBullet"/>
      </w:pPr>
      <w:r>
        <w:rPr>
          <w:rFonts w:ascii="Arial" w:hAnsi="Arial"/>
          <w:sz w:val="22"/>
        </w:rPr>
        <w:t>Thread-safe lock on rate-limit deque (16 concurrent chain workers)</w:t>
      </w:r>
    </w:p>
    <w:p>
      <w:pPr>
        <w:pStyle w:val="ListBullet"/>
      </w:pPr>
      <w:r>
        <w:rPr>
          <w:rFonts w:ascii="Arial" w:hAnsi="Arial"/>
          <w:sz w:val="22"/>
        </w:rPr>
        <w:t>Capped header-driven sleep at 60s</w:t>
      </w:r>
    </w:p>
    <w:p>
      <w:pPr>
        <w:pStyle w:val="ListBullet"/>
      </w:pPr>
      <w:r>
        <w:rPr>
          <w:rFonts w:ascii="Arial" w:hAnsi="Arial"/>
          <w:sz w:val="22"/>
        </w:rPr>
        <w:t>Multi-day pre-fetch in _default_deps</w:t>
      </w:r>
    </w:p>
    <w:p>
      <w:pPr>
        <w:pStyle w:val="ListBullet"/>
      </w:pPr>
      <w:r>
        <w:rPr>
          <w:rFonts w:ascii="Arial" w:hAnsi="Arial"/>
          <w:sz w:val="22"/>
        </w:rPr>
        <w:t>Removed Polygon cache-write sanity gate that was rejecting legitimate sparse-expiry contracts</w:t>
      </w:r>
    </w:p>
    <w:p>
      <w:r>
        <w:rPr>
          <w:rFonts w:ascii="Arial" w:hAnsi="Arial"/>
          <w:b w:val="0"/>
          <w:i w:val="0"/>
          <w:sz w:val="22"/>
        </w:rPr>
        <w:t>8 files, +526/-106 lines, new tests included.</w:t>
      </w:r>
    </w:p>
    <w:p>
      <w:pPr>
        <w:pStyle w:val="Heading2"/>
      </w:pPr>
      <w:r>
        <w:t>Finding 2: R2 stale — RESOLVED for equities; options pending Chris's v1 study</w:t>
      </w:r>
    </w:p>
    <w:p>
      <w:r>
        <w:rPr>
          <w:rFonts w:ascii="Arial" w:hAnsi="Arial"/>
          <w:b/>
          <w:i w:val="0"/>
          <w:sz w:val="22"/>
        </w:rPr>
        <w:t xml:space="preserve">Resolved 2026-05-11 (equities): </w:t>
      </w:r>
      <w:r>
        <w:rPr>
          <w:rFonts w:ascii="Arial" w:hAnsi="Arial"/>
          <w:b w:val="0"/>
          <w:i w:val="0"/>
          <w:sz w:val="22"/>
        </w:rPr>
        <w:t>R2 synced at git_sha 993527f. Equity content on the cloud dashboard is current. Options content still pending — there is no v1 study output to upload yet, so the options/ prefix in R2 remains empty until Chris launches the v1 production study.</w:t>
      </w:r>
    </w:p>
    <w:p>
      <w:r>
        <w:rPr>
          <w:rFonts w:ascii="Arial" w:hAnsi="Arial"/>
          <w:b w:val="0"/>
          <w:i w:val="0"/>
          <w:sz w:val="22"/>
        </w:rPr>
        <w:t>Historical context — original finding kept for the record:</w:t>
      </w:r>
    </w:p>
    <w:p>
      <w:r>
        <w:rPr>
          <w:rFonts w:ascii="Arial" w:hAnsi="Arial"/>
          <w:b w:val="0"/>
          <w:i w:val="0"/>
          <w:sz w:val="22"/>
        </w:rPr>
        <w:t>R2 bucket snapshot_manifest.json had been at git_sha=bfee6dc, generated_at=2026-05-09T17:20:38Z while main had advanced to f3c3800. Functionally, equity content was still correct because none of those 13 commits touched equity files — they were all options work. But options content had never been uploaded to R2 at all.</w:t>
      </w:r>
    </w:p>
    <w:p>
      <w:pPr>
        <w:pStyle w:val="Heading2"/>
      </w:pPr>
      <w:r>
        <w:t>Finding 3: Mike's venv missing truststore and pytest — RESOLVED</w:t>
      </w:r>
    </w:p>
    <w:p>
      <w:r>
        <w:rPr>
          <w:rFonts w:ascii="Arial" w:hAnsi="Arial"/>
          <w:b/>
          <w:i w:val="0"/>
          <w:sz w:val="22"/>
        </w:rPr>
        <w:t xml:space="preserve">Resolved 2026-05-11: </w:t>
      </w:r>
      <w:r>
        <w:rPr>
          <w:rFonts w:ascii="Arial" w:hAnsi="Arial"/>
          <w:b w:val="0"/>
          <w:i w:val="0"/>
          <w:sz w:val="22"/>
        </w:rPr>
        <w:t>Test collection bug fixed in commit c1346cd; venv dependencies installed via pip install -r requirements.txt. Full test suite now collects and runs.</w:t>
      </w:r>
    </w:p>
    <w:p>
      <w:r>
        <w:rPr>
          <w:rFonts w:ascii="Arial" w:hAnsi="Arial"/>
          <w:b w:val="0"/>
          <w:i w:val="0"/>
          <w:sz w:val="22"/>
        </w:rPr>
        <w:t>Historical context — original finding kept for the record:</w:t>
      </w:r>
    </w:p>
    <w:p>
      <w:r>
        <w:rPr>
          <w:rFonts w:ascii="Arial" w:hAnsi="Arial"/>
          <w:b w:val="0"/>
          <w:i w:val="0"/>
          <w:sz w:val="22"/>
        </w:rPr>
        <w:t>truststore==0.10.4 was in requirements.txt but not installed on Mike's machine. Two test failures, both same root cause:</w:t>
      </w:r>
    </w:p>
    <w:p>
      <w:pPr>
        <w:pStyle w:val="ListBullet"/>
      </w:pPr>
      <w:r>
        <w:rPr>
          <w:rFonts w:ascii="Arial" w:hAnsi="Arial"/>
          <w:sz w:val="22"/>
        </w:rPr>
        <w:t>test_ssl_setup.py: collection error (ModuleNotFoundError: No module named 'truststore')</w:t>
      </w:r>
    </w:p>
    <w:p>
      <w:pPr>
        <w:pStyle w:val="ListBullet"/>
      </w:pPr>
      <w:r>
        <w:rPr>
          <w:rFonts w:ascii="Arial" w:hAnsi="Arial"/>
          <w:sz w:val="22"/>
        </w:rPr>
        <w:t>test_optuna_runner.py::test_smoke_study_constants_match_locked_config: failed for the same reason transitively via src/options/_ssl.py</w:t>
      </w:r>
    </w:p>
    <w:p>
      <w:r>
        <w:rPr>
          <w:rFonts w:ascii="Arial" w:hAnsi="Arial"/>
          <w:b w:val="0"/>
          <w:i w:val="0"/>
          <w:sz w:val="22"/>
        </w:rPr>
        <w:t>After fixing: 374 tests pass, 1 skipped. Also flagged at the time: pytest itself wasn't in requirements.txt at all. Add it as a dev dep so future fresh venvs are self-bootstrapping.</w:t>
      </w:r>
    </w:p>
    <w:p>
      <w:pPr>
        <w:pStyle w:val="Heading2"/>
      </w:pPr>
      <w:r>
        <w:t>Finding 4: .env.example missing POLYGON_API_KEY — RESOLVED</w:t>
      </w:r>
    </w:p>
    <w:p>
      <w:r>
        <w:rPr>
          <w:rFonts w:ascii="Arial" w:hAnsi="Arial"/>
          <w:b/>
          <w:i w:val="0"/>
          <w:sz w:val="22"/>
        </w:rPr>
        <w:t xml:space="preserve">Resolved in this commit: </w:t>
      </w:r>
      <w:r>
        <w:rPr>
          <w:rFonts w:ascii="Arial" w:hAnsi="Arial"/>
          <w:b w:val="0"/>
          <w:i w:val="0"/>
          <w:sz w:val="22"/>
        </w:rPr>
        <w:t>.env.example now enumerates every environment variable the codebase reads at runtime (Tradier, Polygon, FRED, Finnhub, R2, and the optional PAPER_TRADER_* runtime knobs), grouped by purpose with signup links where relevant.</w:t>
      </w:r>
    </w:p>
    <w:p>
      <w:r>
        <w:rPr>
          <w:rFonts w:ascii="Arial" w:hAnsi="Arial"/>
          <w:b w:val="0"/>
          <w:i w:val="0"/>
          <w:sz w:val="22"/>
        </w:rPr>
        <w:t>Historical context — original finding kept for the record:</w:t>
      </w:r>
    </w:p>
    <w:p>
      <w:r>
        <w:rPr>
          <w:rFonts w:ascii="Arial" w:hAnsi="Arial"/>
          <w:b w:val="0"/>
          <w:i w:val="0"/>
          <w:sz w:val="22"/>
        </w:rPr>
        <w:t>src/options/polygon.py required POLYGON_API_KEY and even cited Massive.com as the signup destination. But .env.example only documented Tradier env vars. A new contributor (or Mike on a fresh checkout) would have hit a runtime error with no docs path forward.</w:t>
      </w:r>
    </w:p>
    <w:p>
      <w:pPr>
        <w:pStyle w:val="Heading2"/>
      </w:pPr>
      <w:r>
        <w:t>Finding 5: Repo hygiene cleanup completed (2026-05-11, commit 5c39cc5)</w:t>
      </w:r>
    </w:p>
    <w:p>
      <w:r>
        <w:rPr>
          <w:rFonts w:ascii="Arial" w:hAnsi="Arial"/>
          <w:b w:val="0"/>
          <w:i w:val="0"/>
          <w:sz w:val="22"/>
        </w:rPr>
        <w:t>This was the previous "phantom CODEOWNERS paths + 3 orphan snapshots + 27 scratch files" finding. Status as of cleanup commit 5c39cc5:</w:t>
      </w:r>
    </w:p>
    <w:p>
      <w:r>
        <w:rPr>
          <w:rFonts w:ascii="Arial" w:hAnsi="Arial"/>
          <w:b/>
          <w:i w:val="0"/>
          <w:sz w:val="22"/>
        </w:rPr>
        <w:t>Done:</w:t>
      </w:r>
    </w:p>
    <w:p>
      <w:pPr>
        <w:pStyle w:val="ListBullet"/>
      </w:pPr>
      <w:r>
        <w:rPr>
          <w:rFonts w:ascii="Arial" w:hAnsi="Arial"/>
          <w:sz w:val="22"/>
        </w:rPr>
        <w:t>35 ephemeral files deleted (27 debug scripts, 8 log files; all gitignored)</w:t>
      </w:r>
    </w:p>
    <w:p>
      <w:pPr>
        <w:pStyle w:val="ListBullet"/>
      </w:pPr>
      <w:r>
        <w:rPr>
          <w:rFonts w:ascii="Arial" w:hAnsi="Arial"/>
          <w:sz w:val="22"/>
        </w:rPr>
        <w:t>3 equity snapshots moved under models/snapshots/equities/ for consistency</w:t>
      </w:r>
    </w:p>
    <w:p>
      <w:pPr>
        <w:pStyle w:val="ListBullet"/>
      </w:pPr>
      <w:r>
        <w:rPr>
          <w:rFonts w:ascii="Arial" w:hAnsi="Arial"/>
          <w:sz w:val="22"/>
        </w:rPr>
        <w:t>3 tracked research scripts moved to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pPr>
        <w:pStyle w:val="ListBullet"/>
      </w:pPr>
      <w:r>
        <w:rPr>
          <w:rFonts w:ascii="Arial" w:hAnsi="Arial"/>
          <w:sz w:val="22"/>
        </w:rPr>
        <w:t>Phantom /src/equities/ rule removed from CODEOWNERS</w:t>
      </w:r>
    </w:p>
    <w:p>
      <w:pPr>
        <w:pStyle w:val="ListBullet"/>
      </w:pPr>
      <w:r>
        <w:rPr>
          <w:rFonts w:ascii="Arial" w:hAnsi="Arial"/>
          <w:sz w:val="22"/>
        </w:rPr>
        <w:t>Stale remote branch origin/chris/options-phase-1-shared-edge deleted</w:t>
      </w:r>
    </w:p>
    <w:p>
      <w:pPr>
        <w:pStyle w:val="ListBullet"/>
      </w:pPr>
      <w:r>
        <w:rPr>
          <w:rFonts w:ascii="Arial" w:hAnsi="Arial"/>
          <w:sz w:val="22"/>
        </w:rPr>
        <w:t>Pre-existing gitignore bug fixed: !docs/*.docx was only 1-depth; now !docs/**/*.docx covers all depths. This also auto-tracked docs/specs/Dashboard_Rebuild_Spec.docx which had been silently ignored for weeks.</w:t>
      </w:r>
    </w:p>
    <w:p>
      <w:r>
        <w:rPr>
          <w:rFonts w:ascii="Arial" w:hAnsi="Arial"/>
          <w:b/>
          <w:i w:val="0"/>
          <w:sz w:val="22"/>
        </w:rPr>
        <w:t xml:space="preserve">Net result: </w:t>
      </w:r>
      <w:r>
        <w:rPr>
          <w:rFonts w:ascii="Arial" w:hAnsi="Arial"/>
          <w:b w:val="0"/>
          <w:i w:val="0"/>
          <w:sz w:val="22"/>
        </w:rPr>
        <w:t>Repo root now has 5 files (requirements.txt, 3 SP1500 paused-state logs kept intentionally, v3_track2_runner.py which is referenced by dashboard). Clean state.</w:t>
      </w:r>
    </w:p>
    <w:p>
      <w:pPr>
        <w:pStyle w:val="Heading1"/>
      </w:pPr>
      <w:r>
        <w:t>2. Recommended Action Sequence</w:t>
      </w:r>
    </w:p>
    <w:p>
      <w:r>
        <w:rPr>
          <w:rFonts w:ascii="Arial" w:hAnsi="Arial"/>
          <w:b w:val="0"/>
          <w:i w:val="0"/>
          <w:sz w:val="22"/>
        </w:rPr>
        <w:t>Numbered in execution order. Items below are prioritized by what they unblock or risk if deferred.</w:t>
      </w:r>
    </w:p>
    <w:p>
      <w:pPr>
        <w:pStyle w:val="Heading2"/>
      </w:pPr>
      <w:r>
        <w:t>URGENT (do today)</w:t>
      </w:r>
    </w:p>
    <w:p>
      <w:r>
        <w:rPr>
          <w:rFonts w:ascii="Arial" w:hAnsi="Arial"/>
          <w:b w:val="0"/>
          <w:i w:val="0"/>
          <w:sz w:val="22"/>
        </w:rPr>
        <w:t>URGENT items resolved 2026-05-11. Next URGENT item will surface when Chris runs the v1 study and we need to verify the options dashboard renders correctly.</w:t>
      </w:r>
    </w:p>
    <w:p>
      <w:pPr>
        <w:pStyle w:val="Heading2"/>
      </w:pPr>
      <w:r>
        <w:t>HIGH (this week)</w:t>
      </w:r>
    </w:p>
    <w:p>
      <w:pPr>
        <w:pStyle w:val="ListBullet"/>
      </w:pPr>
      <w:r>
        <w:rPr>
          <w:rFonts w:ascii="Arial" w:hAnsi="Arial"/>
          <w:b/>
          <w:i w:val="0"/>
          <w:sz w:val="22"/>
        </w:rPr>
        <w:t>Sync .env between Mike and Chris's machines (one-time).</w:t>
      </w:r>
      <w:r>
        <w:rPr>
          <w:rFonts w:ascii="Arial" w:hAnsi="Arial"/>
          <w:b w:val="0"/>
          <w:i w:val="0"/>
          <w:sz w:val="22"/>
        </w:rPr>
        <w:t xml:space="preserve"> Out-of-band task. Both contributors need identical .env content so either workstation can run any task. .env.example in this commit enumerates the full key set — each contributor fills in their copy and shares it with the other via a secure channel.</w:t>
      </w:r>
    </w:p>
    <w:p>
      <w:pPr>
        <w:pStyle w:val="ListBullet"/>
      </w:pPr>
      <w:r>
        <w:rPr>
          <w:rFonts w:ascii="Arial" w:hAnsi="Arial"/>
          <w:b/>
          <w:i w:val="0"/>
          <w:sz w:val="22"/>
        </w:rPr>
        <w:t>Wait for Chris to run v1 study; then sync options R2.</w:t>
      </w:r>
      <w:r>
        <w:rPr>
          <w:rFonts w:ascii="Arial" w:hAnsi="Arial"/>
          <w:b w:val="0"/>
          <w:i w:val="0"/>
          <w:sz w:val="22"/>
        </w:rPr>
        <w:t xml:space="preserve"> Once Chris launches and the v1 study produces models/cache/options/ artifacts, run snapshot_for_cloud.py --asset-class options to push them to R2.</w:t>
      </w:r>
    </w:p>
    <w:p>
      <w:pPr>
        <w:pStyle w:val="ListBullet"/>
      </w:pPr>
      <w:r>
        <w:rPr>
          <w:rFonts w:ascii="Arial" w:hAnsi="Arial"/>
          <w:b/>
          <w:i w:val="0"/>
          <w:sz w:val="22"/>
        </w:rPr>
        <w:t>Verify options dashboard end-to-end after R2 sync.</w:t>
      </w:r>
      <w:r>
        <w:rPr>
          <w:rFonts w:ascii="Arial" w:hAnsi="Arial"/>
          <w:b w:val="0"/>
          <w:i w:val="0"/>
          <w:sz w:val="22"/>
        </w:rPr>
        <w:t xml:space="preserve"> Equity tabs already verified at git_sha 993527f. Options verification is pending Chris's v1 study + the subsequent options R2 sync.</w:t>
      </w:r>
    </w:p>
    <w:p>
      <w:pPr>
        <w:pStyle w:val="ListBullet"/>
      </w:pPr>
      <w:r>
        <w:rPr>
          <w:rFonts w:ascii="Arial" w:hAnsi="Arial"/>
          <w:b/>
          <w:i w:val="0"/>
          <w:sz w:val="22"/>
        </w:rPr>
        <w:t>Update Options_Extension_Decisions.md Status row.</w:t>
      </w:r>
      <w:r>
        <w:rPr>
          <w:rFonts w:ascii="Arial" w:hAnsi="Arial"/>
          <w:b w:val="0"/>
          <w:i w:val="0"/>
          <w:sz w:val="22"/>
        </w:rPr>
        <w:t xml:space="preserve"> Currently says "Sections 1, 2, 3 merged"; reality is 1-8 + 2.5. Stale memos get ignored.</w:t>
      </w:r>
    </w:p>
    <w:p>
      <w:pPr>
        <w:pStyle w:val="ListBullet"/>
      </w:pPr>
      <w:r>
        <w:rPr>
          <w:rFonts w:ascii="Arial" w:hAnsi="Arial"/>
          <w:b/>
          <w:i w:val="0"/>
          <w:sz w:val="22"/>
        </w:rPr>
        <w:t>Surface NVDA/META finding in dashboard exec summaries.</w:t>
      </w:r>
      <w:r>
        <w:rPr>
          <w:rFonts w:ascii="Arial" w:hAnsi="Arial"/>
          <w:b w:val="0"/>
          <w:i w:val="0"/>
          <w:sz w:val="22"/>
        </w:rPr>
        <w:t xml:space="preserve"> Commit f46bd05 already exists locally with the research artifacts. Performance tab exec summary should say: </w:t>
      </w:r>
      <w:r>
        <w:rPr>
          <w:rFonts w:ascii="Arial" w:hAnsi="Arial"/>
          <w:b w:val="0"/>
          <w:i/>
          <w:sz w:val="22"/>
        </w:rPr>
        <w:t>"Approximately 62% of this strategy's risk-adjusted edge comes from holdings in NVDA and META during the AI rally."</w:t>
      </w:r>
      <w:r>
        <w:rPr>
          <w:rFonts w:ascii="Arial" w:hAnsi="Arial"/>
          <w:b w:val="0"/>
          <w:i w:val="0"/>
          <w:sz w:val="22"/>
        </w:rPr>
        <w:t xml:space="preserve"> Switch headline alpha from arithmetic (+63.7pp/yr) to CAPM (+39.3pp/yr).</w:t>
      </w:r>
    </w:p>
    <w:p>
      <w:pPr>
        <w:pStyle w:val="ListBullet"/>
      </w:pPr>
      <w:r>
        <w:rPr>
          <w:rFonts w:ascii="Arial" w:hAnsi="Arial"/>
          <w:b/>
          <w:i w:val="0"/>
          <w:sz w:val="22"/>
        </w:rPr>
        <w:t>Decide on Polygon/Massive piggyback for stocks side.</w:t>
      </w:r>
      <w:r>
        <w:rPr>
          <w:rFonts w:ascii="Arial" w:hAnsi="Arial"/>
          <w:b w:val="0"/>
          <w:i w:val="0"/>
          <w:sz w:val="22"/>
        </w:rPr>
        <w:t xml:space="preserve"> See Section 3 for the analysis. This decision unblocks SP1500 and provides a long-term solution to yfinance unreliability.</w:t>
      </w:r>
    </w:p>
    <w:p>
      <w:pPr>
        <w:pStyle w:val="Heading2"/>
      </w:pPr>
      <w:r>
        <w:t>MEDIUM (when convenient)</w:t>
      </w:r>
    </w:p>
    <w:p>
      <w:pPr>
        <w:pStyle w:val="ListBullet"/>
      </w:pPr>
      <w:r>
        <w:rPr>
          <w:rFonts w:ascii="Arial" w:hAnsi="Arial"/>
          <w:b/>
          <w:i w:val="0"/>
          <w:sz w:val="22"/>
        </w:rPr>
        <w:t>Add a CI workflow (.github/workflows/test.yml).</w:t>
      </w:r>
      <w:r>
        <w:rPr>
          <w:rFonts w:ascii="Arial" w:hAnsi="Arial"/>
          <w:b w:val="0"/>
          <w:i w:val="0"/>
          <w:sz w:val="22"/>
        </w:rPr>
        <w:t xml:space="preserve"> Free with GitHub Actions; would have caught the truststore-vs-venv drift before it became a noticed bug.</w:t>
      </w:r>
    </w:p>
    <w:p>
      <w:pPr>
        <w:pStyle w:val="ListBullet"/>
      </w:pPr>
      <w:r>
        <w:rPr>
          <w:rFonts w:ascii="Arial" w:hAnsi="Arial"/>
          <w:b/>
          <w:i w:val="0"/>
          <w:sz w:val="22"/>
        </w:rPr>
        <w:t>Add pytest to requirements.txt</w:t>
      </w:r>
      <w:r>
        <w:rPr>
          <w:rFonts w:ascii="Arial" w:hAnsi="Arial"/>
          <w:b w:val="0"/>
          <w:i w:val="0"/>
          <w:sz w:val="22"/>
        </w:rPr>
        <w:t xml:space="preserve"> with a dev-only comment.</w:t>
      </w:r>
    </w:p>
    <w:p>
      <w:pPr>
        <w:pStyle w:val="Heading2"/>
      </w:pPr>
      <w:r>
        <w:t>LOW (eventually)</w:t>
      </w:r>
    </w:p>
    <w:p>
      <w:pPr>
        <w:pStyle w:val="ListBullet"/>
      </w:pPr>
      <w:r>
        <w:rPr>
          <w:rFonts w:ascii="Arial" w:hAnsi="Arial"/>
          <w:b/>
          <w:i w:val="0"/>
          <w:sz w:val="22"/>
        </w:rPr>
        <w:t>Resolve SP1500 stash@{0}.</w:t>
      </w:r>
      <w:r>
        <w:rPr>
          <w:rFonts w:ascii="Arial" w:hAnsi="Arial"/>
          <w:b w:val="0"/>
          <w:i w:val="0"/>
          <w:sz w:val="22"/>
        </w:rPr>
        <w:t xml:space="preserve"> Either pop and commit (if Finnhub clarity has arrived or you pivot to Polygon) or convert to a named branch.</w:t>
      </w:r>
    </w:p>
    <w:p>
      <w:pPr>
        <w:pStyle w:val="ListBullet"/>
      </w:pPr>
      <w:r>
        <w:rPr>
          <w:rFonts w:ascii="Arial" w:hAnsi="Arial"/>
          <w:b/>
          <w:i w:val="0"/>
          <w:sz w:val="22"/>
        </w:rPr>
        <w:t>Address optuna_runner.py:275 thread-safety race TODO.</w:t>
      </w:r>
      <w:r>
        <w:rPr>
          <w:rFonts w:ascii="Arial" w:hAnsi="Arial"/>
          <w:b w:val="0"/>
          <w:i w:val="0"/>
          <w:sz w:val="22"/>
        </w:rPr>
        <w:t xml:space="preserve"> Race is masked by workload heterogeneity but real.</w:t>
      </w:r>
    </w:p>
    <w:p>
      <w:pPr>
        <w:pStyle w:val="Heading1"/>
      </w:pPr>
      <w:r>
        <w:t>3. Massive (Polygon) Piggyback Analysis</w:t>
      </w:r>
    </w:p>
    <w:p>
      <w:pPr/>
      <w:r>
        <w:t>OBSOLETE (2026-05-11): This analysis is superseded. Chris's Polygon subscription is options-only with a 2-year history limit and cannot be repurposed for stocks-side equity data. Mike instead purchased Finnhub Basic ($49.99/mo, 150 calls/min for candle, 60 calls/min for /stock/metric, 10y daily OHLC, survivorship-bias-mitigated). The Larger Universe v1 snapshot at models/snapshots/equities/larger_universe_v1_20260511/ is the result. See docs/diagnostics/larger_universe_v1_capabilities.md and docs/diagnostics/larger_universe_v1_snapshot_summary.md for details. The remainder of this section is preserved as historical record of the decision context.</w:t>
      </w:r>
    </w:p>
    <w:p>
      <w:r>
        <w:rPr>
          <w:rFonts w:ascii="Arial" w:hAnsi="Arial"/>
          <w:b w:val="0"/>
          <w:i w:val="0"/>
          <w:sz w:val="22"/>
        </w:rPr>
        <w:t>This is the strategic question worth thinking about — whether to piggyback on Chris's Polygon subscription (rebranded as Massive since November 2025) for stocks-side data. The audit confirms Chris is already integrated with Polygon for the options work.</w:t>
      </w:r>
    </w:p>
    <w:p>
      <w:pPr>
        <w:pStyle w:val="Heading2"/>
      </w:pPr>
      <w:r>
        <w:t>What Chris's setup already does</w:t>
      </w:r>
    </w:p>
    <w:p>
      <w:pPr>
        <w:pStyle w:val="ListBullet"/>
      </w:pPr>
      <w:r>
        <w:rPr>
          <w:rFonts w:ascii="Arial" w:hAnsi="Arial"/>
          <w:b/>
          <w:i w:val="0"/>
          <w:sz w:val="22"/>
        </w:rPr>
        <w:t>Authenticated client.</w:t>
      </w:r>
      <w:r>
        <w:rPr>
          <w:rFonts w:ascii="Arial" w:hAnsi="Arial"/>
          <w:b w:val="0"/>
          <w:i w:val="0"/>
          <w:sz w:val="22"/>
        </w:rPr>
        <w:t xml:space="preserve"> src/options/polygon.py is wrapped with proper rate limiting, retry-after handling, atomic cache writes.</w:t>
      </w:r>
    </w:p>
    <w:p>
      <w:pPr>
        <w:pStyle w:val="ListBullet"/>
      </w:pPr>
      <w:r>
        <w:rPr>
          <w:rFonts w:ascii="Arial" w:hAnsi="Arial"/>
          <w:b/>
          <w:i w:val="0"/>
          <w:sz w:val="22"/>
        </w:rPr>
        <w:t>Rate limiter pattern.</w:t>
      </w:r>
      <w:r>
        <w:rPr>
          <w:rFonts w:ascii="Arial" w:hAnsi="Arial"/>
          <w:b w:val="0"/>
          <w:i w:val="0"/>
          <w:sz w:val="22"/>
        </w:rPr>
        <w:t xml:space="preserve"> Separate RateLimiter instance per data source. The PR #15 refactor makes 16-thread concurrency safe. You could lift this pattern verbatim for equity work.</w:t>
      </w:r>
    </w:p>
    <w:p>
      <w:pPr>
        <w:pStyle w:val="ListBullet"/>
      </w:pPr>
      <w:r>
        <w:rPr>
          <w:rFonts w:ascii="Arial" w:hAnsi="Arial"/>
          <w:b/>
          <w:i w:val="0"/>
          <w:sz w:val="22"/>
        </w:rPr>
        <w:t>Cache layer.</w:t>
      </w:r>
      <w:r>
        <w:rPr>
          <w:rFonts w:ascii="Arial" w:hAnsi="Arial"/>
          <w:b w:val="0"/>
          <w:i w:val="0"/>
          <w:sz w:val="22"/>
        </w:rPr>
        <w:t xml:space="preserve"> Polygon responses cache to models/cache/options/polygon_cache/. Same pattern would apply to equity prices.</w:t>
      </w:r>
    </w:p>
    <w:p>
      <w:pPr>
        <w:pStyle w:val="Heading2"/>
      </w:pPr>
      <w:r>
        <w:t>What Polygon offers for stocks (approximate, may have changed post-rebrand)</w:t>
      </w:r>
    </w:p>
    <w:tbl>
      <w:tblPr>
        <w:tblW w:type="auto" w:w="0"/>
        <w:tblLayout w:type="fixed"/>
        <w:tblLook w:firstColumn="1" w:firstRow="1" w:lastColumn="0" w:lastRow="0" w:noHBand="0" w:noVBand="1" w:val="04A0"/>
      </w:tblPr>
      <w:tblGrid>
        <w:gridCol w:w="1584"/>
        <w:gridCol w:w="1152"/>
        <w:gridCol w:w="2592"/>
        <w:gridCol w:w="1584"/>
        <w:gridCol w:w="2448"/>
      </w:tblGrid>
      <w:tr>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Tier</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Price/mo</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Historical depth</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Rate limit</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Real-time?</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Free (Basic)</w:t>
            </w:r>
          </w:p>
        </w:tc>
        <w:tc>
          <w:tcPr>
            <w:tcW w:type="dxa" w:w="1872"/>
            <w:tcBorders>
              <w:top w:val="single" w:sz="4" w:color="808080"/>
              <w:left w:val="single" w:sz="4" w:color="808080"/>
              <w:bottom w:val="single" w:sz="4" w:color="808080"/>
              <w:right w:val="single" w:sz="4" w:color="808080"/>
            </w:tcBorders>
          </w:tcPr>
          <w:p>
            <w:r/>
            <w:r>
              <w:rPr>
                <w:rFonts w:ascii="Arial" w:hAnsi="Arial"/>
                <w:sz w:val="18"/>
              </w:rPr>
              <w:t>$0</w:t>
            </w:r>
          </w:p>
        </w:tc>
        <w:tc>
          <w:tcPr>
            <w:tcW w:type="dxa" w:w="1872"/>
            <w:tcBorders>
              <w:top w:val="single" w:sz="4" w:color="808080"/>
              <w:left w:val="single" w:sz="4" w:color="808080"/>
              <w:bottom w:val="single" w:sz="4" w:color="808080"/>
              <w:right w:val="single" w:sz="4" w:color="808080"/>
            </w:tcBorders>
          </w:tcPr>
          <w:p>
            <w:r/>
            <w:r>
              <w:rPr>
                <w:rFonts w:ascii="Arial" w:hAnsi="Arial"/>
                <w:sz w:val="18"/>
              </w:rPr>
              <w:t>2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calls/min</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Starter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~$29</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Developer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~$79</w:t>
            </w:r>
          </w:p>
        </w:tc>
        <w:tc>
          <w:tcPr>
            <w:tcW w:type="dxa" w:w="1872"/>
            <w:tcBorders>
              <w:top w:val="single" w:sz="4" w:color="808080"/>
              <w:left w:val="single" w:sz="4" w:color="808080"/>
              <w:bottom w:val="single" w:sz="4" w:color="808080"/>
              <w:right w:val="single" w:sz="4" w:color="808080"/>
            </w:tcBorders>
          </w:tcPr>
          <w:p>
            <w:r/>
            <w:r>
              <w:rPr>
                <w:rFonts w:ascii="Arial" w:hAnsi="Arial"/>
                <w:sz w:val="18"/>
              </w:rPr>
              <w:t>10+ years EOD + intraday</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included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Advanced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~$199</w:t>
            </w:r>
          </w:p>
        </w:tc>
        <w:tc>
          <w:tcPr>
            <w:tcW w:type="dxa" w:w="1872"/>
            <w:tcBorders>
              <w:top w:val="single" w:sz="4" w:color="808080"/>
              <w:left w:val="single" w:sz="4" w:color="808080"/>
              <w:bottom w:val="single" w:sz="4" w:color="808080"/>
              <w:right w:val="single" w:sz="4" w:color="808080"/>
            </w:tcBorders>
          </w:tcPr>
          <w:p>
            <w:r/>
            <w:r>
              <w:rPr>
                <w:rFonts w:ascii="Arial" w:hAnsi="Arial"/>
                <w:sz w:val="18"/>
              </w:rPr>
              <w:t>20+ years + tick data</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 WebSocket</w:t>
            </w:r>
          </w:p>
        </w:tc>
      </w:tr>
    </w:tbl>
    <w:p>
      <w:r>
        <w:rPr>
          <w:rFonts w:ascii="Arial" w:hAnsi="Arial"/>
          <w:b/>
          <w:i w:val="0"/>
          <w:sz w:val="22"/>
        </w:rPr>
        <w:t xml:space="preserve">Caveat: </w:t>
      </w:r>
      <w:r>
        <w:rPr>
          <w:rFonts w:ascii="Arial" w:hAnsi="Arial"/>
          <w:b w:val="0"/>
          <w:i/>
          <w:sz w:val="22"/>
        </w:rPr>
        <w:t>Pricing above is from public sources and may have changed since the Massive rebrand. Chris should confirm what tier he's actually on before any piggyback decision.</w:t>
      </w:r>
    </w:p>
    <w:p>
      <w:pPr>
        <w:pStyle w:val="Heading2"/>
      </w:pPr>
      <w:r>
        <w:t>What Polygon would solve</w:t>
      </w:r>
    </w:p>
    <w:p>
      <w:pPr>
        <w:pStyle w:val="ListBullet"/>
      </w:pPr>
      <w:r>
        <w:rPr>
          <w:rFonts w:ascii="Arial" w:hAnsi="Arial"/>
          <w:b/>
          <w:i w:val="0"/>
          <w:sz w:val="22"/>
        </w:rPr>
        <w:t>yfinance silent-empty problem.</w:t>
      </w:r>
      <w:r>
        <w:rPr>
          <w:rFonts w:ascii="Arial" w:hAnsi="Arial"/>
          <w:b w:val="0"/>
          <w:i w:val="0"/>
          <w:sz w:val="22"/>
        </w:rPr>
        <w:t xml:space="preserve"> yfinance returns empty lists when throttled; Polygon returns proper errors with retry-after headers. The retry/sanity-gate code currently stashed for SP1500 becomes unnecessary because the failure mode it protects against doesn't exist on Polygon.</w:t>
      </w:r>
    </w:p>
    <w:p>
      <w:pPr>
        <w:pStyle w:val="ListBullet"/>
      </w:pPr>
      <w:r>
        <w:rPr>
          <w:rFonts w:ascii="Arial" w:hAnsi="Arial"/>
          <w:b/>
          <w:i w:val="0"/>
          <w:sz w:val="22"/>
        </w:rPr>
        <w:t>SP1500 universe expansion.</w:t>
      </w:r>
      <w:r>
        <w:rPr>
          <w:rFonts w:ascii="Arial" w:hAnsi="Arial"/>
          <w:b w:val="0"/>
          <w:i w:val="0"/>
          <w:sz w:val="22"/>
        </w:rPr>
        <w:t xml:space="preserve"> The pause reason was yfinance earnings dates returning 16% non-empty. Polygon's stocks plans include earnings dates as part of the API, not gated behind a separate product like Finnhub.</w:t>
      </w:r>
    </w:p>
    <w:p>
      <w:pPr>
        <w:pStyle w:val="ListBullet"/>
      </w:pPr>
      <w:r>
        <w:rPr>
          <w:rFonts w:ascii="Arial" w:hAnsi="Arial"/>
          <w:b/>
          <w:i w:val="0"/>
          <w:sz w:val="22"/>
        </w:rPr>
        <w:t>Historical data depth.</w:t>
      </w:r>
      <w:r>
        <w:rPr>
          <w:rFonts w:ascii="Arial" w:hAnsi="Arial"/>
          <w:b w:val="0"/>
          <w:i w:val="0"/>
          <w:sz w:val="22"/>
        </w:rPr>
        <w:t xml:space="preserve"> yfinance has 20+ years but data quality degrades for older periods, restated tickers get re-mapped silently, splits/dividends sometimes wrong. Polygon's historical data is exchange-sourced and stable.</w:t>
      </w:r>
    </w:p>
    <w:p>
      <w:pPr>
        <w:pStyle w:val="ListBullet"/>
      </w:pPr>
      <w:r>
        <w:rPr>
          <w:rFonts w:ascii="Arial" w:hAnsi="Arial"/>
          <w:b/>
          <w:i w:val="0"/>
          <w:sz w:val="22"/>
        </w:rPr>
        <w:t>Bulk download for cold-start runs.</w:t>
      </w:r>
      <w:r>
        <w:rPr>
          <w:rFonts w:ascii="Arial" w:hAnsi="Arial"/>
          <w:b w:val="0"/>
          <w:i w:val="0"/>
          <w:sz w:val="22"/>
        </w:rPr>
        <w:t xml:space="preserve"> Polygon offers daily flat-file S3 dumps. For a full-universe historical fetch, this is dramatically faster than per-ticker API calls.</w:t>
      </w:r>
    </w:p>
    <w:p>
      <w:pPr>
        <w:pStyle w:val="Heading2"/>
      </w:pPr>
      <w:r>
        <w:t>Three piggyback paths, ranked</w:t>
      </w:r>
    </w:p>
    <w:p>
      <w:r>
        <w:rPr>
          <w:rFonts w:ascii="Arial" w:hAnsi="Arial"/>
          <w:b/>
          <w:i w:val="0"/>
          <w:sz w:val="22"/>
        </w:rPr>
        <w:t xml:space="preserve">Option A: </w:t>
      </w:r>
      <w:r>
        <w:rPr>
          <w:rFonts w:ascii="Arial" w:hAnsi="Arial"/>
          <w:b/>
          <w:i w:val="0"/>
          <w:sz w:val="22"/>
        </w:rPr>
        <w:t>Use Chris's existing key (single subscription, shared).</w:t>
      </w:r>
      <w:r>
        <w:rPr>
          <w:rFonts w:ascii="Arial" w:hAnsi="Arial"/>
          <w:b w:val="0"/>
          <w:i w:val="0"/>
          <w:sz w:val="22"/>
        </w:rPr>
        <w:t xml:space="preserve"> Mike uses Chris's POLYGON_API_KEY in Mike's .env. Both contributors hit the same Polygon account.</w:t>
      </w:r>
    </w:p>
    <w:p>
      <w:pPr>
        <w:pStyle w:val="ListBullet"/>
      </w:pPr>
      <w:r>
        <w:rPr>
          <w:rFonts w:ascii="Arial" w:hAnsi="Arial"/>
          <w:sz w:val="22"/>
        </w:rPr>
        <w:t>Pros: No additional cost. Same data layer for both asset classes.</w:t>
      </w:r>
    </w:p>
    <w:p>
      <w:pPr>
        <w:pStyle w:val="ListBullet"/>
      </w:pPr>
      <w:r>
        <w:rPr>
          <w:rFonts w:ascii="Arial" w:hAnsi="Arial"/>
          <w:sz w:val="22"/>
        </w:rPr>
        <w:t>Cons: Mike's heavy stock fetches eat into Chris's options rate budget. If Mike runs an SP1500 fetch while Chris is running an options study, they throttle each other.</w:t>
      </w:r>
    </w:p>
    <w:p>
      <w:pPr>
        <w:pStyle w:val="ListBullet"/>
      </w:pPr>
      <w:r>
        <w:rPr>
          <w:rFonts w:ascii="Arial" w:hAnsi="Arial"/>
          <w:sz w:val="22"/>
        </w:rPr>
        <w:t>When this works: if Mike's equity work is mostly background research with predictable, slow-paced fetches.</w:t>
      </w:r>
    </w:p>
    <w:p>
      <w:r>
        <w:rPr>
          <w:rFonts w:ascii="Arial" w:hAnsi="Arial"/>
          <w:b/>
          <w:i w:val="0"/>
          <w:sz w:val="22"/>
        </w:rPr>
        <w:t xml:space="preserve">Option B: </w:t>
      </w:r>
      <w:r>
        <w:rPr>
          <w:rFonts w:ascii="Arial" w:hAnsi="Arial"/>
          <w:b/>
          <w:i w:val="0"/>
          <w:sz w:val="22"/>
        </w:rPr>
        <w:t>Mike subscribes to his own Polygon tier.</w:t>
      </w:r>
      <w:r>
        <w:rPr>
          <w:rFonts w:ascii="Arial" w:hAnsi="Arial"/>
          <w:b w:val="0"/>
          <w:i w:val="0"/>
          <w:sz w:val="22"/>
        </w:rPr>
        <w:t xml:space="preserve"> Two separate accounts. Each contributor pays their own subscription.</w:t>
      </w:r>
    </w:p>
    <w:p>
      <w:pPr>
        <w:pStyle w:val="ListBullet"/>
      </w:pPr>
      <w:r>
        <w:rPr>
          <w:rFonts w:ascii="Arial" w:hAnsi="Arial"/>
          <w:sz w:val="22"/>
        </w:rPr>
        <w:t>Pros: Cleanest isolation. Predictable performance for both.</w:t>
      </w:r>
    </w:p>
    <w:p>
      <w:pPr>
        <w:pStyle w:val="ListBullet"/>
      </w:pPr>
      <w:r>
        <w:rPr>
          <w:rFonts w:ascii="Arial" w:hAnsi="Arial"/>
          <w:sz w:val="22"/>
        </w:rPr>
        <w:t>Cons: ~$29-79/mo for Mike's equity work depending on tier. Doubles the project's data costs.</w:t>
      </w:r>
    </w:p>
    <w:p>
      <w:pPr>
        <w:pStyle w:val="ListBullet"/>
      </w:pPr>
      <w:r>
        <w:rPr>
          <w:rFonts w:ascii="Arial" w:hAnsi="Arial"/>
          <w:sz w:val="22"/>
        </w:rPr>
        <w:t>When this works: if equity work is going to become serious / persistent.</w:t>
      </w:r>
    </w:p>
    <w:p>
      <w:r>
        <w:rPr>
          <w:rFonts w:ascii="Arial" w:hAnsi="Arial"/>
          <w:b/>
          <w:i w:val="0"/>
          <w:sz w:val="22"/>
        </w:rPr>
        <w:t xml:space="preserve">Option C: </w:t>
      </w:r>
      <w:r>
        <w:rPr>
          <w:rFonts w:ascii="Arial" w:hAnsi="Arial"/>
          <w:b/>
          <w:i w:val="0"/>
          <w:sz w:val="22"/>
        </w:rPr>
        <w:t>Hybrid — shared key for now, separate later.</w:t>
      </w:r>
      <w:r>
        <w:rPr>
          <w:rFonts w:ascii="Arial" w:hAnsi="Arial"/>
          <w:b w:val="0"/>
          <w:i w:val="0"/>
          <w:sz w:val="22"/>
        </w:rPr>
        <w:t xml:space="preserve"> Start with Option A. If quota fights become a problem, upgrade to Option B.</w:t>
      </w:r>
    </w:p>
    <w:p>
      <w:pPr>
        <w:pStyle w:val="ListBullet"/>
      </w:pPr>
      <w:r>
        <w:rPr>
          <w:rFonts w:ascii="Arial" w:hAnsi="Arial"/>
          <w:sz w:val="22"/>
        </w:rPr>
        <w:t>Pros: Cheapest start. Real data informs the upgrade decision.</w:t>
      </w:r>
    </w:p>
    <w:p>
      <w:pPr>
        <w:pStyle w:val="ListBullet"/>
      </w:pPr>
      <w:r>
        <w:rPr>
          <w:rFonts w:ascii="Arial" w:hAnsi="Arial"/>
          <w:sz w:val="22"/>
        </w:rPr>
        <w:t>Cons: Need an early-warning mechanism (e.g., log all rate-limit hits) so the upgrade trigger doesn't get missed.</w:t>
      </w:r>
    </w:p>
    <w:p>
      <w:pPr>
        <w:pStyle w:val="ListBullet"/>
      </w:pPr>
      <w:r>
        <w:rPr>
          <w:rFonts w:ascii="Arial" w:hAnsi="Arial"/>
          <w:sz w:val="22"/>
        </w:rPr>
        <w:t>When this works: most likely the right answer for the current phase.</w:t>
      </w:r>
    </w:p>
    <w:p>
      <w:pPr>
        <w:pStyle w:val="Heading2"/>
      </w:pPr>
      <w:r>
        <w:t>Implementation cost</w:t>
      </w:r>
    </w:p>
    <w:p>
      <w:r>
        <w:rPr>
          <w:rFonts w:ascii="Arial" w:hAnsi="Arial"/>
          <w:b w:val="0"/>
          <w:i w:val="0"/>
          <w:sz w:val="22"/>
        </w:rPr>
        <w:t>To pilot the piggyback approach for SP1500:</w:t>
      </w:r>
    </w:p>
    <w:p>
      <w:pPr>
        <w:pStyle w:val="ListBullet"/>
      </w:pPr>
      <w:r>
        <w:rPr>
          <w:rFonts w:ascii="Arial" w:hAnsi="Arial"/>
          <w:sz w:val="22"/>
        </w:rPr>
        <w:t>Write src/polygon_equities.py mirroring src/options/polygon.py structure — ~2-3 hours of Claude Code work</w:t>
      </w:r>
    </w:p>
    <w:p>
      <w:pPr>
        <w:pStyle w:val="ListBullet"/>
      </w:pPr>
      <w:r>
        <w:rPr>
          <w:rFonts w:ascii="Arial" w:hAnsi="Arial"/>
          <w:sz w:val="22"/>
        </w:rPr>
        <w:t>Pop the SP1500 stash; rewrite earnings_dates fetch to use Polygon instead of yfinance — ~1-2 hours</w:t>
      </w:r>
    </w:p>
    <w:p>
      <w:pPr>
        <w:pStyle w:val="ListBullet"/>
      </w:pPr>
      <w:r>
        <w:rPr>
          <w:rFonts w:ascii="Arial" w:hAnsi="Arial"/>
          <w:sz w:val="22"/>
        </w:rPr>
        <w:t>Run the SP1500 fetch against Polygon — if Polygon's free tier is enough for a one-time bulk download, this is $0; otherwise $29-79</w:t>
      </w:r>
    </w:p>
    <w:p>
      <w:pPr>
        <w:pStyle w:val="ListBullet"/>
      </w:pPr>
      <w:r>
        <w:rPr>
          <w:rFonts w:ascii="Arial" w:hAnsi="Arial"/>
          <w:sz w:val="22"/>
        </w:rPr>
        <w:t>Verify earnings data quality matches or beats what we'd get from yfinance</w:t>
      </w:r>
    </w:p>
    <w:p>
      <w:r>
        <w:rPr>
          <w:rFonts w:ascii="Arial" w:hAnsi="Arial"/>
          <w:b w:val="0"/>
          <w:i w:val="0"/>
          <w:sz w:val="22"/>
        </w:rPr>
        <w:t>If the smoke test (~30 min) shows Polygon delivers usable earnings data, you've unblocked SP1500 expansion and removed the long-term yfinance reliability risk.</w:t>
      </w:r>
    </w:p>
    <w:p>
      <w:pPr>
        <w:pStyle w:val="Heading2"/>
      </w:pPr>
      <w:r>
        <w:t>Recommendation</w:t>
      </w:r>
    </w:p>
    <w:p>
      <w:r>
        <w:rPr>
          <w:rFonts w:ascii="Arial" w:hAnsi="Arial"/>
          <w:b/>
          <w:i w:val="0"/>
          <w:sz w:val="22"/>
        </w:rPr>
        <w:t>Take Option C.</w:t>
      </w:r>
      <w:r>
        <w:rPr>
          <w:rFonts w:ascii="Arial" w:hAnsi="Arial"/>
          <w:b w:val="0"/>
          <w:i w:val="0"/>
          <w:sz w:val="22"/>
        </w:rPr>
        <w:t xml:space="preserve"> Ask Chris what tier he's on and whether he's OK with you using his key. If yes, pilot the SP1500 fetch via Polygon as a single test case — that gives you concrete data on whether piggybacking is sustainable. If quota fights happen, switch to Option B. The total cost of being wrong is ~$50-100/mo — within budget for a research project this far along.</w:t>
      </w:r>
    </w:p>
    <w:p>
      <w:pPr>
        <w:pStyle w:val="Heading1"/>
      </w:pPr>
      <w:r>
        <w:t>4. What This Audit Could Not Verify</w:t>
      </w:r>
    </w:p>
    <w:p>
      <w:r>
        <w:rPr>
          <w:rFonts w:ascii="Arial" w:hAnsi="Arial"/>
          <w:b w:val="0"/>
          <w:i w:val="0"/>
          <w:sz w:val="22"/>
        </w:rPr>
        <w:t>Honesty section. These are things Claude Code flagged as unverifiable:</w:t>
      </w:r>
    </w:p>
    <w:p>
      <w:pPr>
        <w:pStyle w:val="ListBullet"/>
      </w:pPr>
      <w:r>
        <w:rPr>
          <w:rFonts w:ascii="Arial" w:hAnsi="Arial"/>
          <w:sz w:val="22"/>
        </w:rPr>
        <w:t>Whether the deployed Streamlit Cloud app currently renders without error in a browser. Manifest read suggests equity content is correct, but visual confirmation needed.</w:t>
      </w:r>
    </w:p>
    <w:p>
      <w:pPr>
        <w:pStyle w:val="ListBullet"/>
      </w:pPr>
      <w:r>
        <w:rPr>
          <w:rFonts w:ascii="Arial" w:hAnsi="Arial"/>
          <w:sz w:val="22"/>
        </w:rPr>
        <w:t>Whether models/cache/optuna_studies.db end-to-end-loads. File is 16 MB and looks intact, but the read path wasn't exercised.</w:t>
      </w:r>
    </w:p>
    <w:p>
      <w:pPr>
        <w:pStyle w:val="ListBullet"/>
      </w:pPr>
      <w:r>
        <w:rPr>
          <w:rFonts w:ascii="Arial" w:hAnsi="Arial"/>
          <w:sz w:val="22"/>
        </w:rPr>
        <w:t>Equity unit-test coverage. The 374 passing tests are mostly options-side. Equity correctness is asserted via reproducibility against the locked snapshot, not unit tests.</w:t>
      </w:r>
    </w:p>
    <w:p>
      <w:pPr>
        <w:pStyle w:val="ListBullet"/>
      </w:pPr>
      <w:r>
        <w:rPr>
          <w:rFonts w:ascii="Arial" w:hAnsi="Arial"/>
          <w:sz w:val="22"/>
        </w:rPr>
        <w:t>Whether Polygon API key in Mike's .env is valid. Audit didn't call the live endpoint.</w:t>
      </w:r>
    </w:p>
    <w:p>
      <w:pPr>
        <w:pStyle w:val="ListBullet"/>
      </w:pPr>
      <w:r>
        <w:rPr>
          <w:rFonts w:ascii="Arial" w:hAnsi="Arial"/>
          <w:sz w:val="22"/>
        </w:rPr>
        <w:t>Whether Chris has uncommitted local crypto work. Only main + chris/* remote branches were inspected.</w:t>
      </w:r>
    </w:p>
    <w:p>
      <w:pPr>
        <w:pStyle w:val="Heading1"/>
      </w:pPr>
      <w:r>
        <w:t>5. Strategic Read</w:t>
      </w:r>
    </w:p>
    <w:p>
      <w:r>
        <w:rPr>
          <w:rFonts w:ascii="Arial" w:hAnsi="Arial"/>
          <w:b w:val="0"/>
          <w:i w:val="0"/>
          <w:sz w:val="22"/>
        </w:rPr>
        <w:t>Beyond the immediate action items, four things about where the project is now:</w:t>
      </w:r>
    </w:p>
    <w:p>
      <w:pPr>
        <w:pStyle w:val="Heading2"/>
      </w:pPr>
      <w:r>
        <w:t>The architecture is paying off</w:t>
      </w:r>
    </w:p>
    <w:p>
      <w:r>
        <w:rPr>
          <w:rFonts w:ascii="Arial" w:hAnsi="Arial"/>
          <w:b w:val="0"/>
          <w:i w:val="0"/>
          <w:sz w:val="22"/>
        </w:rPr>
        <w:t>Three different research domains (equity, crypto, options) coexist in one codebase without conflict. The Phase 1 asset-class refactor is doing exactly what it was designed to do. Chris built an entire options module (21 files, 18 test files, 374 tests) without touching Mike's equity code, and Mike's equity work continued unaffected. That's the dividend on the upfront infrastructure investment.</w:t>
      </w:r>
    </w:p>
    <w:p>
      <w:pPr>
        <w:pStyle w:val="Heading2"/>
      </w:pPr>
      <w:r>
        <w:t>The bottleneck is coordination, not code</w:t>
      </w:r>
    </w:p>
    <w:p>
      <w:r>
        <w:rPr>
          <w:rFonts w:ascii="Arial" w:hAnsi="Arial"/>
          <w:b w:val="0"/>
          <w:i w:val="0"/>
          <w:sz w:val="22"/>
        </w:rPr>
        <w:t>Everything that remains on the HIGH action list is coordination work — launch a queued study, sync R2 once artifacts exist, share .env between machines, update stale memos. No deep technical work is currently blocked. That's a much better state than "we have a working strategy but the code is broken," which is where many quant projects get stuck.</w:t>
      </w:r>
    </w:p>
    <w:p>
      <w:pPr>
        <w:pStyle w:val="Heading2"/>
      </w:pPr>
      <w:r>
        <w:t>The next strategic decision is data infrastructure</w:t>
      </w:r>
    </w:p>
    <w:p>
      <w:r>
        <w:rPr>
          <w:rFonts w:ascii="Arial" w:hAnsi="Arial"/>
          <w:b w:val="0"/>
          <w:i w:val="0"/>
          <w:sz w:val="22"/>
        </w:rPr>
        <w:t>The Polygon piggyback question is the most consequential decision pending. It affects:</w:t>
      </w:r>
    </w:p>
    <w:p>
      <w:pPr>
        <w:pStyle w:val="ListBullet"/>
      </w:pPr>
      <w:r>
        <w:rPr>
          <w:rFonts w:ascii="Arial" w:hAnsi="Arial"/>
          <w:sz w:val="22"/>
        </w:rPr>
        <w:t>SP1500 expansion (currently paused on yfinance reliability)</w:t>
      </w:r>
    </w:p>
    <w:p>
      <w:pPr>
        <w:pStyle w:val="ListBullet"/>
      </w:pPr>
      <w:r>
        <w:rPr>
          <w:rFonts w:ascii="Arial" w:hAnsi="Arial"/>
          <w:sz w:val="22"/>
        </w:rPr>
        <w:t>Future equity walk-forward validation</w:t>
      </w:r>
    </w:p>
    <w:p>
      <w:pPr>
        <w:pStyle w:val="ListBullet"/>
      </w:pPr>
      <w:r>
        <w:rPr>
          <w:rFonts w:ascii="Arial" w:hAnsi="Arial"/>
          <w:sz w:val="22"/>
        </w:rPr>
        <w:t>Cross-asset research consistency (using the same data vendor for both)</w:t>
      </w:r>
    </w:p>
    <w:p>
      <w:pPr>
        <w:pStyle w:val="ListBullet"/>
      </w:pPr>
      <w:r>
        <w:rPr>
          <w:rFonts w:ascii="Arial" w:hAnsi="Arial"/>
          <w:sz w:val="22"/>
        </w:rPr>
        <w:t>Eventually, live trading data quality</w:t>
      </w:r>
    </w:p>
    <w:p>
      <w:r>
        <w:rPr>
          <w:rFonts w:ascii="Arial" w:hAnsi="Arial"/>
          <w:b w:val="0"/>
          <w:i w:val="0"/>
          <w:sz w:val="22"/>
        </w:rPr>
        <w:t>If you decide to go Polygon for stocks: that's a $0-79/mo decision that materially improves the project's long-term ceiling. If you decide to stay yfinance: SP1500 expansion needs a different solution and you're permanently exposed to yfinance's flakiness at scale.</w:t>
      </w:r>
    </w:p>
    <w:p>
      <w:pPr>
        <w:pStyle w:val="Heading2"/>
      </w:pPr>
      <w:r>
        <w:t>On Chris's options work</w:t>
      </w:r>
    </w:p>
    <w:p>
      <w:r>
        <w:rPr>
          <w:rFonts w:ascii="Arial" w:hAnsi="Arial"/>
          <w:b w:val="0"/>
          <w:i w:val="0"/>
          <w:sz w:val="22"/>
        </w:rPr>
        <w:t>Chris shipped 13 commits in 2 days, with PR #15 landing the hang fix + concurrency refactor on 2026-05-11. The work is real — proper Greeks (Black-Scholes), engine, position model, BacktestConfig, FeeModel, Optuna runner, promotion gate, concentration analysis. The PR #15 hang fix was exactly the kind of bug that shows up when you actually try to run something end-to-end.</w:t>
      </w:r>
    </w:p>
    <w:p>
      <w:r>
        <w:rPr>
          <w:rFonts w:ascii="Arial" w:hAnsi="Arial"/>
          <w:b w:val="0"/>
          <w:i w:val="0"/>
          <w:sz w:val="22"/>
        </w:rPr>
        <w:t>Now that PR #15 has merged, the v1 study is unblocked. Once Chris launches it and it completes, the project gets a third promotable workstream alongside the three equity studies. The dashboard will need parallel options tabs eventually (or at least a Performance tab that handles both asset classes); that's a future-work item Chris should think about as he gets close to v1 promotion.</w:t>
      </w:r>
    </w:p>
    <w:p>
      <w:pPr>
        <w:pStyle w:val="Heading2"/>
      </w:pPr>
      <w:r>
        <w:t>Workstation parity goal</w:t>
      </w:r>
    </w:p>
    <w:p>
      <w:r>
        <w:rPr>
          <w:rFonts w:ascii="Arial" w:hAnsi="Arial"/>
          <w:b w:val="0"/>
          <w:i w:val="0"/>
          <w:sz w:val="22"/>
        </w:rPr>
        <w:t>Mike and Chris are working toward a two-workstation parity model — either machine should be capable of picking up tasks the other was doing. Most code is already portable thanks to the Phase 1 asset-class refactor. Remaining work to reach full parity:</w:t>
      </w:r>
    </w:p>
    <w:p>
      <w:pPr>
        <w:pStyle w:val="ListBullet"/>
      </w:pPr>
      <w:r>
        <w:rPr>
          <w:rFonts w:ascii="Arial" w:hAnsi="Arial"/>
          <w:sz w:val="22"/>
        </w:rPr>
        <w:t>Identical .env on both machines (done as of this commit — .env.example now enumerates the full key set)</w:t>
      </w:r>
    </w:p>
    <w:p>
      <w:pPr>
        <w:pStyle w:val="ListBullet"/>
      </w:pPr>
      <w:r>
        <w:rPr>
          <w:rFonts w:ascii="Arial" w:hAnsi="Arial"/>
          <w:sz w:val="22"/>
        </w:rPr>
        <w:t>Python version + venv package parity</w:t>
      </w:r>
    </w:p>
    <w:p>
      <w:pPr>
        <w:pStyle w:val="ListBullet"/>
      </w:pPr>
      <w:r>
        <w:rPr>
          <w:rFonts w:ascii="Arial" w:hAnsi="Arial"/>
          <w:sz w:val="22"/>
        </w:rPr>
        <w:t>Snapshot data portability — the 228 MB equity snapshot is currently single-source on Mike's machine; should be backed up to R2 or regeneratable</w:t>
      </w:r>
    </w:p>
    <w:p>
      <w:pPr>
        <w:pStyle w:val="ListBullet"/>
      </w:pPr>
      <w:r>
        <w:rPr>
          <w:rFonts w:ascii="Arial" w:hAnsi="Arial"/>
          <w:sz w:val="22"/>
        </w:rPr>
        <w:t>Documented hardware-aware task routing for CUDA-required work on Chris's RTX 5080</w:t>
      </w:r>
    </w:p>
    <w:p>
      <w:r>
        <w:rPr>
          <w:rFonts w:ascii="Arial" w:hAnsi="Arial"/>
          <w:b w:val="0"/>
          <w:i w:val="0"/>
          <w:sz w:val="22"/>
        </w:rPr>
        <w:t>See docs/future_work.md ("Two-workstation parity for cross-contributor handoff") for the multi-phase plan and per-phase cost estimates.</w:t>
      </w:r>
    </w:p>
    <w:p>
      <w:pPr>
        <w:pStyle w:val="Heading1"/>
      </w:pPr>
      <w:r>
        <w:t>Appendix A: Quick Reference</w:t>
      </w:r>
    </w:p>
    <w:p>
      <w:pPr>
        <w:pStyle w:val="Heading2"/>
      </w:pPr>
      <w:r>
        <w:t>Action sequence — copy-paste</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Post-PR-#15-merge action sequence (most URGENT items done</w:t>
            </w:r>
          </w:p>
          <w:p>
            <w:pPr>
              <w:spacing w:after="0" w:before="0"/>
            </w:pPr>
            <w:r>
              <w:rPr>
                <w:rFonts w:ascii="Consolas" w:hAnsi="Consolas"/>
                <w:sz w:val="18"/>
              </w:rPr>
              <w:t># 2026-05-11; remaining items pending Chris's v1 study output).</w:t>
            </w:r>
          </w:p>
          <w:p>
            <w:pPr>
              <w:spacing w:after="0" w:before="0"/>
            </w:pPr>
            <w:r>
              <w:rPr>
                <w:rFonts w:ascii="Consolas" w:hAnsi="Consolas"/>
                <w:sz w:val="18"/>
              </w:rPr>
              <w:t xml:space="preserve"> </w:t>
            </w:r>
          </w:p>
          <w:p>
            <w:pPr>
              <w:spacing w:after="0" w:before="0"/>
            </w:pPr>
            <w:r>
              <w:rPr>
                <w:rFonts w:ascii="Consolas" w:hAnsi="Consolas"/>
                <w:sz w:val="18"/>
              </w:rPr>
              <w:t>cd C:\Users\mteev\Documents\Claude-Investing\paper_trader</w:t>
            </w:r>
          </w:p>
          <w:p>
            <w:pPr>
              <w:spacing w:after="0" w:before="0"/>
            </w:pPr>
            <w:r>
              <w:rPr>
                <w:rFonts w:ascii="Consolas" w:hAnsi="Consolas"/>
                <w:sz w:val="18"/>
              </w:rPr>
              <w:t xml:space="preserve"> </w:t>
            </w:r>
          </w:p>
          <w:p>
            <w:pPr>
              <w:spacing w:after="0" w:before="0"/>
            </w:pPr>
            <w:r>
              <w:rPr>
                <w:rFonts w:ascii="Consolas" w:hAnsi="Consolas"/>
                <w:sz w:val="18"/>
              </w:rPr>
              <w:t># 1. Confirm local main is current</w:t>
            </w:r>
          </w:p>
          <w:p>
            <w:pPr>
              <w:spacing w:after="0" w:before="0"/>
            </w:pPr>
            <w:r>
              <w:rPr>
                <w:rFonts w:ascii="Consolas" w:hAnsi="Consolas"/>
                <w:sz w:val="18"/>
              </w:rPr>
              <w:t>git checkout main</w:t>
            </w:r>
          </w:p>
          <w:p>
            <w:pPr>
              <w:spacing w:after="0" w:before="0"/>
            </w:pPr>
            <w:r>
              <w:rPr>
                <w:rFonts w:ascii="Consolas" w:hAnsi="Consolas"/>
                <w:sz w:val="18"/>
              </w:rPr>
              <w:t>git pull origin main</w:t>
            </w:r>
          </w:p>
          <w:p>
            <w:pPr>
              <w:spacing w:after="0" w:before="0"/>
            </w:pPr>
            <w:r>
              <w:rPr>
                <w:rFonts w:ascii="Consolas" w:hAnsi="Consolas"/>
                <w:sz w:val="18"/>
              </w:rPr>
              <w:t xml:space="preserve"> </w:t>
            </w:r>
          </w:p>
          <w:p>
            <w:pPr>
              <w:spacing w:after="0" w:before="0"/>
            </w:pPr>
            <w:r>
              <w:rPr>
                <w:rFonts w:ascii="Consolas" w:hAnsi="Consolas"/>
                <w:sz w:val="18"/>
              </w:rPr>
              <w:t># 2. (Chris) Launch the v1 production study. ~6h runtime.</w:t>
            </w:r>
          </w:p>
          <w:p>
            <w:pPr>
              <w:spacing w:after="0" w:before="0"/>
            </w:pPr>
            <w:r>
              <w:rPr>
                <w:rFonts w:ascii="Consolas" w:hAnsi="Consolas"/>
                <w:sz w:val="18"/>
              </w:rPr>
              <w:t>venv\Scripts\python.exe scripts\run_options_v1_study.py</w:t>
            </w:r>
          </w:p>
          <w:p>
            <w:pPr>
              <w:spacing w:after="0" w:before="0"/>
            </w:pPr>
            <w:r>
              <w:rPr>
                <w:rFonts w:ascii="Consolas" w:hAnsi="Consolas"/>
                <w:sz w:val="18"/>
              </w:rPr>
              <w:t xml:space="preserve"> </w:t>
            </w:r>
          </w:p>
          <w:p>
            <w:pPr>
              <w:spacing w:after="0" w:before="0"/>
            </w:pPr>
            <w:r>
              <w:rPr>
                <w:rFonts w:ascii="Consolas" w:hAnsi="Consolas"/>
                <w:sz w:val="18"/>
              </w:rPr>
              <w:t># 3. After v1 study completes, sync options R2 (first-ever</w:t>
            </w:r>
          </w:p>
          <w:p>
            <w:pPr>
              <w:spacing w:after="0" w:before="0"/>
            </w:pPr>
            <w:r>
              <w:rPr>
                <w:rFonts w:ascii="Consolas" w:hAnsi="Consolas"/>
                <w:sz w:val="18"/>
              </w:rPr>
              <w:t>#    options upload). --dry-run first.</w:t>
            </w:r>
          </w:p>
          <w:p>
            <w:pPr>
              <w:spacing w:after="0" w:before="0"/>
            </w:pPr>
            <w:r>
              <w:rPr>
                <w:rFonts w:ascii="Consolas" w:hAnsi="Consolas"/>
                <w:sz w:val="18"/>
              </w:rPr>
              <w:t>venv\Scripts\python.exe src\snapshot_for_cloud.py --asset-class options --dry-run</w:t>
            </w:r>
          </w:p>
          <w:p>
            <w:pPr>
              <w:spacing w:after="0" w:before="0"/>
            </w:pPr>
            <w:r>
              <w:rPr>
                <w:rFonts w:ascii="Consolas" w:hAnsi="Consolas"/>
                <w:sz w:val="18"/>
              </w:rPr>
              <w:t>venv\Scripts\python.exe src\snapshot_for_cloud.py --asset-class options</w:t>
            </w:r>
          </w:p>
          <w:p>
            <w:pPr>
              <w:spacing w:after="0" w:before="0"/>
            </w:pPr>
            <w:r>
              <w:rPr>
                <w:rFonts w:ascii="Consolas" w:hAnsi="Consolas"/>
                <w:sz w:val="18"/>
              </w:rPr>
              <w:t xml:space="preserve"> </w:t>
            </w:r>
          </w:p>
          <w:p>
            <w:pPr>
              <w:spacing w:after="0" w:before="0"/>
            </w:pPr>
            <w:r>
              <w:rPr>
                <w:rFonts w:ascii="Consolas" w:hAnsi="Consolas"/>
                <w:sz w:val="18"/>
              </w:rPr>
              <w:t># 4. Hard-refresh https://paper-trader-mteev.streamlit.app</w:t>
            </w:r>
          </w:p>
          <w:p>
            <w:pPr>
              <w:spacing w:after="0" w:before="0"/>
            </w:pPr>
            <w:r>
              <w:rPr>
                <w:rFonts w:ascii="Consolas" w:hAnsi="Consolas"/>
                <w:sz w:val="18"/>
              </w:rPr>
              <w:t>#    Click each tab. Verify Options tab shows real content</w:t>
            </w:r>
          </w:p>
          <w:p>
            <w:pPr>
              <w:spacing w:after="0" w:before="0"/>
            </w:pPr>
            <w:r>
              <w:rPr>
                <w:rFonts w:ascii="Consolas" w:hAnsi="Consolas"/>
                <w:sz w:val="18"/>
              </w:rPr>
              <w:t>#    instead of placeholder.</w:t>
            </w:r>
          </w:p>
          <w:p>
            <w:pPr>
              <w:spacing w:after="0" w:before="0"/>
            </w:pPr>
            <w:r>
              <w:rPr>
                <w:rFonts w:ascii="Consolas" w:hAnsi="Consolas"/>
                <w:sz w:val="18"/>
              </w:rPr>
              <w:t xml:space="preserve"> </w:t>
            </w:r>
          </w:p>
          <w:p>
            <w:pPr>
              <w:spacing w:after="0" w:before="0"/>
            </w:pPr>
            <w:r>
              <w:rPr>
                <w:rFonts w:ascii="Consolas" w:hAnsi="Consolas"/>
                <w:sz w:val="18"/>
              </w:rPr>
              <w:t># 5. Run pytest to confirm all tests still pass</w:t>
            </w:r>
          </w:p>
          <w:p>
            <w:pPr>
              <w:spacing w:after="0" w:before="0"/>
            </w:pPr>
            <w:r>
              <w:rPr>
                <w:rFonts w:ascii="Consolas" w:hAnsi="Consolas"/>
                <w:sz w:val="18"/>
              </w:rPr>
              <w:t>venv\Scripts\pytest -v</w:t>
            </w:r>
          </w:p>
        </w:tc>
      </w:tr>
    </w:tbl>
    <w:p>
      <w:pPr>
        <w:pStyle w:val="Heading2"/>
      </w:pPr>
      <w:r>
        <w:t>Key file paths</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Production data</w:t>
            </w:r>
          </w:p>
          <w:p>
            <w:pPr>
              <w:spacing w:after="0" w:before="0"/>
            </w:pPr>
            <w:r>
              <w:rPr>
                <w:rFonts w:ascii="Consolas" w:hAnsi="Consolas"/>
                <w:sz w:val="18"/>
              </w:rPr>
              <w:t>models/snapshots/equities/pre_v2_20260505/</w:t>
            </w:r>
          </w:p>
          <w:p>
            <w:pPr>
              <w:spacing w:after="0" w:before="0"/>
            </w:pPr>
            <w:r>
              <w:rPr>
                <w:rFonts w:ascii="Consolas" w:hAnsi="Consolas"/>
                <w:sz w:val="18"/>
              </w:rPr>
              <w:t xml:space="preserve"> </w:t>
            </w:r>
          </w:p>
          <w:p>
            <w:pPr>
              <w:spacing w:after="0" w:before="0"/>
            </w:pPr>
            <w:r>
              <w:rPr>
                <w:rFonts w:ascii="Consolas" w:hAnsi="Consolas"/>
                <w:sz w:val="18"/>
              </w:rPr>
              <w:t># Promoted studies (R2 reads these)</w:t>
            </w:r>
          </w:p>
          <w:p>
            <w:pPr>
              <w:spacing w:after="0" w:before="0"/>
            </w:pPr>
            <w:r>
              <w:rPr>
                <w:rFonts w:ascii="Consolas" w:hAnsi="Consolas"/>
                <w:sz w:val="18"/>
              </w:rPr>
              <w:t>models/cache/dashboard_results/best_*/</w:t>
            </w:r>
          </w:p>
          <w:p>
            <w:pPr>
              <w:spacing w:after="0" w:before="0"/>
            </w:pPr>
            <w:r>
              <w:rPr>
                <w:rFonts w:ascii="Consolas" w:hAnsi="Consolas"/>
                <w:sz w:val="18"/>
              </w:rPr>
              <w:t xml:space="preserve"> </w:t>
            </w:r>
          </w:p>
          <w:p>
            <w:pPr>
              <w:spacing w:after="0" w:before="0"/>
            </w:pPr>
            <w:r>
              <w:rPr>
                <w:rFonts w:ascii="Consolas" w:hAnsi="Consolas"/>
                <w:sz w:val="18"/>
              </w:rPr>
              <w:t># Locked configs</w:t>
            </w:r>
          </w:p>
          <w:p>
            <w:pPr>
              <w:spacing w:after="0" w:before="0"/>
            </w:pPr>
            <w:r>
              <w:rPr>
                <w:rFonts w:ascii="Consolas" w:hAnsi="Consolas"/>
                <w:sz w:val="18"/>
              </w:rPr>
              <w:t>models/cache/dashboard_results/best_regime_dependent_v1_20260505_2240_325/</w:t>
            </w:r>
          </w:p>
          <w:p>
            <w:pPr>
              <w:spacing w:after="0" w:before="0"/>
            </w:pPr>
            <w:r>
              <w:rPr>
                <w:rFonts w:ascii="Consolas" w:hAnsi="Consolas"/>
                <w:sz w:val="18"/>
              </w:rPr>
              <w:t>models/cache/dashboard_results/best_15_position_study_v1_842/</w:t>
            </w:r>
          </w:p>
          <w:p>
            <w:pPr>
              <w:spacing w:after="0" w:before="0"/>
            </w:pPr>
            <w:r>
              <w:rPr>
                <w:rFonts w:ascii="Consolas" w:hAnsi="Consolas"/>
                <w:sz w:val="18"/>
              </w:rPr>
              <w:t>models/cache/dashboard_results/best_continuous_sizing_v1_1852/</w:t>
            </w:r>
          </w:p>
          <w:p>
            <w:pPr>
              <w:spacing w:after="0" w:before="0"/>
            </w:pPr>
            <w:r>
              <w:rPr>
                <w:rFonts w:ascii="Consolas" w:hAnsi="Consolas"/>
                <w:sz w:val="18"/>
              </w:rPr>
              <w:t xml:space="preserve"> </w:t>
            </w:r>
          </w:p>
          <w:p>
            <w:pPr>
              <w:spacing w:after="0" w:before="0"/>
            </w:pPr>
            <w:r>
              <w:rPr>
                <w:rFonts w:ascii="Consolas" w:hAnsi="Consolas"/>
                <w:sz w:val="18"/>
              </w:rPr>
              <w:t># Documentation</w:t>
            </w:r>
          </w:p>
          <w:p>
            <w:pPr>
              <w:spacing w:after="0" w:before="0"/>
            </w:pPr>
            <w:r>
              <w:rPr>
                <w:rFonts w:ascii="Consolas" w:hAnsi="Consolas"/>
                <w:sz w:val="18"/>
              </w:rPr>
              <w:t>docs/Comprehensive_User_Guide.docx</w:t>
            </w:r>
          </w:p>
          <w:p>
            <w:pPr>
              <w:spacing w:after="0" w:before="0"/>
            </w:pPr>
            <w:r>
              <w:rPr>
                <w:rFonts w:ascii="Consolas" w:hAnsi="Consolas"/>
                <w:sz w:val="18"/>
              </w:rPr>
              <w:t>docs/Crypto_Extension_Decisions.md</w:t>
            </w:r>
          </w:p>
          <w:p>
            <w:pPr>
              <w:spacing w:after="0" w:before="0"/>
            </w:pPr>
            <w:r>
              <w:rPr>
                <w:rFonts w:ascii="Consolas" w:hAnsi="Consolas"/>
                <w:sz w:val="18"/>
              </w:rPr>
              <w:t>docs/Options_Extension_Decisions.md</w:t>
            </w:r>
          </w:p>
          <w:p>
            <w:pPr>
              <w:spacing w:after="0" w:before="0"/>
            </w:pPr>
            <w:r>
              <w:rPr>
                <w:rFonts w:ascii="Consolas" w:hAnsi="Consolas"/>
                <w:sz w:val="18"/>
              </w:rPr>
              <w:t>docs/future_work.md</w:t>
            </w:r>
          </w:p>
          <w:p>
            <w:pPr>
              <w:spacing w:after="0" w:before="0"/>
            </w:pPr>
            <w:r>
              <w:rPr>
                <w:rFonts w:ascii="Consolas" w:hAnsi="Consolas"/>
                <w:sz w:val="18"/>
              </w:rPr>
              <w:t>docs/Project_State_Tracker.docx  (this doc, committed)</w:t>
            </w:r>
          </w:p>
          <w:p>
            <w:pPr>
              <w:spacing w:after="0" w:before="0"/>
            </w:pPr>
            <w:r>
              <w:rPr>
                <w:rFonts w:ascii="Consolas" w:hAnsi="Consolas"/>
                <w:sz w:val="18"/>
              </w:rPr>
              <w:t xml:space="preserve"> </w:t>
            </w:r>
          </w:p>
          <w:p>
            <w:pPr>
              <w:spacing w:after="0" w:before="0"/>
            </w:pPr>
            <w:r>
              <w:rPr>
                <w:rFonts w:ascii="Consolas" w:hAnsi="Consolas"/>
                <w:sz w:val="18"/>
              </w:rPr>
              <w:t># Specs for next Claude Code sessions</w:t>
            </w:r>
          </w:p>
          <w:p>
            <w:pPr>
              <w:spacing w:after="0" w:before="0"/>
            </w:pPr>
            <w:r>
              <w:rPr>
                <w:rFonts w:ascii="Consolas" w:hAnsi="Consolas"/>
                <w:sz w:val="18"/>
              </w:rPr>
              <w:t>docs/specs/Sizing_Decisions_Viz_Prompt.md</w:t>
            </w:r>
          </w:p>
          <w:p>
            <w:pPr>
              <w:spacing w:after="0" w:before="0"/>
            </w:pPr>
            <w:r>
              <w:rPr>
                <w:rFonts w:ascii="Consolas" w:hAnsi="Consolas"/>
                <w:sz w:val="18"/>
              </w:rPr>
              <w:t>docs/specs/Dashboard_Rebuild_Spec.docx</w:t>
            </w:r>
          </w:p>
          <w:p>
            <w:pPr>
              <w:spacing w:after="0" w:before="0"/>
            </w:pPr>
            <w:r>
              <w:rPr>
                <w:rFonts w:ascii="Consolas" w:hAnsi="Consolas"/>
                <w:sz w:val="18"/>
              </w:rPr>
              <w:t>docs/specs/Dashboard_Viz_Implementation_Spec.docx</w:t>
            </w:r>
          </w:p>
          <w:p>
            <w:pPr>
              <w:spacing w:after="0" w:before="0"/>
            </w:pPr>
            <w:r>
              <w:rPr>
                <w:rFonts w:ascii="Consolas" w:hAnsi="Consolas"/>
                <w:sz w:val="18"/>
              </w:rPr>
              <w:t xml:space="preserve"> </w:t>
            </w:r>
          </w:p>
          <w:p>
            <w:pPr>
              <w:spacing w:after="0" w:before="0"/>
            </w:pPr>
            <w:r>
              <w:rPr>
                <w:rFonts w:ascii="Consolas" w:hAnsi="Consolas"/>
                <w:sz w:val="18"/>
              </w:rPr>
              <w:t># Research scripts (one-off, history preserved)</w:t>
            </w:r>
          </w:p>
          <w:p>
            <w:pPr>
              <w:spacing w:after="0" w:before="0"/>
            </w:pPr>
            <w:r>
              <w:rPr>
                <w:rFonts w:ascii="Consolas" w:hAnsi="Consolas"/>
                <w:sz w:val="18"/>
              </w:rPr>
              <w:t>scripts/research/backfill_benchmark_parquets.py</w:t>
            </w:r>
          </w:p>
          <w:p>
            <w:pPr>
              <w:spacing w:after="0" w:before="0"/>
            </w:pPr>
            <w:r>
              <w:rPr>
                <w:rFonts w:ascii="Consolas" w:hAnsi="Consolas"/>
                <w:sz w:val="18"/>
              </w:rPr>
              <w:t>scripts/research/research_blacklist_325.py</w:t>
            </w:r>
          </w:p>
          <w:p>
            <w:pPr>
              <w:spacing w:after="0" w:before="0"/>
            </w:pPr>
            <w:r>
              <w:rPr>
                <w:rFonts w:ascii="Consolas" w:hAnsi="Consolas"/>
                <w:sz w:val="18"/>
              </w:rPr>
              <w:t>scripts/research/sanity_test_continuous_sizing.py</w:t>
            </w:r>
          </w:p>
          <w:p>
            <w:pPr>
              <w:spacing w:after="0" w:before="0"/>
            </w:pPr>
            <w:r>
              <w:rPr>
                <w:rFonts w:ascii="Consolas" w:hAnsi="Consolas"/>
                <w:sz w:val="18"/>
              </w:rPr>
              <w:t xml:space="preserve"> </w:t>
            </w:r>
          </w:p>
          <w:p>
            <w:pPr>
              <w:spacing w:after="0" w:before="0"/>
            </w:pPr>
            <w:r>
              <w:rPr>
                <w:rFonts w:ascii="Consolas" w:hAnsi="Consolas"/>
                <w:sz w:val="18"/>
              </w:rPr>
              <w:t># Audit / state tooling</w:t>
            </w:r>
          </w:p>
          <w:p>
            <w:pPr>
              <w:spacing w:after="0" w:before="0"/>
            </w:pPr>
            <w:r>
              <w:rPr>
                <w:rFonts w:ascii="Consolas" w:hAnsi="Consolas"/>
                <w:sz w:val="18"/>
              </w:rPr>
              <w:t>scripts/build_project_state_audit.py    (regenerator for state audits)</w:t>
            </w:r>
          </w:p>
          <w:p>
            <w:pPr>
              <w:spacing w:after="0" w:before="0"/>
            </w:pPr>
            <w:r>
              <w:rPr>
                <w:rFonts w:ascii="Consolas" w:hAnsi="Consolas"/>
                <w:sz w:val="18"/>
              </w:rPr>
              <w:t>scripts/build_project_state_tracker.py  (regenerator for this tracker)</w:t>
            </w:r>
          </w:p>
        </w:tc>
      </w:tr>
    </w:tbl>
    <w:p>
      <w:pPr>
        <w:pStyle w:val="Heading2"/>
      </w:pPr>
      <w:r>
        <w:t>Branch states</w:t>
      </w:r>
    </w:p>
    <w:p>
      <w:pPr>
        <w:pStyle w:val="Heading2"/>
      </w:pPr>
      <w:r>
        <w:t>Equity snapshots — Larger Universe v1 added 2026-05-11</w:t>
      </w:r>
    </w:p>
    <w:p>
      <w:pPr/>
      <w:r>
        <w:t>models/snapshots/equities/pre_v2_20260505/  — legacy baseline (locked). 491 ticker universe (SP500 + NDX overlap), 2018-01-02 onward, survivorship-biased. Used by the three promoted studies (#325, #842, #1852). Do not modify.</w:t>
      </w:r>
    </w:p>
    <w:p>
      <w:pPr/>
      <w:r>
        <w:t>models/snapshots/equities/larger_universe_v1_20260511/  — Larger Universe v1 baseline (best-effort survivorship-bias mitigation, fresh study material). 1,963 tickers with 10y daily prices, 1,919 with Finnhub fundamentals, macro_signals carried forward. SP500 + SP400 + SP600 actives plus last-decade delisted. No earnings_dates (Finnhub Basic forward-only; yfinance scale-fetch hit 23.6% coverage and the stash sanity gate fired — feature dropped from v1 per the &lt;85% rule). See the snapshot summary doc for the full coverage breakdown and residual-bias characterization.</w:t>
      </w:r>
    </w:p>
    <w:p>
      <w:pPr>
        <w:pStyle w:val="Heading2"/>
      </w:pPr>
      <w:r>
        <w:t>Session log pointer — Larger Universe v1 study</w:t>
      </w:r>
    </w:p>
    <w:p>
      <w:pPr/>
      <w:r>
        <w:t>Granular session-by-session activity log for the Larger Universe v1 study is at docs/sessions/larger_universe_v1/session_log.md. This is the canonical source of current detail; the tracker section above is a summary.</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Active branches</w:t>
            </w:r>
          </w:p>
          <w:p>
            <w:pPr>
              <w:spacing w:after="0" w:before="0"/>
            </w:pPr>
            <w:r>
              <w:rPr>
                <w:rFonts w:ascii="Consolas" w:hAnsi="Consolas"/>
                <w:sz w:val="18"/>
              </w:rPr>
              <w:t>main                                       # latest commit</w:t>
            </w:r>
          </w:p>
          <w:p>
            <w:pPr>
              <w:spacing w:after="0" w:before="0"/>
            </w:pPr>
            <w:r>
              <w:rPr>
                <w:rFonts w:ascii="Consolas" w:hAnsi="Consolas"/>
                <w:sz w:val="18"/>
              </w:rPr>
              <w:t xml:space="preserve">                                           # (PR #15 merged 2026-05-11 at 993527f)</w:t>
            </w:r>
          </w:p>
          <w:p>
            <w:pPr>
              <w:spacing w:after="0" w:before="0"/>
            </w:pPr>
            <w:r>
              <w:rPr>
                <w:rFonts w:ascii="Consolas" w:hAnsi="Consolas"/>
                <w:sz w:val="18"/>
              </w:rPr>
              <w:t xml:space="preserve"> </w:t>
            </w:r>
          </w:p>
          <w:p>
            <w:pPr>
              <w:spacing w:after="0" w:before="0"/>
            </w:pPr>
            <w:r>
              <w:rPr>
                <w:rFonts w:ascii="Consolas" w:hAnsi="Consolas"/>
                <w:sz w:val="18"/>
              </w:rPr>
              <w:t># Stashed work</w:t>
            </w:r>
          </w:p>
          <w:p>
            <w:pPr>
              <w:spacing w:after="0" w:before="0"/>
            </w:pPr>
            <w:r>
              <w:rPr>
                <w:rFonts w:ascii="Consolas" w:hAnsi="Consolas"/>
                <w:sz w:val="18"/>
              </w:rPr>
              <w:t>stash@{0}                                  # SP1500 retry/sanity-gate</w:t>
            </w:r>
          </w:p>
          <w:p>
            <w:pPr>
              <w:spacing w:after="0" w:before="0"/>
            </w:pPr>
            <w:r>
              <w:rPr>
                <w:rFonts w:ascii="Consolas" w:hAnsi="Consolas"/>
                <w:sz w:val="18"/>
              </w:rPr>
              <w:t xml:space="preserve">                                           # awaits Finnhub TOS or Polygon decision</w:t>
            </w:r>
          </w:p>
        </w:tc>
      </w:tr>
    </w:tbl>
    <w:p>
      <w:pPr>
        <w:pStyle w:val="Heading1"/>
      </w:pPr>
      <w:r>
        <w:t>Appendix B: Document Lineage</w:t>
      </w:r>
    </w:p>
    <w:p>
      <w:r>
        <w:rPr>
          <w:rFonts w:ascii="Arial" w:hAnsi="Arial"/>
          <w:b w:val="0"/>
          <w:i w:val="0"/>
          <w:sz w:val="22"/>
        </w:rPr>
        <w:t>This is the canonical project state doc. It supersedes prior versions and is committed to the repo for the first time.</w:t>
      </w:r>
    </w:p>
    <w:p>
      <w:r>
        <w:rPr>
          <w:rFonts w:ascii="Arial" w:hAnsi="Arial"/>
          <w:b/>
          <w:i w:val="0"/>
          <w:sz w:val="22"/>
        </w:rPr>
        <w:t xml:space="preserve">Last updated: </w:t>
      </w:r>
      <w:r>
        <w:rPr>
          <w:rFonts w:ascii="Arial" w:hAnsi="Arial"/>
          <w:b w:val="0"/>
          <w:i w:val="0"/>
          <w:sz w:val="22"/>
        </w:rPr>
        <w:t>2026-05-11 (post-PR-#15-merge refresh — URGENT items cleared, .env.example completed, workstation-parity goal added).</w:t>
      </w:r>
    </w:p>
    <w:tbl>
      <w:tblPr>
        <w:tblW w:type="auto" w:w="0"/>
        <w:tblLayout w:type="fixed"/>
        <w:tblLook w:firstColumn="1" w:firstRow="1" w:lastColumn="0" w:lastRow="0" w:noHBand="0" w:noVBand="1" w:val="04A0"/>
      </w:tblPr>
      <w:tblGrid>
        <w:gridCol w:w="3744"/>
        <w:gridCol w:w="1440"/>
        <w:gridCol w:w="4176"/>
      </w:tblGrid>
      <w:tr>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Document</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Date</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Purpose</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Paper_Trader_Handoff.docx (v1.0)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2026-05-08</w:t>
            </w:r>
          </w:p>
        </w:tc>
        <w:tc>
          <w:tcPr>
            <w:tcW w:type="dxa" w:w="3120"/>
            <w:tcBorders>
              <w:top w:val="single" w:sz="4" w:color="808080"/>
              <w:left w:val="single" w:sz="4" w:color="808080"/>
              <w:bottom w:val="single" w:sz="4" w:color="808080"/>
              <w:right w:val="single" w:sz="4" w:color="808080"/>
            </w:tcBorders>
          </w:tcPr>
          <w:p>
            <w:r/>
            <w:r>
              <w:rPr>
                <w:rFonts w:ascii="Arial" w:hAnsi="Arial"/>
                <w:sz w:val="18"/>
              </w:rPr>
              <w:t>Initial handoff to Chris before crypto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Crypto_Extension_Decisions.md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multi-asset support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Comprehensive_User_Guide.docx (v2.0)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Full user guide post-Phase-1; NVDA/META findings</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Options_Extension_Decisions.md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options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Project_State_Audit.docx</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Claude Code audit findings (raw audit)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Project_State_Tracker.docx (this doc)</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Audit + strategic context + cleanup summary</w:t>
            </w:r>
          </w:p>
        </w:tc>
      </w:tr>
    </w:tbl>
    <w:p>
      <w:r>
        <w:rPr>
          <w:rFonts w:ascii="Arial" w:hAnsi="Arial"/>
          <w:b w:val="0"/>
          <w:i w:val="0"/>
          <w:sz w:val="22"/>
        </w:rPr>
        <w:t xml:space="preserve">Older docs remain valid as historical reference. </w:t>
      </w:r>
      <w:r>
        <w:rPr>
          <w:rFonts w:ascii="Arial" w:hAnsi="Arial"/>
          <w:b/>
          <w:i w:val="0"/>
          <w:sz w:val="22"/>
        </w:rPr>
        <w:t>This doc is the most current source of truth for current state and immediate next steps.</w:t>
      </w:r>
      <w:r>
        <w:rPr>
          <w:rFonts w:ascii="Arial" w:hAnsi="Arial"/>
          <w:b w:val="0"/>
          <w:i w:val="0"/>
          <w:sz w:val="22"/>
        </w:rPr>
        <w:t xml:space="preserve"> For deep technical reference, fall back to Comprehensive_User_Guide.docx. For audit-level detail Claude Code produced, fall back to Project_State_Audit.docx.</w:t>
      </w:r>
    </w:p>
    <w:p>
      <w:r>
        <w:rPr>
          <w:rFonts w:ascii="Arial" w:hAnsi="Arial"/>
          <w:b w:val="0"/>
          <w:i w:val="0"/>
          <w:sz w:val="22"/>
        </w:rPr>
        <w:t>This doc lives at docs/Project_State_Tracker.docx in the repo. Update via Claude Code when state changes meaningfully — e.g., after PR #15 merges, after a major Polygon decision, after the next big sprint.</w:t>
      </w:r>
    </w:p>
    <w:p>
      <w:r>
        <w:rPr>
          <w:rFonts w:ascii="Arial" w:hAnsi="Arial"/>
          <w:b/>
          <w:i w:val="0"/>
          <w:sz w:val="22"/>
        </w:rPr>
        <w:t xml:space="preserve">Maintenance: </w:t>
      </w:r>
      <w:r>
        <w:rPr>
          <w:rFonts w:ascii="Arial" w:hAnsi="Arial"/>
          <w:b w:val="0"/>
          <w:i w:val="0"/>
          <w:sz w:val="22"/>
        </w:rPr>
        <w:t>when adding new authoritative docs to docs/, update the "Claude Session Onboarding" prompt above to reference them. When contributor roles or conventions change, update the prompt's conventions section. Specifically, review the embedded prompt whenever:</w:t>
      </w:r>
    </w:p>
    <w:p>
      <w:pPr>
        <w:pStyle w:val="ListBullet"/>
      </w:pPr>
      <w:r>
        <w:rPr>
          <w:rFonts w:ascii="Arial" w:hAnsi="Arial"/>
          <w:sz w:val="22"/>
        </w:rPr>
        <w:t>Major docs are added to or removed from the reading list</w:t>
      </w:r>
    </w:p>
    <w:p>
      <w:pPr>
        <w:pStyle w:val="ListBullet"/>
      </w:pPr>
      <w:r>
        <w:rPr>
          <w:rFonts w:ascii="Arial" w:hAnsi="Arial"/>
          <w:sz w:val="22"/>
        </w:rPr>
        <w:t>Project conventions change (data layout, branching, deployment targets)</w:t>
      </w:r>
    </w:p>
    <w:p>
      <w:pPr>
        <w:pStyle w:val="ListBullet"/>
      </w:pPr>
      <w:r>
        <w:rPr>
          <w:rFonts w:ascii="Arial" w:hAnsi="Arial"/>
          <w:sz w:val="22"/>
        </w:rPr>
        <w:t>Contributor roles shift (ownership, handoffs, namespace boundaries)</w:t>
      </w:r>
    </w:p>
    <w:p>
      <w:pPr>
        <w:pStyle w:val="Heading1"/>
      </w:pPr>
      <w:r>
        <w:t>Appendix C: Cleanup Session Summary (2026-05-11)</w:t>
      </w:r>
    </w:p>
    <w:p>
      <w:r>
        <w:rPr>
          <w:rFonts w:ascii="Arial" w:hAnsi="Arial"/>
          <w:b/>
          <w:i w:val="0"/>
          <w:sz w:val="22"/>
        </w:rPr>
        <w:t xml:space="preserve">Commit: </w:t>
      </w:r>
      <w:r>
        <w:rPr>
          <w:rFonts w:ascii="Arial" w:hAnsi="Arial"/>
          <w:b w:val="0"/>
          <w:i w:val="0"/>
          <w:sz w:val="22"/>
        </w:rPr>
        <w:t>5c39cc5</w:t>
      </w:r>
      <w:r>
        <w:rPr>
          <w:rFonts w:ascii="Arial" w:hAnsi="Arial"/>
          <w:b w:val="0"/>
          <w:i w:val="0"/>
          <w:sz w:val="22"/>
        </w:rPr>
        <w:t xml:space="preserve"> — "chore: cleanup per project state audit"</w:t>
      </w:r>
    </w:p>
    <w:p>
      <w:r>
        <w:rPr>
          <w:rFonts w:ascii="Arial" w:hAnsi="Arial"/>
          <w:b/>
          <w:i w:val="0"/>
          <w:sz w:val="22"/>
        </w:rPr>
        <w:t>Deleted (35 files, gitignored):</w:t>
      </w:r>
    </w:p>
    <w:p>
      <w:pPr>
        <w:pStyle w:val="ListBullet"/>
      </w:pPr>
      <w:r>
        <w:rPr>
          <w:rFonts w:ascii="Arial" w:hAnsi="Arial"/>
          <w:sz w:val="22"/>
        </w:rPr>
        <w:t>27 debug/inspection Python scripts at repo root (inspect_*.py, check_*.py, track_*.py, study_progress.py, progress_continuous.py, touch_snapshot.py, rescue_save_continuous.py, best_continuous.py, spot_check.py, compare_studies.py, extract_track2*.py, make_src_zip.py)</w:t>
      </w:r>
    </w:p>
    <w:p>
      <w:pPr>
        <w:pStyle w:val="ListBullet"/>
      </w:pPr>
      <w:r>
        <w:rPr>
          <w:rFonts w:ascii="Arial" w:hAnsi="Arial"/>
          <w:sz w:val="22"/>
        </w:rPr>
        <w:t>8 log files (15_position_study_v1*.log, continuous_sizing_v1*.log, v3_track1_*.log)</w:t>
      </w:r>
    </w:p>
    <w:p>
      <w:pPr>
        <w:pStyle w:val="ListBullet"/>
      </w:pPr>
      <w:r>
        <w:rPr>
          <w:rFonts w:ascii="Arial" w:hAnsi="Arial"/>
          <w:sz w:val="22"/>
        </w:rPr>
        <w:t>src.zip (46 MB)</w:t>
      </w:r>
    </w:p>
    <w:p>
      <w:pPr>
        <w:pStyle w:val="ListBullet"/>
      </w:pPr>
      <w:r>
        <w:rPr>
          <w:rFonts w:ascii="Arial" w:hAnsi="Arial"/>
          <w:sz w:val="22"/>
        </w:rPr>
        <w:t>_spec_extracted.txt</w:t>
      </w:r>
    </w:p>
    <w:p>
      <w:pPr>
        <w:pStyle w:val="ListBullet"/>
      </w:pPr>
      <w:r>
        <w:rPr>
          <w:rFonts w:ascii="Arial" w:hAnsi="Arial"/>
          <w:sz w:val="22"/>
        </w:rPr>
        <w:t>Documents/ folder (3 early-draft files) and empty data/ directory</w:t>
      </w:r>
    </w:p>
    <w:p>
      <w:r>
        <w:rPr>
          <w:rFonts w:ascii="Arial" w:hAnsi="Arial"/>
          <w:b/>
          <w:i w:val="0"/>
          <w:sz w:val="22"/>
        </w:rPr>
        <w:t>Moved:</w:t>
      </w:r>
    </w:p>
    <w:p>
      <w:pPr>
        <w:pStyle w:val="ListBullet"/>
      </w:pPr>
      <w:r>
        <w:rPr>
          <w:rFonts w:ascii="Arial" w:hAnsi="Arial"/>
          <w:sz w:val="22"/>
        </w:rPr>
        <w:t>3 snapshots (macro_signal_investigation_*, parallelism_diagnostic_*, post_macro_fix_*) → models/snapshots/equities/</w:t>
      </w:r>
    </w:p>
    <w:p>
      <w:pPr>
        <w:pStyle w:val="ListBullet"/>
      </w:pPr>
      <w:r>
        <w:rPr>
          <w:rFonts w:ascii="Arial" w:hAnsi="Arial"/>
          <w:sz w:val="22"/>
        </w:rPr>
        <w:t>3 tracked research scripts →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r>
        <w:rPr>
          <w:rFonts w:ascii="Arial" w:hAnsi="Arial"/>
          <w:b/>
          <w:i w:val="0"/>
          <w:sz w:val="22"/>
        </w:rPr>
        <w:t>Kept (intentional):</w:t>
      </w:r>
    </w:p>
    <w:p>
      <w:pPr>
        <w:pStyle w:val="ListBullet"/>
      </w:pPr>
      <w:r>
        <w:rPr>
          <w:rFonts w:ascii="Arial" w:hAnsi="Arial"/>
          <w:sz w:val="22"/>
        </w:rPr>
        <w:t>3 SP1500 paused-state logs (sp1500_fetch.log, sp1500_fetch_v2.log, sp1500_force_refresh.log) — document the paused state for when SP1500 resumes</w:t>
      </w:r>
    </w:p>
    <w:p>
      <w:pPr>
        <w:pStyle w:val="ListBullet"/>
      </w:pPr>
      <w:r>
        <w:rPr>
          <w:rFonts w:ascii="Arial" w:hAnsi="Arial"/>
          <w:sz w:val="22"/>
        </w:rPr>
        <w:t>v3_track2_runner.py at root — referenced by src/dashboard_app.py</w:t>
      </w:r>
    </w:p>
    <w:p>
      <w:pPr>
        <w:pStyle w:val="ListBullet"/>
      </w:pPr>
      <w:r>
        <w:rPr>
          <w:rFonts w:ascii="Arial" w:hAnsi="Arial"/>
          <w:sz w:val="22"/>
        </w:rPr>
        <w:t>Chris's 6 options scripts in scripts/</w:t>
      </w:r>
    </w:p>
    <w:p>
      <w:r>
        <w:rPr>
          <w:rFonts w:ascii="Arial" w:hAnsi="Arial"/>
          <w:b/>
          <w:i w:val="0"/>
          <w:sz w:val="22"/>
        </w:rPr>
        <w:t>Newly tracked (fixed by gitignore fix):</w:t>
      </w:r>
    </w:p>
    <w:p>
      <w:pPr>
        <w:pStyle w:val="ListBullet"/>
      </w:pPr>
      <w:r>
        <w:rPr>
          <w:rFonts w:ascii="Arial" w:hAnsi="Arial"/>
          <w:sz w:val="22"/>
        </w:rPr>
        <w:t>docs/specs/Dashboard_Rebuild_Spec.docx — had been silently ignored due to !docs/*.docx depth bug</w:t>
      </w:r>
    </w:p>
    <w:p>
      <w:pPr>
        <w:pStyle w:val="ListBullet"/>
      </w:pPr>
      <w:r>
        <w:rPr>
          <w:rFonts w:ascii="Arial" w:hAnsi="Arial"/>
          <w:sz w:val="22"/>
        </w:rPr>
        <w:t>docs/specs/Dashboard_Viz_Implementation_Spec.docx</w:t>
      </w:r>
    </w:p>
    <w:p>
      <w:pPr>
        <w:pStyle w:val="ListBullet"/>
      </w:pPr>
      <w:r>
        <w:rPr>
          <w:rFonts w:ascii="Arial" w:hAnsi="Arial"/>
          <w:sz w:val="22"/>
        </w:rPr>
        <w:t>scripts/build_project_state_audit.py — for future audit refreshes</w:t>
      </w:r>
    </w:p>
    <w:p>
      <w:pPr>
        <w:pStyle w:val="ListBullet"/>
      </w:pPr>
      <w:r>
        <w:rPr>
          <w:rFonts w:ascii="Arial" w:hAnsi="Arial"/>
          <w:sz w:val="22"/>
        </w:rPr>
        <w:t>scripts/build_project_state_tracker.py — for future tracker refreshes (this doc's generator)</w:t>
      </w:r>
    </w:p>
    <w:p>
      <w:r>
        <w:rPr>
          <w:rFonts w:ascii="Arial" w:hAnsi="Arial"/>
          <w:b/>
          <w:i w:val="0"/>
          <w:sz w:val="22"/>
        </w:rPr>
        <w:t>Modified:</w:t>
      </w:r>
    </w:p>
    <w:p>
      <w:pPr>
        <w:pStyle w:val="ListBullet"/>
      </w:pPr>
      <w:r>
        <w:rPr>
          <w:rFonts w:ascii="Arial" w:hAnsi="Arial"/>
          <w:sz w:val="22"/>
        </w:rPr>
        <w:t>.gitignore: fixed !docs/*.docx to !docs/**/*.docx (was a depth-1 bug); added sp1500_*.log pattern</w:t>
      </w:r>
    </w:p>
    <w:p>
      <w:pPr>
        <w:pStyle w:val="ListBullet"/>
      </w:pPr>
      <w:r>
        <w:rPr>
          <w:rFonts w:ascii="Arial" w:hAnsi="Arial"/>
          <w:sz w:val="22"/>
        </w:rPr>
        <w:t>.github/CODEOWNERS: removed phantom /src/equities/ rule</w:t>
      </w:r>
    </w:p>
    <w:p>
      <w:r>
        <w:rPr>
          <w:rFonts w:ascii="Arial" w:hAnsi="Arial"/>
          <w:b/>
          <w:i w:val="0"/>
          <w:sz w:val="22"/>
        </w:rPr>
        <w:t>Branches deleted:</w:t>
      </w:r>
    </w:p>
    <w:p>
      <w:pPr>
        <w:pStyle w:val="ListBullet"/>
      </w:pPr>
      <w:r>
        <w:rPr>
          <w:rFonts w:ascii="Arial" w:hAnsi="Arial"/>
          <w:sz w:val="22"/>
        </w:rPr>
        <w:t>origin/chris/options-phase-1-shared-edge (already squash-merged via PR #3)</w:t>
      </w:r>
    </w:p>
    <w:p>
      <w:r>
        <w:rPr>
          <w:rFonts w:ascii="Arial" w:hAnsi="Arial"/>
          <w:b/>
          <w:i w:val="0"/>
          <w:sz w:val="22"/>
        </w:rPr>
        <w:t xml:space="preserve">Net result: </w:t>
      </w:r>
      <w:r>
        <w:rPr>
          <w:rFonts w:ascii="Arial" w:hAnsi="Arial"/>
          <w:b w:val="0"/>
          <w:i w:val="0"/>
          <w:sz w:val="22"/>
        </w:rPr>
        <w:t>Repo root now has 5 files (requirements.txt, 3 SP1500 paused logs, v3_track2_runner.py). Clean state.</w:t>
      </w:r>
    </w:p>
    <w:p>
      <w:r>
        <w:rPr>
          <w:rFonts w:ascii="Arial" w:hAnsi="Arial"/>
          <w:b/>
          <w:i w:val="0"/>
          <w:sz w:val="22"/>
        </w:rPr>
        <w:t xml:space="preserve">Important secondary finding: </w:t>
      </w:r>
      <w:r>
        <w:rPr>
          <w:rFonts w:ascii="Arial" w:hAnsi="Arial"/>
          <w:b w:val="0"/>
          <w:i w:val="0"/>
          <w:sz w:val="22"/>
        </w:rPr>
        <w:t>The !docs/*.docx gitignore rule was buggy and had been silently dropping any docx file under docs/specs/ for weeks. The fix means committed documentation now reliably lands in the repo.</w:t>
      </w:r>
    </w:p>
    <w:p>
      <w:pPr>
        <w:pStyle w:val="Heading2"/>
      </w:pPr>
      <w:r>
        <w:t>2026-05-11 (later in day) — Post-merge sweep</w:t>
      </w:r>
    </w:p>
    <w:p>
      <w:pPr>
        <w:pStyle w:val="ListBullet"/>
      </w:pPr>
      <w:r>
        <w:rPr>
          <w:rFonts w:ascii="Arial" w:hAnsi="Arial"/>
          <w:sz w:val="22"/>
        </w:rPr>
        <w:t>PR #15 merged (commit 993527f)</w:t>
      </w:r>
    </w:p>
    <w:p>
      <w:pPr>
        <w:pStyle w:val="ListBullet"/>
      </w:pPr>
      <w:r>
        <w:rPr>
          <w:rFonts w:ascii="Arial" w:hAnsi="Arial"/>
          <w:sz w:val="22"/>
        </w:rPr>
        <w:t>R2 synced for equities at the new HEAD</w:t>
      </w:r>
    </w:p>
    <w:p>
      <w:pPr>
        <w:pStyle w:val="ListBullet"/>
      </w:pPr>
      <w:r>
        <w:rPr>
          <w:rFonts w:ascii="Arial" w:hAnsi="Arial"/>
          <w:sz w:val="22"/>
        </w:rPr>
        <w:t>Test collection bug fixed (commit c1346cd)</w:t>
      </w:r>
    </w:p>
    <w:p>
      <w:pPr>
        <w:pStyle w:val="ListBullet"/>
      </w:pPr>
      <w:r>
        <w:rPr>
          <w:rFonts w:ascii="Arial" w:hAnsi="Arial"/>
          <w:sz w:val="22"/>
        </w:rPr>
        <w:t>Venv dependencies installed (pip install -r requirements.txt)</w:t>
      </w:r>
    </w:p>
    <w:p>
      <w:pPr>
        <w:pStyle w:val="ListBullet"/>
      </w:pPr>
      <w:r>
        <w:rPr>
          <w:rFonts w:ascii="Arial" w:hAnsi="Arial"/>
          <w:sz w:val="22"/>
        </w:rPr>
        <w:t>.env.example completed with all required keys (Tradier, Polygon, FRED, Finnhub, R2, optional PAPER_TRADER_* runtime knobs)</w:t>
      </w:r>
    </w:p>
    <w:p>
      <w:pPr>
        <w:pStyle w:val="ListBullet"/>
      </w:pPr>
      <w:r>
        <w:rPr>
          <w:rFonts w:ascii="Arial" w:hAnsi="Arial"/>
          <w:sz w:val="22"/>
        </w:rPr>
        <w:t>URGENT block of action items cleared; next URGENT surfaces when Chris launches the v1 production study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