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30"/>
        </w:rPr>
        <w:t>165 Randolph St — “The BLOCK”</w:t>
      </w:r>
    </w:p>
    <w:p>
      <w:pPr>
        <w:spacing w:after="200"/>
      </w:pPr>
      <w:r>
        <w:rPr>
          <w:b w:val="0"/>
          <w:sz w:val="22"/>
        </w:rPr>
        <w:t>EBC responses to the 17 September questions memo, for incorporation into the next draft to Thomas</w:t>
      </w:r>
    </w:p>
    <w:tbl>
      <w:tblPr>
        <w:tblStyle w:val="TableGrid"/>
        <w:tblW w:type="auto" w:w="0"/>
        <w:tblLook w:firstColumn="1" w:firstRow="1" w:lastColumn="0" w:lastRow="0" w:noHBand="0" w:noVBand="1" w:val="04A0"/>
      </w:tblPr>
      <w:tblGrid>
        <w:gridCol w:w="1152"/>
        <w:gridCol w:w="4824"/>
      </w:tblGrid>
      <w:tr>
        <w:tc>
          <w:tcPr>
            <w:tcW w:type="dxa" w:w="4824"/>
          </w:tcPr>
          <w:p>
            <w:r>
              <w:rPr>
                <w:b/>
                <w:sz w:val="18"/>
              </w:rPr>
              <w:t>To</w:t>
            </w:r>
          </w:p>
        </w:tc>
        <w:tc>
          <w:tcPr>
            <w:tcW w:type="dxa" w:w="4824"/>
          </w:tcPr>
          <w:p>
            <w:r>
              <w:rPr>
                <w:sz w:val="18"/>
              </w:rPr>
              <w:t>Matt Teper, Insomniac</w:t>
            </w:r>
          </w:p>
        </w:tc>
      </w:tr>
      <w:tr>
        <w:tc>
          <w:tcPr>
            <w:tcW w:type="dxa" w:w="4824"/>
          </w:tcPr>
          <w:p>
            <w:r>
              <w:rPr>
                <w:b/>
                <w:sz w:val="18"/>
              </w:rPr>
              <w:t>From</w:t>
            </w:r>
          </w:p>
        </w:tc>
        <w:tc>
          <w:tcPr>
            <w:tcW w:type="dxa" w:w="4824"/>
          </w:tcPr>
          <w:p>
            <w:r>
              <w:rPr>
                <w:sz w:val="18"/>
              </w:rPr>
              <w:t>Eric Cohen, EBC Capital</w:t>
            </w:r>
          </w:p>
        </w:tc>
      </w:tr>
      <w:tr>
        <w:tc>
          <w:tcPr>
            <w:tcW w:type="dxa" w:w="4824"/>
          </w:tcPr>
          <w:p>
            <w:r>
              <w:rPr>
                <w:b/>
                <w:sz w:val="18"/>
              </w:rPr>
              <w:t>Date</w:t>
            </w:r>
          </w:p>
        </w:tc>
        <w:tc>
          <w:tcPr>
            <w:tcW w:type="dxa" w:w="4824"/>
          </w:tcPr>
          <w:p>
            <w:r>
              <w:rPr>
                <w:sz w:val="18"/>
              </w:rPr>
              <w:t>17 September 2026</w:t>
            </w:r>
          </w:p>
        </w:tc>
      </w:tr>
      <w:tr>
        <w:tc>
          <w:tcPr>
            <w:tcW w:type="dxa" w:w="4824"/>
          </w:tcPr>
          <w:p>
            <w:r>
              <w:rPr>
                <w:b/>
                <w:sz w:val="18"/>
              </w:rPr>
              <w:t>Re</w:t>
            </w:r>
          </w:p>
        </w:tc>
        <w:tc>
          <w:tcPr>
            <w:tcW w:type="dxa" w:w="4824"/>
          </w:tcPr>
          <w:p>
            <w:r>
              <w:rPr>
                <w:sz w:val="18"/>
              </w:rPr>
              <w:t>Answers and positions on your Questions, Recommendations &amp; Clarification memo (16 Sep MDB)</w:t>
            </w:r>
          </w:p>
        </w:tc>
      </w:tr>
    </w:tbl>
    <w:p/>
    <w:p>
      <w:pPr>
        <w:spacing w:after="120"/>
      </w:pPr>
      <w:r>
        <w:t>Matt, I went through your memo line by line. Below is what I can confirm as fact, where EBC's position is, and what is still open. Please fold these into the next draft to Thomas and Nate; I have marked what changes on your page 1 and page 2 as a result. Your structure is right and I would keep it.</w:t>
      </w:r>
    </w:p>
    <w:p>
      <w:pPr>
        <w:spacing w:after="120"/>
      </w:pPr>
      <w:r>
        <w:rPr>
          <w:b/>
          <w:sz w:val="22"/>
        </w:rPr>
        <w:t>1. Facts I can confirm — these close questions</w:t>
      </w:r>
    </w:p>
    <w:p>
      <w:pPr>
        <w:spacing w:after="120"/>
      </w:pPr>
      <w:r>
        <w:rPr>
          <w:b/>
        </w:rPr>
        <w:t xml:space="preserve">Roof. </w:t>
      </w:r>
      <w:r>
        <w:t>The existing roof is precast concrete panels on the original steel frame, with some zones of composite metal deck where the roof was replaced or infilled. This is on KBN's 6/2 field verification sketch and it is visible in the walkthrough photos. The roof has also been sampled and is positive for asbestos. By the rule in your own clarification section, that settles the lift: it is off the table and we adopt the rebuild the RFEM model prices. Please drop question 11's lift language and lever 6 and replace them with a straight ask for Thomas to price 055100 off the VE1 takeoff, with the built-up plate columns at their own rate.</w:t>
      </w:r>
    </w:p>
    <w:p>
      <w:pPr>
        <w:spacing w:after="120"/>
      </w:pPr>
      <w:r>
        <w:rPr>
          <w:b/>
        </w:rPr>
        <w:t xml:space="preserve">The 135,953 SF. </w:t>
      </w:r>
      <w:r>
        <w:t>Cellar 3,500 + first floor 69,722 + second floor 53,379 + roof level 9,352 = 135,953 SF, per the PD-04 set. So Thomas's area has a source; the issue is only that the sheet should state it, and that $/SF comparisons should be run on the 74,100 SF footprint. Question 6 becomes a labelling request, not a challenge.</w:t>
      </w:r>
    </w:p>
    <w:p>
      <w:pPr>
        <w:spacing w:after="120"/>
      </w:pPr>
      <w:r>
        <w:rPr>
          <w:b/>
        </w:rPr>
        <w:t xml:space="preserve">Parking. </w:t>
      </w:r>
      <w:r>
        <w:t>Off-site parking is in the deal. Keep the $2.26M line; the only fix is the 86-versus-260 space count in the formula. Lever 11 becomes a one-line correction.</w:t>
      </w:r>
    </w:p>
    <w:p>
      <w:pPr>
        <w:spacing w:after="120"/>
      </w:pPr>
      <w:r>
        <w:rPr>
          <w:b/>
        </w:rPr>
        <w:t xml:space="preserve">General conditions versus 013000. </w:t>
      </w:r>
      <w:r>
        <w:t>These are not the same function and I do not want us to call them a duplicate. Division 013000 is project requirements: BIM set-up, reprographics, site office, field technology, signage, site security, the safety plan, toilets, clean-up, protection, project labor, rubbish removal and final clean. The GC tab is staffing. Withdraw question 7. What stays open is 013000-11, Project Labor at $2,000,000 as one lump, which needs a crew, rate and duration behind it.</w:t>
      </w:r>
    </w:p>
    <w:p>
      <w:pPr>
        <w:spacing w:after="120"/>
      </w:pPr>
      <w:r>
        <w:rPr>
          <w:b/>
        </w:rPr>
        <w:t xml:space="preserve">The two lighting lines. </w:t>
      </w:r>
      <w:r>
        <w:t>Not a duplicate either. One is house lighting, the other is lighting for the shows. Both stay; ask Thomas to relabel them so the scopes are unambiguous, and check the show package against the separate $520,000 performance-lighting line in FF&amp;E. Withdraw question 14.</w:t>
      </w:r>
    </w:p>
    <w:p>
      <w:pPr>
        <w:spacing w:after="120"/>
      </w:pPr>
      <w:r>
        <w:rPr>
          <w:b/>
        </w:rPr>
        <w:t xml:space="preserve">Sidewalk bridge. </w:t>
      </w:r>
      <w:r>
        <w:t>The building fronts about 770 LF of public sidewalk, not 1,126. Re-run Thomas's own backup at 770 LF @ $500 + 27,024 SF @ $75 = $2,411,800 and ask him to reconcile the $4,000,000 lump to that.</w:t>
      </w:r>
    </w:p>
    <w:p>
      <w:pPr>
        <w:spacing w:after="120"/>
      </w:pPr>
      <w:r>
        <w:rPr>
          <w:b/>
        </w:rPr>
        <w:t xml:space="preserve">Attorney fees. </w:t>
      </w:r>
      <w:r>
        <w:t>The SLA, cabaret and theater-classification legal work is already spent inside the feasibility study. It should be stripped out of the budget rather than carried at $0 with a note.</w:t>
      </w:r>
    </w:p>
    <w:p>
      <w:pPr>
        <w:spacing w:after="120"/>
      </w:pPr>
      <w:r>
        <w:rPr>
          <w:b/>
        </w:rPr>
        <w:t xml:space="preserve">D26. </w:t>
      </w:r>
      <w:r>
        <w:t>Thomas priced more of the $12,000,000 plug on the evening of 16 September. Ask for the priced lines and take them as they come; I agree with you that the number goes up and that it should not be read as his number moving.</w:t>
      </w:r>
    </w:p>
    <w:p>
      <w:pPr>
        <w:spacing w:after="120"/>
      </w:pPr>
      <w:r>
        <w:rPr>
          <w:b/>
          <w:sz w:val="22"/>
        </w:rPr>
        <w:t>2. EBC's positions — where I want the memo to land</w:t>
      </w:r>
    </w:p>
    <w:p>
      <w:pPr>
        <w:spacing w:after="120"/>
      </w:pPr>
      <w:r>
        <w:rPr>
          <w:b/>
        </w:rPr>
        <w:t xml:space="preserve">D67 contingency. </w:t>
      </w:r>
      <w:r>
        <w:t>Agreed this is the biggest single item. The formula runs 10% of the whole project on top of the contractor's 10%. Ask him to restate it to its labelled base and to say which contingency he intends to keep. Keep this as question 1.</w:t>
      </w:r>
    </w:p>
    <w:p>
      <w:pPr>
        <w:spacing w:after="120"/>
      </w:pPr>
      <w:r>
        <w:rPr>
          <w:b/>
        </w:rPr>
        <w:t xml:space="preserve">D28 fee basis. </w:t>
      </w:r>
      <w:r>
        <w:t>The fee should run on unpriced scope, since that scope will be built, but it should not run on general conditions. Put that to Thomas as a request to confirm rather than an accusation.</w:t>
      </w:r>
    </w:p>
    <w:p>
      <w:pPr>
        <w:spacing w:after="120"/>
      </w:pPr>
      <w:r>
        <w:rPr>
          <w:b/>
        </w:rPr>
        <w:t xml:space="preserve">Roof abatement. </w:t>
      </w:r>
      <w:r>
        <w:t>The roof has been sampled and is hot. My position is that we only need to remove the portion of the membrane the rebuild actually disturbs, which I would argue is roughly half, not 70,000 SF at $21. Add this as a lever: scope the abatement to the work, worth up to about $0.7M, and ask EMS to confirm the approach.</w:t>
      </w:r>
    </w:p>
    <w:p>
      <w:pPr>
        <w:spacing w:after="120"/>
      </w:pPr>
      <w:r>
        <w:rPr>
          <w:b/>
        </w:rPr>
        <w:t xml:space="preserve">HVAC. </w:t>
      </w:r>
      <w:r>
        <w:t>Thomas priced one line at $45 over 132,542 SF. HVAC on this building should be calculated from load, not area: the plant per ton, the air side per CFM, and a total per SF used only as a check. Highland's Rev 1 report already gives the loads (about 976 tons and 280,000 CFM), so this is a re-cut, not new engineering. Add it as a lever.</w:t>
      </w:r>
    </w:p>
    <w:p>
      <w:pPr>
        <w:spacing w:after="120"/>
      </w:pPr>
      <w:r>
        <w:rPr>
          <w:b/>
        </w:rPr>
        <w:t xml:space="preserve">Coat check lockers. </w:t>
      </w:r>
      <w:r>
        <w:t>2,000 is not a fixed number. It can be more or fewer depending on size, quantity, budget and use. Keep your 750 at $350 as the placeholder and ask Thomas to propose a count and spec; the swing is up to about $0.97M.</w:t>
      </w:r>
    </w:p>
    <w:p>
      <w:pPr>
        <w:spacing w:after="120"/>
      </w:pPr>
      <w:r>
        <w:rPr>
          <w:b/>
        </w:rPr>
        <w:t xml:space="preserve">Structural steel. </w:t>
      </w:r>
      <w:r>
        <w:t>Agreed this is the key call-out. With the lift off the table, the ask is simply to price the rebuild off the takeoff now, at 997 short tons, with the 202 tons of built-up plate columns priced separately, and then to run VE2.</w:t>
      </w:r>
    </w:p>
    <w:p>
      <w:pPr>
        <w:spacing w:after="120"/>
      </w:pPr>
      <w:r>
        <w:rPr>
          <w:b/>
        </w:rPr>
        <w:t xml:space="preserve">Plumbing fixtures. </w:t>
      </w:r>
      <w:r>
        <w:t>I have the A-1/A-2 required count: male 60 WC, 51 urinals, 78 lavatories; female 108 WC, 78 lavatories. That is 168 WC, 51 urinals and 156 lavatories against Thomas's 178 / 154 / 51. Close, but the WC count is about 10 high. Ask Thomas to tie his count to this, and ask Nate to attach the code calculation from the code summary.</w:t>
      </w:r>
    </w:p>
    <w:p>
      <w:pPr>
        <w:spacing w:after="120"/>
      </w:pPr>
      <w:r>
        <w:rPr>
          <w:b/>
        </w:rPr>
        <w:t xml:space="preserve">Zero-quantity trades. </w:t>
      </w:r>
      <w:r>
        <w:t>Add these to question 12 as lines we want confirmed as priced: floor preparation, carpet and resilient flooring, tile and brick tile, concrete, structural rough carpentry and millwork.</w:t>
      </w:r>
    </w:p>
    <w:p>
      <w:pPr>
        <w:spacing w:after="120"/>
      </w:pPr>
      <w:r>
        <w:rPr>
          <w:b/>
          <w:sz w:val="22"/>
        </w:rPr>
        <w:t>3. Still open — keep these as questions</w:t>
      </w:r>
    </w:p>
    <w:p>
      <w:pPr>
        <w:spacing w:after="120"/>
      </w:pPr>
      <w:r>
        <w:t>Project Labor at $2,000,000 (crew, rate, weeks). Interior scaffolding at $2,000,000 (what is staged, at what rate, for how long, and whether the sequence assumes the ground-supported stage and towers are already up; I suspect it does not). G.L. and builder's risk: we can get broker guidance on an owner-controlled programme, so ask Thomas to quote it both ways. Escalation on the building, which is still blank.</w:t>
      </w:r>
    </w:p>
    <w:p>
      <w:pPr>
        <w:spacing w:after="120"/>
      </w:pPr>
      <w:r>
        <w:rPr>
          <w:b/>
          <w:sz w:val="22"/>
        </w:rPr>
        <w:t>4. What this does to your headline numbers</w:t>
      </w:r>
    </w:p>
    <w:p>
      <w:pPr>
        <w:spacing w:after="120"/>
      </w:pPr>
      <w:r>
        <w:t>With general conditions and lighting withdrawn as duplicates, the 'about $11.8M of arithmetic fixes' becomes about $8.7M firm (the contingency formula, about $6.59M, and the sidewalk bridge re-run on 770 LF, about $2.09M all-in), up to about $9.7M if the lockers land at 750. The roof-lift section of the clarification becomes a closed item with the reasoning left on the record, and the two withdrawals you already made stand. Everything else on page 2 holds.</w:t>
      </w:r>
    </w:p>
    <w:p>
      <w:pPr>
        <w:spacing w:after="120"/>
      </w:pPr>
      <w:r>
        <w:t>The one thing I would not send yet is any dollar figure tied to the lift-versus-rebuild comparison, because that comparison is now moot and the Cost To Open roof tab has formula errors. Keep the roof as a decision, not a number.</w:t>
      </w:r>
    </w:p>
    <w:p>
      <w:pPr>
        <w:spacing w:after="120"/>
      </w:pPr>
      <w:r>
        <w:t>Happy to walk through any of this before it goes to Thomas.</w:t>
      </w:r>
    </w:p>
    <w:p>
      <w:pPr>
        <w:spacing w:after="120"/>
      </w:pPr>
      <w:r>
        <w:t>Eric</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