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0"/>
        <w:rPr/>
      </w:pPr>
      <w:r>
        <w:rPr/>
      </w:r>
    </w:p>
    <w:p>
      <w:pPr>
        <w:pStyle w:val="Normal"/>
        <w:spacing w:before="0" w:after="160"/>
        <w:jc w:val="center"/>
        <w:rPr/>
      </w:pPr>
      <w:r>
        <w:rPr>
          <w:rFonts w:eastAsia="Arial" w:cs="Arial"/>
          <w:b/>
          <w:bCs/>
          <w:color w:val="1B5E8C"/>
          <w:sz w:val="80"/>
          <w:szCs w:val="80"/>
        </w:rPr>
        <w:t>BUDGET FLOW</w:t>
      </w:r>
    </w:p>
    <w:p>
      <w:pPr>
        <w:pStyle w:val="Normal"/>
        <w:spacing w:before="0" w:after="120"/>
        <w:jc w:val="center"/>
        <w:rPr/>
      </w:pPr>
      <w:r>
        <w:rPr>
          <w:rFonts w:eastAsia="Arial" w:cs="Arial"/>
          <w:b/>
          <w:bCs/>
          <w:color w:val="1A1A2E"/>
          <w:sz w:val="34"/>
          <w:szCs w:val="34"/>
        </w:rPr>
        <w:t>Database Design Document</w:t>
      </w:r>
    </w:p>
    <w:p>
      <w:pPr>
        <w:pStyle w:val="Normal"/>
        <w:spacing w:before="0" w:after="560"/>
        <w:jc w:val="center"/>
        <w:rPr/>
      </w:pPr>
      <w:r>
        <w:rPr>
          <w:rFonts w:eastAsia="Arial" w:cs="Arial"/>
          <w:color w:val="5A5A6E"/>
          <w:sz w:val="26"/>
          <w:szCs w:val="26"/>
        </w:rPr>
        <w:t>Version 2.0  —  MVP Schema &amp; Sync-Ready Data Architecture</w:t>
      </w:r>
    </w:p>
    <w:p>
      <w:pPr>
        <w:pStyle w:val="Normal"/>
        <w:pBdr>
          <w:top w:val="single" w:sz="4" w:space="1" w:color="1B5E8C"/>
          <w:bottom w:val="single" w:sz="4" w:space="1" w:color="1B5E8C"/>
        </w:pBdr>
        <w:spacing w:before="160" w:after="160"/>
        <w:jc w:val="center"/>
        <w:rPr>
          <w:rFonts w:ascii="Arial" w:hAnsi="Arial" w:eastAsia="Arial" w:cs="Arial"/>
          <w:i/>
          <w:iCs/>
          <w:color w:val="5A5A6E"/>
          <w:sz w:val="22"/>
          <w:szCs w:val="22"/>
        </w:rPr>
      </w:pPr>
      <w:r>
        <w:rPr>
          <w:rFonts w:eastAsia="Arial" w:cs="Arial"/>
          <w:i/>
          <w:iCs/>
          <w:color w:val="5A5A6E"/>
          <w:sz w:val="22"/>
          <w:szCs w:val="22"/>
        </w:rPr>
      </w:r>
    </w:p>
    <w:p>
      <w:pPr>
        <w:pStyle w:val="Normal"/>
        <w:spacing w:before="0" w:after="400"/>
        <w:rPr/>
      </w:pPr>
      <w:r>
        <w:rPr/>
      </w:r>
    </w:p>
    <w:p>
      <w:pPr>
        <w:pStyle w:val="Normal"/>
        <w:spacing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Arial" w:cs="Arial"/>
          <w:color w:val="5A5A6E"/>
          <w:sz w:val="22"/>
          <w:szCs w:val="22"/>
        </w:rPr>
        <w:t>Version 2.0   |   May 2025</w:t>
      </w:r>
      <w:r>
        <w:br w:type="page"/>
      </w:r>
    </w:p>
    <w:p>
      <w:pPr>
        <w:pStyle w:val="Heading1"/>
        <w:spacing w:before="0" w:after="140"/>
        <w:rPr/>
      </w:pPr>
      <w:r>
        <w:rPr/>
        <w:t>Document Overview</w:t>
      </w:r>
    </w:p>
    <w:p>
      <w:pPr>
        <w:pStyle w:val="Normal"/>
        <w:spacing w:before="0" w:after="140"/>
        <w:rPr/>
      </w:pPr>
      <w:r>
        <w:rPr>
          <w:rFonts w:eastAsia="Arial" w:cs="Arial"/>
          <w:color w:val="1A1A2E"/>
          <w:sz w:val="24"/>
          <w:szCs w:val="24"/>
        </w:rPr>
        <w:t>This Database Design Document defines the complete on-device data model for the Budget Flow MVP. It specifies all entity schemas, field definitions, data type rationale, relationship structure, indexing strategy, and the synchronization scaffolding that supports a clean future migration to optional PostgreSQL-backed cloud services.</w:t>
      </w:r>
    </w:p>
    <w:p>
      <w:pPr>
        <w:pStyle w:val="Normal"/>
        <w:spacing w:before="0" w:after="80"/>
        <w:rPr/>
      </w:pPr>
      <w:r>
        <w:rPr/>
      </w:r>
    </w:p>
    <w:p>
      <w:pPr>
        <w:pStyle w:val="Normal"/>
        <w:spacing w:before="0" w:after="140"/>
        <w:rPr/>
      </w:pPr>
      <w:r>
        <w:rPr>
          <w:rFonts w:eastAsia="Arial" w:cs="Arial"/>
          <w:color w:val="1A1A2E"/>
          <w:sz w:val="24"/>
          <w:szCs w:val="24"/>
        </w:rPr>
        <w:t>All schema decisions are made in service of two non-negotiable product requirements: the application must operate correctly and completely without any network connectivity, and all financial calculations must produce consistent, predictable results regardless of the order or timing of user actions. Every structural choice in this document — from UUID primary keys to integer-cent monetary storage to soft-delete fields — exists to support one or both of those requirements.</w:t>
      </w:r>
    </w:p>
    <w:p>
      <w:pPr>
        <w:pStyle w:val="Normal"/>
        <w:spacing w:before="0" w:after="80"/>
        <w:rPr/>
      </w:pPr>
      <w:r>
        <w:rPr/>
      </w:r>
    </w:p>
    <w:p>
      <w:pPr>
        <w:pStyle w:val="Normal"/>
        <w:spacing w:before="0" w:after="140"/>
        <w:rPr/>
      </w:pPr>
      <w:r>
        <w:rPr>
          <w:rFonts w:eastAsia="Arial" w:cs="Arial"/>
          <w:color w:val="1A1A2E"/>
          <w:sz w:val="24"/>
          <w:szCs w:val="24"/>
        </w:rPr>
        <w:t>This document should be read alongside the System Architecture Design, Functional Requirements Specification, and API Specification. It is structured to serve as a direct input to ERD generation — each entity section contains a complete field inventory, constraint specification, and relationship notation suitable for use with standard diagramming tools such as Napkin AI, Eraser, or draw.io.</w:t>
      </w:r>
    </w:p>
    <w:p>
      <w:pPr>
        <w:pStyle w:val="Normal"/>
        <w:spacing w:before="0" w:after="160"/>
        <w:rPr/>
      </w:pPr>
      <w:r>
        <w:rPr/>
      </w:r>
    </w:p>
    <w:p>
      <w:pPr>
        <w:pStyle w:val="Heading1"/>
        <w:rPr/>
      </w:pPr>
      <w:r>
        <w:rPr/>
        <w:t>Design Philosophy</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A8C8E8"/>
              <w:start w:val="single" w:sz="2" w:space="0" w:color="A8C8E8"/>
              <w:bottom w:val="single" w:sz="2" w:space="0" w:color="A8C8E8"/>
              <w:end w:val="single" w:sz="2" w:space="0" w:color="A8C8E8"/>
            </w:tcBorders>
            <w:shd w:fill="EAF3FA" w:val="clear"/>
          </w:tcPr>
          <w:p>
            <w:pPr>
              <w:pStyle w:val="Normal"/>
              <w:rPr/>
            </w:pPr>
            <w:r>
              <w:rPr>
                <w:rFonts w:eastAsia="Arial" w:cs="Arial"/>
                <w:b/>
                <w:bCs/>
                <w:color w:val="1B5E8C"/>
                <w:sz w:val="22"/>
                <w:szCs w:val="22"/>
              </w:rPr>
              <w:t>SQLite is the authoritative operational database for the MVP. The schema is designed for local correctness first and synchronization compatibility second.</w:t>
            </w:r>
          </w:p>
        </w:tc>
      </w:tr>
    </w:tbl>
    <w:p>
      <w:pPr>
        <w:pStyle w:val="Normal"/>
        <w:spacing w:before="0" w:after="80"/>
        <w:rPr/>
      </w:pPr>
      <w:r>
        <w:rPr/>
      </w:r>
    </w:p>
    <w:p>
      <w:pPr>
        <w:pStyle w:val="Normal"/>
        <w:spacing w:before="0" w:after="140"/>
        <w:rPr/>
      </w:pPr>
      <w:r>
        <w:rPr>
          <w:rFonts w:eastAsia="Arial" w:cs="Arial"/>
          <w:color w:val="1A1A2E"/>
          <w:sz w:val="24"/>
          <w:szCs w:val="24"/>
        </w:rPr>
        <w:t>The following principles govern every schema decision in this document:</w:t>
      </w:r>
    </w:p>
    <w:p>
      <w:pPr>
        <w:pStyle w:val="Normal"/>
        <w:spacing w:before="0" w:after="80"/>
        <w:rPr/>
      </w:pPr>
      <w:r>
        <w:rPr/>
      </w:r>
    </w:p>
    <w:p>
      <w:pPr>
        <w:pStyle w:val="ListParagraph"/>
        <w:numPr>
          <w:ilvl w:val="0"/>
          <w:numId w:val="8"/>
        </w:numPr>
        <w:rPr/>
      </w:pPr>
      <w:r>
        <w:rPr>
          <w:rFonts w:eastAsia="Arial" w:cs="Arial"/>
          <w:color w:val="1A1A2E"/>
          <w:sz w:val="22"/>
          <w:szCs w:val="22"/>
        </w:rPr>
        <w:t>Local-first operational ownership — every entity is fully usable from SQLite with no external service dependency. The schema is not a replica of a remote schema; it is the primary schema.</w:t>
      </w:r>
    </w:p>
    <w:p>
      <w:pPr>
        <w:pStyle w:val="ListParagraph"/>
        <w:numPr>
          <w:ilvl w:val="0"/>
          <w:numId w:val="4"/>
        </w:numPr>
        <w:rPr/>
      </w:pPr>
      <w:r>
        <w:rPr>
          <w:rFonts w:eastAsia="Arial" w:cs="Arial"/>
          <w:color w:val="1A1A2E"/>
          <w:sz w:val="22"/>
          <w:szCs w:val="22"/>
        </w:rPr>
        <w:t>Offline completeness — all fields required for financial calculations, projections, and safe-to-spend derivations are stored on-device. No calculation requires a network fetch to complete.</w:t>
      </w:r>
    </w:p>
    <w:p>
      <w:pPr>
        <w:pStyle w:val="ListParagraph"/>
        <w:numPr>
          <w:ilvl w:val="0"/>
          <w:numId w:val="4"/>
        </w:numPr>
        <w:rPr/>
      </w:pPr>
      <w:r>
        <w:rPr>
          <w:rFonts w:eastAsia="Arial" w:cs="Arial"/>
          <w:color w:val="1A1A2E"/>
          <w:sz w:val="22"/>
          <w:szCs w:val="22"/>
        </w:rPr>
        <w:t>Financial integrity by constraint — NOT NULL rules, CHECK constraints, and enum validation are applied at the schema level rather than relying on application-layer validation alone. Invalid financial states must be structurally unrepresentable.</w:t>
      </w:r>
    </w:p>
    <w:p>
      <w:pPr>
        <w:pStyle w:val="ListParagraph"/>
        <w:numPr>
          <w:ilvl w:val="0"/>
          <w:numId w:val="4"/>
        </w:numPr>
        <w:rPr/>
      </w:pPr>
      <w:r>
        <w:rPr>
          <w:rFonts w:eastAsia="Arial" w:cs="Arial"/>
          <w:color w:val="1A1A2E"/>
          <w:sz w:val="22"/>
          <w:szCs w:val="22"/>
        </w:rPr>
        <w:t>Sync-readiness without over-engineering — UUID primary keys, ISO 8601 timestamps, sync_status fields, and soft-delete support are built into the MVP schema. These fields are inert during local-only operation but eliminate the need for breaking schema migrations when the premium sync tier is introduced.</w:t>
      </w:r>
    </w:p>
    <w:p>
      <w:pPr>
        <w:pStyle w:val="ListParagraph"/>
        <w:numPr>
          <w:ilvl w:val="0"/>
          <w:numId w:val="4"/>
        </w:numPr>
        <w:rPr/>
      </w:pPr>
      <w:r>
        <w:rPr>
          <w:rFonts w:eastAsia="Arial" w:cs="Arial"/>
          <w:color w:val="1A1A2E"/>
          <w:sz w:val="22"/>
          <w:szCs w:val="22"/>
        </w:rPr>
        <w:t>Predictable financial arithmetic — all monetary values are stored as INTEGER cents. This eliminates floating-point rounding errors from financial calculations entirely. See Section 6 for full rationale.</w:t>
      </w:r>
    </w:p>
    <w:p>
      <w:pPr>
        <w:pStyle w:val="ListParagraph"/>
        <w:numPr>
          <w:ilvl w:val="0"/>
          <w:numId w:val="4"/>
        </w:numPr>
        <w:rPr/>
      </w:pPr>
      <w:r>
        <w:rPr>
          <w:rFonts w:eastAsia="Arial" w:cs="Arial"/>
          <w:color w:val="1A1A2E"/>
          <w:sz w:val="22"/>
          <w:szCs w:val="22"/>
        </w:rPr>
        <w:t>Append-only audit trail — the activity_log table is immutable by design. Financial events are recorded and never modified. This supports both user-facing history display and future debugging.</w:t>
      </w:r>
    </w:p>
    <w:p>
      <w:pPr>
        <w:pStyle w:val="Normal"/>
        <w:spacing w:before="0" w:after="160"/>
        <w:rPr/>
      </w:pPr>
      <w:r>
        <w:rPr/>
      </w:r>
    </w:p>
    <w:p>
      <w:pPr>
        <w:pStyle w:val="Heading1"/>
        <w:rPr/>
      </w:pPr>
      <w:r>
        <w:rPr/>
        <w:t>Paycheck Terminology Reference</w:t>
      </w:r>
    </w:p>
    <w:p>
      <w:pPr>
        <w:pStyle w:val="Normal"/>
        <w:spacing w:before="0" w:after="140"/>
        <w:rPr/>
      </w:pPr>
      <w:r>
        <w:rPr>
          <w:rFonts w:eastAsia="Arial" w:cs="Arial"/>
          <w:color w:val="1A1A2E"/>
          <w:sz w:val="24"/>
          <w:szCs w:val="24"/>
        </w:rPr>
        <w:t>The paychecks table serves two distinct roles in the MVP schema. This dual responsibility is a deliberate simplification that keeps the data model lightweight for the MVP while still supporting the paycheck-cycle-centred financial calculations the application requires. Engineers reading this document should keep both roles in mind when working with any entity that references paychecks.</w:t>
      </w:r>
    </w:p>
    <w:p>
      <w:pPr>
        <w:pStyle w:val="Normal"/>
        <w:spacing w:before="0" w:after="140"/>
        <w:rPr/>
      </w:pPr>
      <w:r>
        <w:rPr>
          <w:rFonts w:eastAsia="Arial" w:cs="Arial"/>
          <w:color w:val="1A1A2E"/>
          <w:sz w:val="24"/>
          <w:szCs w:val="24"/>
        </w:rPr>
        <w:t>The two terms used throughout this document are defined as follows:</w:t>
      </w:r>
    </w:p>
    <w:p>
      <w:pPr>
        <w:pStyle w:val="Normal"/>
        <w:numPr>
          <w:ilvl w:val="0"/>
          <w:numId w:val="9"/>
        </w:numPr>
        <w:spacing w:before="0" w:after="80"/>
        <w:rPr/>
      </w:pPr>
      <w:r>
        <w:rPr>
          <w:rFonts w:eastAsia="Arial" w:cs="Arial"/>
          <w:b/>
          <w:color w:val="1A1A2E"/>
          <w:sz w:val="22"/>
          <w:szCs w:val="22"/>
        </w:rPr>
        <w:t>Paycheck (income record)</w:t>
      </w:r>
      <w:r>
        <w:rPr>
          <w:rFonts w:eastAsia="Arial" w:cs="Arial"/>
          <w:color w:val="1A1A2E"/>
          <w:sz w:val="22"/>
          <w:szCs w:val="22"/>
        </w:rPr>
        <w:t xml:space="preserve"> — a record in the paychecks table representing expected or received income. The is_received flag determines whether the income amount contributes to the available balance and safe-to-spend calculation. Confirmed paychecks affect balance; projected paychecks do not.</w:t>
      </w:r>
    </w:p>
    <w:p>
      <w:pPr>
        <w:pStyle w:val="Normal"/>
        <w:numPr>
          <w:ilvl w:val="0"/>
          <w:numId w:val="5"/>
        </w:numPr>
        <w:spacing w:before="0" w:after="80"/>
        <w:rPr/>
      </w:pPr>
      <w:r>
        <w:rPr>
          <w:rFonts w:eastAsia="Arial" w:cs="Arial"/>
          <w:b/>
          <w:color w:val="1A1A2E"/>
          <w:sz w:val="22"/>
          <w:szCs w:val="22"/>
        </w:rPr>
        <w:t>Paycheck cycle (cycle window)</w:t>
      </w:r>
      <w:r>
        <w:rPr>
          <w:rFonts w:eastAsia="Arial" w:cs="Arial"/>
          <w:color w:val="1A1A2E"/>
          <w:sz w:val="22"/>
          <w:szCs w:val="22"/>
        </w:rPr>
        <w:t xml:space="preserve"> — the budgeting window that begins on a paycheck record’s expected_date and ends immediately before the next paycheck record’s expected_date. Bills, purchases, and safe-to-spend calculations are all scoped to a cycle window. During the MVP, there is no separate cycle entity: the paycheck record itself serves as the cycle anchor, and its UUID is used as the paycheck_cycle_id foreign key on bill_cycle_instances and purchases.</w:t>
      </w:r>
    </w:p>
    <w:p>
      <w:pPr>
        <w:pStyle w:val="Normal"/>
        <w:spacing w:before="0" w:after="140"/>
        <w:rPr/>
      </w:pPr>
      <w:r>
        <w:rPr>
          <w:rFonts w:eastAsia="Arial" w:cs="Arial"/>
          <w:color w:val="1A1A2E"/>
          <w:sz w:val="24"/>
          <w:szCs w:val="24"/>
        </w:rPr>
        <w:t>Reading paycheck_cycle_id on any foreign key: interpret it as “the paycheck record that anchors the cycle window this record belongs to” — not as a direct reference to the income event itself, even though both roles are held by the same record.</w:t>
      </w:r>
    </w:p>
    <w:p>
      <w:pPr>
        <w:pStyle w:val="Normal"/>
        <w:spacing w:before="0" w:after="140"/>
        <w:rPr/>
      </w:pPr>
      <w:r>
        <w:rPr>
          <w:rFonts w:eastAsia="Arial" w:cs="Arial"/>
          <w:color w:val="1A1A2E"/>
          <w:sz w:val="24"/>
          <w:szCs w:val="24"/>
        </w:rPr>
        <w:t>Future consideration: if cycle management requirements become more complex — for example, if the application needs to support cycles that are not directly tied to a single income event, or if multi-device synchronisation introduces cycle boundary conflicts — a dedicated paycheck_cycles table may be introduced. This would cleanly separate the income record from the cycle window entity. No schema change is required for the MVP, and this refactor can be performed without breaking any existing foreign key relationships.</w:t>
      </w:r>
    </w:p>
    <w:p>
      <w:pPr>
        <w:pStyle w:val="Normal"/>
        <w:spacing w:before="0" w:after="160"/>
        <w:rPr/>
      </w:pPr>
      <w:r>
        <w:rPr/>
      </w:r>
    </w:p>
    <w:p>
      <w:pPr>
        <w:pStyle w:val="Heading1"/>
        <w:rPr/>
      </w:pPr>
      <w:r>
        <w:rPr/>
        <w:t>Entity Groups</w:t>
      </w:r>
    </w:p>
    <w:p>
      <w:pPr>
        <w:pStyle w:val="Normal"/>
        <w:spacing w:before="0" w:after="140"/>
        <w:rPr/>
      </w:pPr>
      <w:r>
        <w:rPr>
          <w:rFonts w:eastAsia="Arial" w:cs="Arial"/>
          <w:color w:val="1A1A2E"/>
          <w:sz w:val="24"/>
          <w:szCs w:val="24"/>
        </w:rPr>
        <w:t>The Budget Flow schema is organized into four functional groups. This grouping reflects the operational responsibility of each entity and is intended to guide ERD layout — entities within the same group should be clustered together in any generated diagram.</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680"/>
        <w:gridCol w:w="2880"/>
        <w:gridCol w:w="4800"/>
      </w:tblGrid>
      <w:tr>
        <w:trPr/>
        <w:tc>
          <w:tcPr>
            <w:tcW w:w="16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Group</w:t>
            </w:r>
          </w:p>
        </w:tc>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Entities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Purpose</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Financial Core</w:t>
            </w:r>
          </w:p>
        </w:tc>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paychecks, bills, bill_cycle_instances, purchases, balance_adjustments</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Entities that directly participate in safe-to-spend calculations, balance derivations, and paycheck-cycle projections.</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Operational Support</w:t>
            </w:r>
          </w:p>
        </w:tc>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activity_log, notification_settings, backup_metadata, sync_queue</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Entities that support application operation, user preference management, and data protection without directly contributing to financial calculations.</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Import Processing</w:t>
            </w:r>
          </w:p>
        </w:tc>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import_suggestions</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Transient entities representing the intermediate state of CSV/PDF statement import workflows prior to user confirmation.</w:t>
            </w:r>
          </w:p>
        </w:tc>
      </w:tr>
      <w:tr>
        <w:trPr/>
        <w:tc>
          <w:tcPr>
            <w:tcW w:w="16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Sync Infrastructure</w:t>
            </w:r>
          </w:p>
        </w:tc>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sync_status fields (all entities, active in MVP); device_id and cloud_id columns (deferred to premium sync release)</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Cross-cutting synchronization scaffolding embedded within all financial and operational entities. The sync_queue table (see Operational Support group) serves as the dedicated outbox during MVP. device_id and cloud_id columns are deferred to the premium sync release.</w:t>
            </w:r>
          </w:p>
        </w:tc>
      </w:tr>
    </w:tbl>
    <w:p>
      <w:pPr>
        <w:pStyle w:val="Normal"/>
        <w:spacing w:before="0" w:after="160"/>
        <w:rPr/>
      </w:pPr>
      <w:r>
        <w:rPr/>
      </w:r>
    </w:p>
    <w:p>
      <w:pPr>
        <w:pStyle w:val="Heading1"/>
        <w:rPr/>
      </w:pPr>
      <w:r>
        <w:rPr/>
        <w:t>Naming Conventions</w:t>
      </w:r>
    </w:p>
    <w:p>
      <w:pPr>
        <w:pStyle w:val="Normal"/>
        <w:spacing w:before="0" w:after="140"/>
        <w:rPr/>
      </w:pPr>
      <w:r>
        <w:rPr>
          <w:rFonts w:eastAsia="Arial" w:cs="Arial"/>
          <w:color w:val="1A1A2E"/>
          <w:sz w:val="24"/>
          <w:szCs w:val="24"/>
        </w:rPr>
        <w:t>The following naming conventions apply consistently across all tables and columns in this schema:</w:t>
      </w:r>
    </w:p>
    <w:p>
      <w:pPr>
        <w:pStyle w:val="Normal"/>
        <w:spacing w:before="0" w:after="80"/>
        <w:rPr/>
      </w:pPr>
      <w:r>
        <w:rPr/>
      </w:r>
    </w:p>
    <w:p>
      <w:pPr>
        <w:pStyle w:val="ListParagraph"/>
        <w:numPr>
          <w:ilvl w:val="0"/>
          <w:numId w:val="4"/>
        </w:numPr>
        <w:rPr/>
      </w:pPr>
      <w:r>
        <w:rPr>
          <w:rFonts w:eastAsia="Arial" w:cs="Arial"/>
          <w:color w:val="1A1A2E"/>
          <w:sz w:val="22"/>
          <w:szCs w:val="22"/>
        </w:rPr>
        <w:t>Table names use snake_case plural nouns — e.g. profiles, paychecks, bills, bill_cycle_instances.</w:t>
      </w:r>
    </w:p>
    <w:p>
      <w:pPr>
        <w:pStyle w:val="ListParagraph"/>
        <w:numPr>
          <w:ilvl w:val="0"/>
          <w:numId w:val="4"/>
        </w:numPr>
        <w:rPr/>
      </w:pPr>
      <w:r>
        <w:rPr>
          <w:rFonts w:eastAsia="Arial" w:cs="Arial"/>
          <w:color w:val="1A1A2E"/>
          <w:sz w:val="22"/>
          <w:szCs w:val="22"/>
        </w:rPr>
        <w:t>Column names use snake_case — e.g. created_at, sync_status, cycle_amount_cents.</w:t>
      </w:r>
    </w:p>
    <w:p>
      <w:pPr>
        <w:pStyle w:val="ListParagraph"/>
        <w:numPr>
          <w:ilvl w:val="0"/>
          <w:numId w:val="4"/>
        </w:numPr>
        <w:rPr/>
      </w:pPr>
      <w:r>
        <w:rPr>
          <w:rFonts w:eastAsia="Arial" w:cs="Arial"/>
          <w:color w:val="1A1A2E"/>
          <w:sz w:val="22"/>
          <w:szCs w:val="22"/>
        </w:rPr>
        <w:t>Primary keys are named id throughout. All id fields are TEXT UUIDs.</w:t>
      </w:r>
    </w:p>
    <w:p>
      <w:pPr>
        <w:pStyle w:val="ListParagraph"/>
        <w:numPr>
          <w:ilvl w:val="0"/>
          <w:numId w:val="4"/>
        </w:numPr>
        <w:rPr/>
      </w:pPr>
      <w:r>
        <w:rPr>
          <w:rFonts w:eastAsia="Arial" w:cs="Arial"/>
          <w:color w:val="1A1A2E"/>
          <w:sz w:val="22"/>
          <w:szCs w:val="22"/>
        </w:rPr>
        <w:t>Foreign keys follow the pattern {singular_table_name}_id — e.g. profile_id, bill_id, paycheck_cycle_id.</w:t>
      </w:r>
    </w:p>
    <w:p>
      <w:pPr>
        <w:pStyle w:val="ListParagraph"/>
        <w:numPr>
          <w:ilvl w:val="0"/>
          <w:numId w:val="4"/>
        </w:numPr>
        <w:rPr/>
      </w:pPr>
      <w:r>
        <w:rPr>
          <w:rFonts w:eastAsia="Arial" w:cs="Arial"/>
          <w:color w:val="1A1A2E"/>
          <w:sz w:val="22"/>
          <w:szCs w:val="22"/>
        </w:rPr>
        <w:t>Boolean fields use INTEGER with values 0 (false) and 1 (true), consistent with SQLite's absence of a native boolean type.</w:t>
      </w:r>
    </w:p>
    <w:p>
      <w:pPr>
        <w:pStyle w:val="ListParagraph"/>
        <w:numPr>
          <w:ilvl w:val="0"/>
          <w:numId w:val="4"/>
        </w:numPr>
        <w:rPr/>
      </w:pPr>
      <w:r>
        <w:rPr>
          <w:rFonts w:eastAsia="Arial" w:cs="Arial"/>
          <w:color w:val="1A1A2E"/>
          <w:sz w:val="22"/>
          <w:szCs w:val="22"/>
        </w:rPr>
        <w:t>Timestamp fields use the _at suffix for point-in-time events (created_at, deleted_at, paid_at) and the _date suffix for calendar date fields (expected_date, due_date, purchase_date).</w:t>
      </w:r>
    </w:p>
    <w:p>
      <w:pPr>
        <w:pStyle w:val="ListParagraph"/>
        <w:numPr>
          <w:ilvl w:val="0"/>
          <w:numId w:val="4"/>
        </w:numPr>
        <w:rPr/>
      </w:pPr>
      <w:r>
        <w:rPr>
          <w:rFonts w:eastAsia="Arial" w:cs="Arial"/>
          <w:color w:val="1A1A2E"/>
          <w:sz w:val="22"/>
          <w:szCs w:val="22"/>
        </w:rPr>
        <w:t>The entity previously named 'users' is renamed profiles in this revision. In a local-first MVP with a single on-device profile, the term 'users' implies a multi-user or authentication context that does not exist. 'profiles' accurately reflects a local device profile without that implication.</w:t>
      </w:r>
    </w:p>
    <w:p>
      <w:pPr>
        <w:pStyle w:val="ListParagraph"/>
        <w:numPr>
          <w:ilvl w:val="0"/>
          <w:numId w:val="4"/>
        </w:numPr>
        <w:rPr/>
      </w:pPr>
      <w:r>
        <w:rPr>
          <w:rFonts w:eastAsia="Arial" w:cs="Arial"/>
          <w:color w:val="1A1A2E"/>
          <w:sz w:val="22"/>
          <w:szCs w:val="22"/>
        </w:rPr>
        <w:t>The foreign key previously named paycheck_id on bill_cycle_instances and purchases is renamed paycheck_cycle_id. This eliminates ambiguity between a reference to a specific paycheck income record and a reference to the paycheck record acting as the cycle anchor for a budgeting window. See Section 5.2 for a full explanation of the dual role a paycheck record plays during the MVP.</w:t>
      </w:r>
    </w:p>
    <w:p>
      <w:pPr>
        <w:pStyle w:val="Normal"/>
        <w:spacing w:before="0" w:after="160"/>
        <w:rPr/>
      </w:pPr>
      <w:r>
        <w:rPr/>
      </w:r>
    </w:p>
    <w:p>
      <w:pPr>
        <w:pStyle w:val="Heading1"/>
        <w:rPr/>
      </w:pPr>
      <w:r>
        <w:rPr/>
        <w:t>Entity Schemas</w:t>
      </w:r>
    </w:p>
    <w:p>
      <w:pPr>
        <w:pStyle w:val="Normal"/>
        <w:spacing w:before="0" w:after="140"/>
        <w:rPr/>
      </w:pPr>
      <w:r>
        <w:rPr>
          <w:rFonts w:eastAsia="Arial" w:cs="Arial"/>
          <w:color w:val="1A1A2E"/>
          <w:sz w:val="24"/>
          <w:szCs w:val="24"/>
        </w:rPr>
        <w:t>Each entity is specified with its full field inventory, type, constraints, and a description of the field's role in the application. Relationship notation is provided at the end of each section.</w:t>
      </w:r>
    </w:p>
    <w:p>
      <w:pPr>
        <w:pStyle w:val="Normal"/>
        <w:spacing w:before="0" w:after="160"/>
        <w:rPr/>
      </w:pPr>
      <w:r>
        <w:rPr/>
      </w:r>
    </w:p>
    <w:p>
      <w:pPr>
        <w:pStyle w:val="Heading2"/>
        <w:rPr/>
      </w:pPr>
      <w:r>
        <w:rPr/>
        <w:t>5.1  profiles  [Financial Core]</w:t>
      </w:r>
    </w:p>
    <w:p>
      <w:pPr>
        <w:pStyle w:val="Normal"/>
        <w:spacing w:before="0" w:after="140"/>
        <w:rPr/>
      </w:pPr>
      <w:r>
        <w:rPr>
          <w:rFonts w:eastAsia="Arial" w:cs="Arial"/>
          <w:color w:val="1A1A2E"/>
          <w:sz w:val="24"/>
          <w:szCs w:val="24"/>
        </w:rPr>
        <w:t>Stores the single on-device user profile and application-level financial configuration. One record exists per device installation. This table is the root of the entire relational graph — all other financial entities reference it via profile_id.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 Generated on first application launch. Used as the stable device identifier for future sync registration.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display_name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Optional user-provided display name. No authentication purpose — purely presentational.</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essential_reserve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0,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Reserve buffer in cents. Deducted from safe-to-spend at all times. Must be zero or a positive integer.</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currency_code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'USD'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4217 currency code. USD only for the MVP. Field exists to avoid a schema migration when multi-currency support is introduced.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onboarding_complete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(0/1). Set to 1 upon completion of the initial onboarding flow. Controls whether the app launches to onboarding or the dashboard.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Set once on record creation. Never modified.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updated_at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Updated on every modification to this record.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deleted_at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NULL indicates an active record. Set when the profile is soft-deleted. Allows a soft-deleted profile record to propagate to the sync queue for cloud-tier account deletion when the premium sync service is active.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sync_status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'local'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Enum: 'local' | 'pending' | 'synced'. Inert during MVP. Used by the future sync engine to track cloud persistence state.</w:t>
            </w:r>
          </w:p>
        </w:tc>
      </w:tr>
    </w:tbl>
    <w:p>
      <w:pPr>
        <w:pStyle w:val="Normal"/>
        <w:spacing w:before="0" w:after="80"/>
        <w:rPr/>
      </w:pPr>
      <w:r>
        <w:rPr/>
      </w:r>
    </w:p>
    <w:p>
      <w:pPr>
        <w:pStyle w:val="Normal"/>
        <w:spacing w:before="0" w:after="140"/>
        <w:rPr/>
      </w:pPr>
      <w:r>
        <w:rPr>
          <w:rFonts w:eastAsia="Arial" w:cs="Arial"/>
          <w:i/>
          <w:iCs/>
          <w:color w:val="1A1A2E"/>
          <w:sz w:val="24"/>
          <w:szCs w:val="24"/>
        </w:rPr>
        <w:t>Relationships: profiles is the root entity. All other tables reference profiles via profile_id.</w:t>
      </w:r>
    </w:p>
    <w:p>
      <w:pPr>
        <w:pStyle w:val="Normal"/>
        <w:spacing w:before="0" w:after="160"/>
        <w:rPr/>
      </w:pPr>
      <w:r>
        <w:rPr/>
      </w:r>
    </w:p>
    <w:p>
      <w:pPr>
        <w:pStyle w:val="Heading2"/>
        <w:rPr/>
      </w:pPr>
      <w:r>
        <w:rPr/>
        <w:t>5.2  paychecks  [Financial Core]</w:t>
      </w:r>
    </w:p>
    <w:p>
      <w:pPr>
        <w:pStyle w:val="Normal"/>
        <w:spacing w:before="0" w:after="140"/>
        <w:rPr/>
      </w:pPr>
      <w:r>
        <w:rPr>
          <w:rFonts w:eastAsia="Arial" w:cs="Arial"/>
          <w:color w:val="1A1A2E"/>
          <w:sz w:val="24"/>
          <w:szCs w:val="24"/>
        </w:rPr>
        <w:t>Stores all paycheck entries, both confirmed and projected. Each record serves two distinct roles in the MVP data model. As an income record, it represents expected or received income — a confirmed paycheck event that has been received and affects available balance, or a projected future paycheck that is informational only. The is_received flag is the authoritative gate controlling this role: no unconfirmed paycheck contributes to available balance or safe-to-spend under any circumstances.</w:t>
      </w:r>
    </w:p>
    <w:p>
      <w:pPr>
        <w:pStyle w:val="Normal"/>
        <w:spacing w:before="0" w:after="80"/>
        <w:rPr/>
      </w:pPr>
      <w:r>
        <w:rPr/>
      </w:r>
    </w:p>
    <w:p>
      <w:pPr>
        <w:pStyle w:val="Normal"/>
        <w:spacing w:before="0" w:after="140"/>
        <w:rPr/>
      </w:pPr>
      <w:r>
        <w:rPr>
          <w:rFonts w:eastAsia="Arial" w:cs="Arial"/>
          <w:color w:val="1A1A2E"/>
          <w:sz w:val="24"/>
          <w:szCs w:val="24"/>
        </w:rPr>
        <w:t>As a cycle anchor, each paycheck record simultaneously defines a budgeting window: the period beginning on this paycheck's expected_date and ending immediately before the next paycheck's expected_date. This window is referred to throughout this document as a paycheck cycle. Bill cycle instances and purchases are assigned to a cycle via a paycheck_cycle_id foreign key that references the paycheck record anchoring that window. The paycheck record that anchors a cycle and the income event it represents are the same record — there is no separate cycle entity in the MVP schema. A future version may introduce a dedicated paycheck_cycles table if cycle management requirements become more complex, but this is not required for MVP delivery.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profile_id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profiles.id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Owning profile.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label</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Optional descriptive label, e.g. 'Primary Employment', 'Freelance'. Supports multiple income source display.</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amount_cents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Expected or confirmed paycheck amount in cents. Must be a positive integer.</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expected_date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date string (YYYY-MM-DD). The date on which this paycheck is expected or was received.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is_received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0 = projected only; does not affect balance. 1 = confirmed received; contributes to available balance and safe-to-spend. This flag is the sole gate between informational and operational financial state.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received_at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Set at the moment the user confirms receipt. NULL for unconfirmed paychecks.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is_recurring</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1 = this paycheck is part of a recurring schedule used to generate future projected paycheck records.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recurrence_interval</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Enum: 'weekly' | 'biweekly' | 'semimonthly' | 'monthly' | NULL. Required when is_recurring = 1.</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notes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Optional free-text notes. Not used in any financial calculation.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updated_at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deleted_at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soft-delete timestamp. Soft-deleted paychecks are excluded from all balance calculations and cycle projections.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sync_status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'local'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 state enum. Inert during MVP.</w:t>
            </w:r>
          </w:p>
        </w:tc>
      </w:tr>
    </w:tbl>
    <w:p>
      <w:pPr>
        <w:pStyle w:val="Normal"/>
        <w:spacing w:before="0" w:after="80"/>
        <w:rPr/>
      </w:pPr>
      <w:r>
        <w:rPr/>
      </w:r>
    </w:p>
    <w:p>
      <w:pPr>
        <w:pStyle w:val="Normal"/>
        <w:spacing w:before="0" w:after="140"/>
        <w:rPr/>
      </w:pPr>
      <w:r>
        <w:rPr>
          <w:rFonts w:eastAsia="Arial" w:cs="Arial"/>
          <w:i/>
          <w:iCs/>
          <w:color w:val="1A1A2E"/>
          <w:sz w:val="24"/>
          <w:szCs w:val="24"/>
        </w:rPr>
        <w:t>Relationships: profiles 1:N paychecks. paychecks 1:N bill_cycle_instances (via paycheck_cycle_id — the paycheck record acts as the cycle anchor). paychecks 1:N purchases (via paycheck_cycle_id — the paycheck record acts as the cycle anchor). Note: when reading paycheck_cycle_id on any foreign key, interpret it as “the paycheck record that defines the cycle window this record belongs to”, not as a direct reference to the income event.</w:t>
      </w:r>
    </w:p>
    <w:p>
      <w:pPr>
        <w:pStyle w:val="Normal"/>
        <w:spacing w:before="0" w:after="160"/>
        <w:rPr/>
      </w:pPr>
      <w:r>
        <w:rPr/>
      </w:r>
    </w:p>
    <w:p>
      <w:pPr>
        <w:pStyle w:val="Heading2"/>
        <w:rPr/>
      </w:pPr>
      <w:r>
        <w:rPr/>
        <w:t>5.3  bills  [Financial Core]</w:t>
      </w:r>
    </w:p>
    <w:p>
      <w:pPr>
        <w:pStyle w:val="Normal"/>
        <w:spacing w:before="0" w:after="140"/>
        <w:rPr/>
      </w:pPr>
      <w:r>
        <w:rPr>
          <w:rFonts w:eastAsia="Arial" w:cs="Arial"/>
          <w:color w:val="1A1A2E"/>
          <w:sz w:val="24"/>
          <w:szCs w:val="24"/>
        </w:rPr>
        <w:t>Stores recurring bill definitions. A bill record defines the identity, recurrence schedule, type, and default amount of a recurring financial obligation. It does not track payment state — that responsibility belongs to bill_cycle_instances. Separating the bill definition from its per-cycle instances allows variable amounts, confirmations, and paid status to be managed independently for each cycle without mutating the source record.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profile_id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profiles.id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Owning profile.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name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Human-readable bill name, e.g. 'Rent', 'Electric Bill', 'Internet'.</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bill_type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Enum: 'fixed' | 'variable'. Fixed bills use a static amount each cycle. Variable bills inherit default_amount_cents as an estimate until the user confirms the actual amount for each instance.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default_amount_cents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Default or most recently confirmed amount in cents. Used as the opening estimate for all newly generated variable bill instances. Updated when the user confirms a new amount.</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recurrence_interval</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Enum: 'weekly' | 'biweekly' | 'monthly' | 'quarterly' | 'custom'.</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custom_interval_days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Number of days between instances. Required when recurrence_interval = 'custom'. NULL otherwise.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due_day_of_cycle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Day within the paycheck cycle window on which this bill is due. Used to compute the bill's due date relative to the cycle's start date (the paycheck's expected_date). NULL for calendar-anchored bills that use due_date_absolute instead.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due_date_absolute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date string. Used for bills with a fixed calendar due date that is not computed relative to a cycle window boundary. NULL for cycle-relative bills that use due_day_of_cycle instead. Exactly one of due_day_of_cycle or due_date_absolute should be non-null per bill record.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end_date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date string. The last date on which a new bill_cycle_instance should be generated. NULL indicates an indefinite obligation.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is_paused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When 1, no new bill_cycle_instances are generated and existing future instances are excluded from safe-to-spend calculations. Allows temporary suspension without deletion.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updated_at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deleted_at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soft-delete timestamp. Soft-deleted bills cease generating new instances. Existing paid instances are retained for history.</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sync_status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'local'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 state enum. Inert during MVP.</w:t>
            </w:r>
          </w:p>
        </w:tc>
      </w:tr>
    </w:tbl>
    <w:p>
      <w:pPr>
        <w:pStyle w:val="Normal"/>
        <w:spacing w:before="0" w:after="80"/>
        <w:rPr/>
      </w:pPr>
      <w:r>
        <w:rPr/>
      </w:r>
    </w:p>
    <w:p>
      <w:pPr>
        <w:pStyle w:val="Normal"/>
        <w:spacing w:before="0" w:after="140"/>
        <w:rPr/>
      </w:pPr>
      <w:r>
        <w:rPr>
          <w:rFonts w:eastAsia="Arial" w:cs="Arial"/>
          <w:i/>
          <w:iCs/>
          <w:color w:val="1A1A2E"/>
          <w:sz w:val="24"/>
          <w:szCs w:val="24"/>
        </w:rPr>
        <w:t>Relationships: profiles 1:N bills. bills 1:N bill_cycle_instances.</w:t>
      </w:r>
    </w:p>
    <w:p>
      <w:pPr>
        <w:pStyle w:val="Normal"/>
        <w:spacing w:before="0" w:after="160"/>
        <w:rPr/>
      </w:pPr>
      <w:r>
        <w:rPr/>
      </w:r>
    </w:p>
    <w:p>
      <w:pPr>
        <w:pStyle w:val="Heading2"/>
        <w:rPr/>
      </w:pPr>
      <w:r>
        <w:rPr/>
        <w:t>5.4  bill_cycle_instances  [Financial Core]</w:t>
      </w:r>
    </w:p>
    <w:p>
      <w:pPr>
        <w:pStyle w:val="Normal"/>
        <w:spacing w:before="0" w:after="140"/>
        <w:rPr/>
      </w:pPr>
      <w:r>
        <w:rPr>
          <w:rFonts w:eastAsia="Arial" w:cs="Arial"/>
          <w:color w:val="1A1A2E"/>
          <w:sz w:val="24"/>
          <w:szCs w:val="24"/>
        </w:rPr>
        <w:t>Represents a single occurrence of a recurring bill within a specific paycheck cycle window. A paycheck cycle window is defined by a paycheck record: it begins on the paycheck's expected_date and ends immediately before the next paycheck's expected_date. This is the operational payment-tracking entity — it holds the cycle-specific amount, confirmation state, and paid status for one bill within one cycle window. Safe-to-spend calculations query this table directly, summing cycle_amount_cents for all unpaid instances whose paycheck_cycle_id references the current cycle's anchor paycheck record.</w:t>
      </w:r>
    </w:p>
    <w:p>
      <w:pPr>
        <w:pStyle w:val="Normal"/>
        <w:spacing w:before="0" w:after="140"/>
        <w:rPr/>
      </w:pPr>
      <w:r>
        <w:rPr>
          <w:rFonts w:eastAsia="Arial" w:cs="Arial"/>
          <w:color w:val="1A1A2E"/>
          <w:sz w:val="24"/>
          <w:szCs w:val="24"/>
        </w:rPr>
        <w:t>Separating bill definitions (bills) from their per-cycle occurrences (bill_cycle_instances) allows each cycle to track its own payment state, confirmation status, and cycle-specific amount independently — without mutating the parent bill record. This separation is what makes variable bill confirmation, paid status, and per-cycle amount overrides possible without affecting the underlying recurring definition.</w:t>
      </w:r>
    </w:p>
    <w:p>
      <w:pPr>
        <w:pStyle w:val="Normal"/>
        <w:spacing w:before="0" w:after="16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bill_id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bills.id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Reference to the parent bill definition.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paycheck_cycle_id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paychecks.id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Reference to the paycheck record that anchors the cycle window this instance belongs to. This is the same paycheck record that represents the income event opening that cycle. During MVP, paycheck record = cycle anchor. Reading this field: “the cycle window opened by this paycheck.”</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cycle_amount_cents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The amount in cents applicable to this specific cycle. Initialized from bills.default_amount_cents. Updated when the user confirms a variable amount.</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is_variable_confirmed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For variable bills: 0 = estimated amount in use; 1 = user has confirmed the actual amount for this cycle. Fixed bill instances are always treated as confirmed.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is_paid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1 = user has marked this instance as paid for the current cycle. Paid instances are removed from the unpaid-bills deduction in safe-to-spend calculations.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paid_at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Set when is_paid transitions to 1.</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due_date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date string. The computed due date for this specific instance, derived from the parent bill's recurrence rules and the cycle window boundary (the anchoring paycheck's expected_date).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updated_at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deleted_at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soft-delete timestamp. Supports sync-safe removal of incorrectly generated instances.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sync_status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'local'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 state enum. Inert during MVP.</w:t>
            </w:r>
          </w:p>
        </w:tc>
      </w:tr>
    </w:tbl>
    <w:p>
      <w:pPr>
        <w:pStyle w:val="Normal"/>
        <w:spacing w:before="0" w:after="80"/>
        <w:rPr/>
      </w:pPr>
      <w:r>
        <w:rPr/>
      </w:r>
    </w:p>
    <w:p>
      <w:pPr>
        <w:pStyle w:val="Normal"/>
        <w:spacing w:before="0" w:after="140"/>
        <w:rPr/>
      </w:pPr>
      <w:r>
        <w:rPr>
          <w:rFonts w:eastAsia="Arial" w:cs="Arial"/>
          <w:i/>
          <w:iCs/>
          <w:color w:val="1A1A2E"/>
          <w:sz w:val="24"/>
          <w:szCs w:val="24"/>
        </w:rPr>
        <w:t>Relationships: bills 1:N bill_cycle_instances. paychecks 1:N bill_cycle_instances (via paycheck_cycle_id — each paycheck record, acting as a cycle anchor, owns the bill instances generated for its cycle window).</w:t>
      </w:r>
    </w:p>
    <w:p>
      <w:pPr>
        <w:pStyle w:val="Normal"/>
        <w:spacing w:before="0" w:after="160"/>
        <w:rPr/>
      </w:pPr>
      <w:r>
        <w:rPr/>
      </w:r>
    </w:p>
    <w:p>
      <w:pPr>
        <w:pStyle w:val="Heading3"/>
        <w:rPr/>
      </w:pPr>
      <w:r>
        <w:rPr/>
        <w:t>Instance Generation Strategy</w:t>
      </w:r>
    </w:p>
    <w:p>
      <w:pPr>
        <w:pStyle w:val="Normal"/>
        <w:spacing w:before="0" w:after="140"/>
        <w:rPr/>
      </w:pPr>
      <w:r>
        <w:rPr>
          <w:rFonts w:eastAsia="Arial" w:cs="Arial"/>
          <w:color w:val="1A1A2E"/>
          <w:sz w:val="24"/>
          <w:szCs w:val="24"/>
        </w:rPr>
        <w:t>Bill instances are generated by the on-device application layer — there is no background scheduler, no backend dependency, and no event-driven trigger required. Instance generation is a deterministic, synchronous operation called at two well-defined points: when a new paycheck record is created (which simultaneously opens a new cycle window), and when an existing cycle window is refreshed (for example, when a new bill is added or a bill’s recurrence settings are changed while a cycle is active).</w:t>
      </w:r>
    </w:p>
    <w:p>
      <w:pPr>
        <w:pStyle w:val="Normal"/>
        <w:spacing w:before="0" w:after="140"/>
        <w:rPr/>
      </w:pPr>
      <w:r>
        <w:rPr>
          <w:rFonts w:eastAsia="Arial" w:cs="Arial"/>
          <w:color w:val="1A1A2E"/>
          <w:sz w:val="24"/>
          <w:szCs w:val="24"/>
        </w:rPr>
        <w:t>The following rules govern which bills generate instances and how those instances are initialised:</w:t>
      </w:r>
    </w:p>
    <w:p>
      <w:pPr>
        <w:pStyle w:val="Normal"/>
        <w:numPr>
          <w:ilvl w:val="0"/>
          <w:numId w:val="5"/>
        </w:numPr>
        <w:spacing w:before="0" w:after="80"/>
        <w:rPr/>
      </w:pPr>
      <w:r>
        <w:rPr>
          <w:rFonts w:eastAsia="Arial" w:cs="Arial"/>
          <w:color w:val="1A1A2E"/>
          <w:sz w:val="22"/>
          <w:szCs w:val="22"/>
        </w:rPr>
        <w:t>Eligibility — only bills that are active (is_paused = 0), not soft-deleted (deleted_at IS NULL), and within their active date range (end_date IS NULL OR end_date &gt; cycle start date) are eligible to generate instances for a given cycle.</w:t>
      </w:r>
    </w:p>
    <w:p>
      <w:pPr>
        <w:pStyle w:val="Normal"/>
        <w:numPr>
          <w:ilvl w:val="0"/>
          <w:numId w:val="5"/>
        </w:numPr>
        <w:spacing w:before="0" w:after="80"/>
        <w:rPr/>
      </w:pPr>
      <w:r>
        <w:rPr>
          <w:rFonts w:eastAsia="Arial" w:cs="Arial"/>
          <w:color w:val="1A1A2E"/>
          <w:sz w:val="22"/>
          <w:szCs w:val="22"/>
        </w:rPr>
        <w:t>Due date containment — a bill generates an instance for a cycle window only if its calculated due date falls within that window’s date range: on or after the anchor paycheck’s expected_date (cycle start), and before the next paycheck’s expected_date (next cycle start). Bills whose due date falls outside the cycle window boundaries do not generate an instance for that cycle.</w:t>
      </w:r>
    </w:p>
    <w:p>
      <w:pPr>
        <w:pStyle w:val="Normal"/>
        <w:numPr>
          <w:ilvl w:val="0"/>
          <w:numId w:val="5"/>
        </w:numPr>
        <w:spacing w:before="0" w:after="80"/>
        <w:rPr/>
      </w:pPr>
      <w:r>
        <w:rPr>
          <w:rFonts w:eastAsia="Arial" w:cs="Arial"/>
          <w:color w:val="1A1A2E"/>
          <w:sz w:val="22"/>
          <w:szCs w:val="22"/>
        </w:rPr>
        <w:t>Fixed bill initialisation — instances generated from fixed bills (bill_type = ‘fixed’) are created with cycle_amount_cents set to the parent bill’s default_amount_cents and is_variable_confirmed set to 1. Fixed bills require no user confirmation and are treated as confirmed from the moment of creation.</w:t>
      </w:r>
    </w:p>
    <w:p>
      <w:pPr>
        <w:pStyle w:val="Normal"/>
        <w:numPr>
          <w:ilvl w:val="0"/>
          <w:numId w:val="5"/>
        </w:numPr>
        <w:spacing w:before="0" w:after="80"/>
        <w:rPr/>
      </w:pPr>
      <w:r>
        <w:rPr>
          <w:rFonts w:eastAsia="Arial" w:cs="Arial"/>
          <w:color w:val="1A1A2E"/>
          <w:sz w:val="22"/>
          <w:szCs w:val="22"/>
        </w:rPr>
        <w:t>Variable bill initialisation — instances generated from variable bills (bill_type = ‘variable’) are created with cycle_amount_cents set to the parent bill’s default_amount_cents as an opening estimate and is_variable_confirmed set to 0. The estimate reduces safe-to-spend immediately. It remains in effect until the user reviews and confirms the actual amount for that cycle, at which point cycle_amount_cents is updated, is_variable_confirmed is set to 1, and safe-to-spend recalculates.</w:t>
      </w:r>
    </w:p>
    <w:p>
      <w:pPr>
        <w:pStyle w:val="Normal"/>
        <w:numPr>
          <w:ilvl w:val="0"/>
          <w:numId w:val="5"/>
        </w:numPr>
        <w:spacing w:before="0" w:after="80"/>
        <w:rPr/>
      </w:pPr>
      <w:r>
        <w:rPr>
          <w:rFonts w:eastAsia="Arial" w:cs="Arial"/>
          <w:color w:val="1A1A2E"/>
          <w:sz w:val="22"/>
          <w:szCs w:val="22"/>
        </w:rPr>
        <w:t>Paused, deleted, and ended bills — bills with is_paused = 1, a non-null deleted_at, or an end_date that has passed do not generate new instances. Existing paid instances from these bills in prior cycles are preserved and unaffected.</w:t>
      </w:r>
    </w:p>
    <w:p>
      <w:pPr>
        <w:pStyle w:val="Normal"/>
        <w:spacing w:before="0" w:after="160"/>
        <w:rPr/>
      </w:pPr>
      <w:r>
        <w:rPr/>
      </w:r>
    </w:p>
    <w:p>
      <w:pPr>
        <w:pStyle w:val="Heading3"/>
        <w:rPr/>
      </w:pPr>
      <w:r>
        <w:rPr/>
        <w:t>Uniqueness Constraint and Idempotency</w:t>
      </w:r>
    </w:p>
    <w:p>
      <w:pPr>
        <w:pStyle w:val="Normal"/>
        <w:spacing w:before="0" w:after="140"/>
        <w:rPr/>
      </w:pPr>
      <w:r>
        <w:rPr>
          <w:rFonts w:eastAsia="Arial" w:cs="Arial"/>
          <w:color w:val="1A1A2E"/>
          <w:sz w:val="24"/>
          <w:szCs w:val="24"/>
        </w:rPr>
        <w:t>Instance generation must be idempotent. Calling the generation routine multiple times for the same cycle — whether triggered by a bill update, an app restart, or a cycle refresh — must produce no duplicate instances and no error. This is enforced through a combination of a database-level uniqueness constraint and an application-layer existence check.</w:t>
      </w:r>
    </w:p>
    <w:p>
      <w:pPr>
        <w:pStyle w:val="Normal"/>
        <w:spacing w:before="0" w:after="140"/>
        <w:rPr/>
      </w:pPr>
      <w:r>
        <w:rPr>
          <w:rFonts w:eastAsia="Arial" w:cs="Arial"/>
          <w:color w:val="1A1A2E"/>
          <w:sz w:val="24"/>
          <w:szCs w:val="24"/>
        </w:rPr>
        <w:t>A UNIQUE constraint is applied to the combination of (bill_id, paycheck_cycle_id, due_date). This three-column key uniquely identifies one bill occurrence within one cycle on one due date. Any attempt to insert a duplicate row violates this constraint and is rejected at the database level, providing a hard safety net independent of application logic.</w:t>
      </w:r>
    </w:p>
    <w:p>
      <w:pPr>
        <w:pStyle w:val="Normal"/>
        <w:spacing w:before="0" w:after="140"/>
        <w:rPr/>
      </w:pPr>
      <w:r>
        <w:rPr>
          <w:rFonts w:eastAsia="Arial" w:cs="Arial"/>
          <w:color w:val="1A1A2E"/>
          <w:sz w:val="24"/>
          <w:szCs w:val="24"/>
        </w:rPr>
        <w:t>At the application layer, the generation routine performs an existence check before each INSERT: if a non-deleted instance already exists for a given (bill_id, paycheck_cycle_id, due_date) combination, that bill is skipped and no INSERT is attempted. This keeps the routine safe to call at any time without side effects, and avoids relying on constraint violations as flow control.</w:t>
      </w:r>
    </w:p>
    <w:p>
      <w:pPr>
        <w:pStyle w:val="Normal"/>
        <w:spacing w:before="0" w:after="140"/>
        <w:rPr/>
      </w:pPr>
      <w:r>
        <w:rPr>
          <w:rFonts w:eastAsia="Arial" w:cs="Arial"/>
          <w:color w:val="1A1A2E"/>
          <w:sz w:val="24"/>
          <w:szCs w:val="24"/>
        </w:rPr>
        <w:t>Note: soft-deleted instances (deleted_at IS NOT NULL) are excluded from the existence check. If a previously generated instance was soft-deleted, a fresh instance may be re-generated for that same (bill_id, paycheck_cycle_id, due_date) combination. The uniqueness constraint only guards against duplicate active instances.</w:t>
      </w:r>
    </w:p>
    <w:p>
      <w:pPr>
        <w:pStyle w:val="Normal"/>
        <w:spacing w:before="0" w:after="140"/>
        <w:rPr/>
      </w:pPr>
      <w:r>
        <w:rPr>
          <w:rFonts w:eastAsia="Arial" w:cs="Arial"/>
          <w:i/>
          <w:iCs/>
          <w:color w:val="5A5A6E"/>
          <w:sz w:val="22"/>
          <w:szCs w:val="22"/>
        </w:rPr>
        <w:t>Schema note: the UNIQUE constraint on (bill_id, paycheck_cycle_id, due_date) should be defined as a named constraint in the CREATE TABLE statement, e.g. CONSTRAINT uq_bill_cycle_instance UNIQUE (bill_id, paycheck_cycle_id, due_date). A corresponding index — idx_bill_instances_uniqueness on (bill_id, paycheck_cycle_id, due_date) — is added to the indexing strategy in Section 11.</w:t>
      </w:r>
    </w:p>
    <w:p>
      <w:pPr>
        <w:pStyle w:val="Normal"/>
        <w:spacing w:before="0" w:after="160"/>
        <w:rPr/>
      </w:pPr>
      <w:r>
        <w:rPr/>
      </w:r>
    </w:p>
    <w:p>
      <w:pPr>
        <w:pStyle w:val="Heading2"/>
        <w:rPr/>
      </w:pPr>
      <w:r>
        <w:rPr/>
        <w:t>5.5  purchases  [Financial Core]</w:t>
      </w:r>
    </w:p>
    <w:p>
      <w:pPr>
        <w:pStyle w:val="Normal"/>
        <w:spacing w:before="0" w:after="140"/>
        <w:rPr/>
      </w:pPr>
      <w:r>
        <w:rPr>
          <w:rFonts w:eastAsia="Arial" w:cs="Arial"/>
          <w:color w:val="1A1A2E"/>
          <w:sz w:val="24"/>
          <w:szCs w:val="24"/>
        </w:rPr>
        <w:t>Stores all manually entered one-time transactions. Both Charged and Pending purchases reduce safe-to-spend immediately upon insertion — state does not gate financial impact. The state field exists to visually distinguish settled transactions from unsettled holds, and to support the pending-purchase reminder logic defined in the FRS.</w:t>
      </w:r>
    </w:p>
    <w:p>
      <w:pPr>
        <w:pStyle w:val="Normal"/>
        <w:spacing w:before="0" w:after="80"/>
        <w:rPr/>
      </w:pPr>
      <w:r>
        <w:rPr/>
      </w:r>
    </w:p>
    <w:p>
      <w:pPr>
        <w:pStyle w:val="Normal"/>
        <w:spacing w:before="0" w:after="140"/>
        <w:rPr/>
      </w:pPr>
      <w:r>
        <w:rPr>
          <w:rFonts w:eastAsia="Arial" w:cs="Arial"/>
          <w:color w:val="1A1A2E"/>
          <w:sz w:val="24"/>
          <w:szCs w:val="24"/>
        </w:rPr>
        <w:t>Purchases are assigned to a paycheck cycle window via paycheck_cycle_id at the time of entry. Assignment is determined by comparing the purchase_date against the active cycle window boundaries: the anchor paycheck's expected_date (inclusive) through the next paycheck's expected_date (exclusive). The paycheck_cycle_id field stores a reference to the paycheck record that anchors the window the purchase falls within. This assignment determines which cycle window's projected balance the purchase affects.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profile_id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profiles.id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Owning profile.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amount_cents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Purchase amount in cents. Must be a positive integer. Sign is implicitly negative — purchases always reduce balance.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state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'charged'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Enum: 'charged' | 'pending'. Both states reduce safe-to-spend immediately. 'pending' indicates an unsettled transaction that may still change (e.g. a restaurant tip hold or gas station authorization).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description</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Optional short user-provided description. No category field — consistent with the MVP's category-free budgeting model.</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purchase_date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date string. The date of the purchase as entered by the user.</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paycheck_cycle_id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 FK → paychecks.id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Reference to the paycheck record that anchors the cycle window this purchase is assigned to. Assigned automatically based on purchase_date at entry time. NULL when no active cycle window contains the purchase_date (for example, before the first paycheck has been entered). Reading this field: “the cycle window opened by this paycheck.”</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resolved_at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Set when a pending purchase is transitioned to charged or deleted, indicating the hold has settled.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updated_at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deleted_at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soft-delete timestamp. Soft-deleted purchases are excluded from all balance and safe-to-spend calculations but retained in the activity log.</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sync_status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'local'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 state enum. Inert during MVP.</w:t>
            </w:r>
          </w:p>
        </w:tc>
      </w:tr>
    </w:tbl>
    <w:p>
      <w:pPr>
        <w:pStyle w:val="Normal"/>
        <w:spacing w:before="0" w:after="80"/>
        <w:rPr/>
      </w:pPr>
      <w:r>
        <w:rPr/>
      </w:r>
    </w:p>
    <w:p>
      <w:pPr>
        <w:pStyle w:val="Normal"/>
        <w:spacing w:before="0" w:after="140"/>
        <w:rPr/>
      </w:pPr>
      <w:r>
        <w:rPr>
          <w:rFonts w:eastAsia="Arial" w:cs="Arial"/>
          <w:i/>
          <w:iCs/>
          <w:color w:val="1A1A2E"/>
          <w:sz w:val="24"/>
          <w:szCs w:val="24"/>
        </w:rPr>
        <w:t>Relationships: profiles 1:N purchases. paychecks 1:N purchases (via paycheck_cycle_id — each paycheck record, acting as a cycle anchor, owns the purchases assigned to its cycle window).</w:t>
      </w:r>
    </w:p>
    <w:p>
      <w:pPr>
        <w:pStyle w:val="Normal"/>
        <w:spacing w:before="0" w:after="160"/>
        <w:rPr/>
      </w:pPr>
      <w:r>
        <w:rPr/>
      </w:r>
    </w:p>
    <w:p>
      <w:pPr>
        <w:pStyle w:val="Heading2"/>
        <w:rPr/>
      </w:pPr>
      <w:r>
        <w:rPr/>
        <w:t>5.6  balance_adjustments  [Financial Core]</w:t>
      </w:r>
    </w:p>
    <w:p>
      <w:pPr>
        <w:pStyle w:val="Normal"/>
        <w:spacing w:before="0" w:after="140"/>
        <w:rPr/>
      </w:pPr>
      <w:r>
        <w:rPr>
          <w:rFonts w:eastAsia="Arial" w:cs="Arial"/>
          <w:color w:val="1A1A2E"/>
          <w:sz w:val="24"/>
          <w:szCs w:val="24"/>
        </w:rPr>
        <w:t>Records every manual balance override performed by the user. These records are immutable once written — balance corrections are enacted by creating new records, never by modifying existing ones. This append-only design preserves a complete, auditable history of all balance interventions and allows the application to reconstruct the adjustment timeline at any point.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profile_id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profiles.id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Owning profile.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previous_balance_cents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The calculated balance in cents immediately prior to this adjustment.</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adjusted_balance_cents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The new balance in cents as set by the user.</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delta_cents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Computed difference: adjusted_balance_cents minus previous_balance_cents. May be negative. Stored for query efficiency.</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reason</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Optional user-provided reason for the adjustment, e.g. 'Bank correction' or 'Forgot to log cash withdrawal'.</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Immutable once written.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deleted_at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soft-delete timestamp. Allows a mistaken adjustment to be excluded from balance calculations without destroying the record.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sync_status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'local'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 state enum. Inert during MVP.</w:t>
            </w:r>
          </w:p>
        </w:tc>
      </w:tr>
    </w:tbl>
    <w:p>
      <w:pPr>
        <w:pStyle w:val="Normal"/>
        <w:spacing w:before="0" w:after="80"/>
        <w:rPr/>
      </w:pPr>
      <w:r>
        <w:rPr/>
      </w:r>
    </w:p>
    <w:p>
      <w:pPr>
        <w:pStyle w:val="Normal"/>
        <w:spacing w:before="0" w:after="140"/>
        <w:rPr/>
      </w:pPr>
      <w:r>
        <w:rPr>
          <w:rFonts w:eastAsia="Arial" w:cs="Arial"/>
          <w:i/>
          <w:iCs/>
          <w:color w:val="1A1A2E"/>
          <w:sz w:val="24"/>
          <w:szCs w:val="24"/>
        </w:rPr>
        <w:t>Relationships: profiles 1:N balance_adjustments.</w:t>
      </w:r>
    </w:p>
    <w:p>
      <w:pPr>
        <w:pStyle w:val="Normal"/>
        <w:spacing w:before="0" w:after="160"/>
        <w:rPr/>
      </w:pPr>
      <w:r>
        <w:rPr/>
      </w:r>
    </w:p>
    <w:p>
      <w:pPr>
        <w:pStyle w:val="Heading2"/>
        <w:rPr/>
      </w:pPr>
      <w:r>
        <w:rPr/>
        <w:t>5.7  activity_log  [Operational Support]</w:t>
      </w:r>
    </w:p>
    <w:p>
      <w:pPr>
        <w:pStyle w:val="Normal"/>
        <w:spacing w:before="0" w:after="140"/>
        <w:rPr/>
      </w:pPr>
      <w:r>
        <w:rPr>
          <w:rFonts w:eastAsia="Arial" w:cs="Arial"/>
          <w:color w:val="1A1A2E"/>
          <w:sz w:val="24"/>
          <w:szCs w:val="24"/>
        </w:rPr>
        <w:t>A lightweight, append-only audit trail of significant financial and operational events within the application. Records in this table are never modified or deleted — it is a true event log. It serves two purposes: providing the profile owner with a transparent history of all meaningful state changes, and providing a diagnostic reference for investigating financial discrepancies during development and testing.</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profile_id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profiles.id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Owning profile.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event_type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Enum of defined event types. Full set: 'purchase_added' | 'purchase_updated' | 'purchase_deleted' | 'purchase_state_changed' | 'paycheck_confirmed' | 'paycheck_adjusted' | 'paycheck_added' | 'paycheck_deleted' | 'bill_added' | 'bill_updated' | 'bill_paused' | 'bill_resumed' | 'bill_deleted' | 'bill_paid' | 'variable_bill_confirmed' | 'balance_adjusted' | 'reserve_updated' | 'import_completed' | 'backup_exported' | 'backup_restored'.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entity_type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The entity category affected: 'purchase' | 'paycheck' | 'bill' | 'bill_instance' | 'balance' | 'import' | 'backup'.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entity_id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of the affected entity record, where applicable. NULL for aggregate or system-level events.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summary</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Human-readable event summary for display in the activity history view, e.g. 'Added purchase: $24.50'.</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of the event. Immutable. Never updated.</w:t>
            </w:r>
          </w:p>
        </w:tc>
      </w:tr>
    </w:tbl>
    <w:p>
      <w:pPr>
        <w:pStyle w:val="Normal"/>
        <w:spacing w:before="0" w:after="80"/>
        <w:rPr/>
      </w:pPr>
      <w:r>
        <w:rPr/>
      </w:r>
    </w:p>
    <w:p>
      <w:pPr>
        <w:pStyle w:val="Normal"/>
        <w:spacing w:before="0" w:after="140"/>
        <w:rPr/>
      </w:pPr>
      <w:r>
        <w:rPr>
          <w:rFonts w:eastAsia="Arial" w:cs="Arial"/>
          <w:i/>
          <w:iCs/>
          <w:color w:val="1A1A2E"/>
          <w:sz w:val="24"/>
          <w:szCs w:val="24"/>
        </w:rPr>
        <w:t>Note: activity_log intentionally has no deleted_at or sync_status fields. It is a local diagnostic and history record only. It is excluded from future synchronization scope to keep the log device-local and free of cross-device merge complexity.</w:t>
      </w:r>
    </w:p>
    <w:p>
      <w:pPr>
        <w:pStyle w:val="Normal"/>
        <w:spacing w:before="0" w:after="80"/>
        <w:rPr/>
      </w:pPr>
      <w:r>
        <w:rPr/>
      </w:r>
    </w:p>
    <w:p>
      <w:pPr>
        <w:pStyle w:val="Normal"/>
        <w:spacing w:before="0" w:after="140"/>
        <w:rPr/>
      </w:pPr>
      <w:r>
        <w:rPr>
          <w:rFonts w:eastAsia="Arial" w:cs="Arial"/>
          <w:i/>
          <w:iCs/>
          <w:color w:val="1A1A2E"/>
          <w:sz w:val="24"/>
          <w:szCs w:val="24"/>
        </w:rPr>
        <w:t>Relationships: profiles 1:N activity_log.</w:t>
      </w:r>
    </w:p>
    <w:p>
      <w:pPr>
        <w:pStyle w:val="Normal"/>
        <w:spacing w:before="0" w:after="160"/>
        <w:rPr/>
      </w:pPr>
      <w:r>
        <w:rPr/>
      </w:r>
    </w:p>
    <w:p>
      <w:pPr>
        <w:pStyle w:val="Heading2"/>
        <w:rPr/>
      </w:pPr>
      <w:r>
        <w:rPr/>
        <w:t>5.8  notification_settings  [Operational Support]</w:t>
      </w:r>
    </w:p>
    <w:p>
      <w:pPr>
        <w:pStyle w:val="Normal"/>
        <w:spacing w:before="0" w:after="140"/>
        <w:rPr/>
      </w:pPr>
      <w:r>
        <w:rPr>
          <w:rFonts w:eastAsia="Arial" w:cs="Arial"/>
          <w:color w:val="1A1A2E"/>
          <w:sz w:val="24"/>
          <w:szCs w:val="24"/>
        </w:rPr>
        <w:t>Stores per-profile notification preferences. A single record exists per profile, created with default values during onboarding. This table separates notification configuration from the profiles table to keep profile records lightweight and to allow notification preferences to evolve independently.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profile_id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UNIQUE, FK → profiles.id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Owning profile. UNIQUE enforces the one-record-per-profile constraint at the database level.</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notifications_enabled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1</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Master toggle. When 0, all notification types are suppressed regardless of individual settings.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pending_purchase_reminder</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1</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When 1, a single soft reminder is issued for pending purchases that remain unresolved beyond the configured threshold.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pending_reminder_days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7,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Number of days after which an unresolved pending purchase triggers a reminder. Default is 7 days.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low_balance_alert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1</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When 1, an elevated (but calm) notification is issued when a projected negative balance is detected.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upcoming_bill_reminder</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1</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Boolean. When 1, a reminder is issued for bills due within the configured advance notice window.</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bill_reminder_days_before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2,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Number of days before a bill due date at which an upcoming bill reminder is issued. Default is 2 days.</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updated_at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sync_status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'local'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Sync state enum. Preferences will sync to cloud for multi-device consistency in the premium tier.</w:t>
            </w:r>
          </w:p>
        </w:tc>
      </w:tr>
    </w:tbl>
    <w:p>
      <w:pPr>
        <w:pStyle w:val="Normal"/>
        <w:spacing w:before="0" w:after="80"/>
        <w:rPr/>
      </w:pPr>
      <w:r>
        <w:rPr/>
      </w:r>
    </w:p>
    <w:p>
      <w:pPr>
        <w:pStyle w:val="Normal"/>
        <w:spacing w:before="0" w:after="140"/>
        <w:rPr/>
      </w:pPr>
      <w:r>
        <w:rPr>
          <w:rFonts w:eastAsia="Arial" w:cs="Arial"/>
          <w:i/>
          <w:iCs/>
          <w:color w:val="1A1A2E"/>
          <w:sz w:val="24"/>
          <w:szCs w:val="24"/>
        </w:rPr>
        <w:t>Relationships: profiles 1:1 notification_settings.</w:t>
      </w:r>
    </w:p>
    <w:p>
      <w:pPr>
        <w:pStyle w:val="Normal"/>
        <w:spacing w:before="0" w:after="160"/>
        <w:rPr/>
      </w:pPr>
      <w:r>
        <w:rPr/>
      </w:r>
    </w:p>
    <w:p>
      <w:pPr>
        <w:pStyle w:val="Heading2"/>
        <w:rPr/>
      </w:pPr>
      <w:r>
        <w:rPr/>
        <w:t>5.9  import_suggestions  [Import Processing]</w:t>
      </w:r>
    </w:p>
    <w:p>
      <w:pPr>
        <w:pStyle w:val="Normal"/>
        <w:spacing w:before="0" w:after="140"/>
        <w:rPr/>
      </w:pPr>
      <w:r>
        <w:rPr>
          <w:rFonts w:eastAsia="Arial" w:cs="Arial"/>
          <w:color w:val="1A1A2E"/>
          <w:sz w:val="24"/>
          <w:szCs w:val="24"/>
        </w:rPr>
        <w:t>Stores transient recurring expense suggestions generated by the CSV/PDF import pipeline, pending user review and confirmation. Records in this table are temporary — they represent the intermediate state of an import workflow and are not financial data. Every record must be resolved through user action (confirmed, edited, or rejected) before the import workflow is considered complete.</w:t>
      </w:r>
    </w:p>
    <w:p>
      <w:pPr>
        <w:pStyle w:val="Normal"/>
        <w:spacing w:before="0" w:after="80"/>
        <w:rPr/>
      </w:pPr>
      <w:r>
        <w:rPr/>
      </w:r>
    </w:p>
    <w:p>
      <w:pPr>
        <w:pStyle w:val="Normal"/>
        <w:spacing w:before="0" w:after="140"/>
        <w:rPr/>
      </w:pPr>
      <w:r>
        <w:rPr>
          <w:rFonts w:eastAsia="Arial" w:cs="Arial"/>
          <w:color w:val="1A1A2E"/>
          <w:sz w:val="24"/>
          <w:szCs w:val="24"/>
        </w:rPr>
        <w:t>Upon user confirmation, a confirmed suggestion is used to create a corresponding bill record and the suggestion record is marked resolved. Upon rejection, the record is soft-deleted with no downstream effect. Raw imported file content is never stored in this table or anywhere in the database — the parser extracts only the minimum fields necessary for recurring expense detection.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profile_id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profiles.id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Owning profile.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suggested_name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Merchant or payee name extracted from the import, used as the suggested bill name.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suggested_amount_cents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Suggested recurring amount in cents, derived from the most recent detected occurrence.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detected_interval</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Detected recurrence pattern: 'weekly' | 'biweekly' | 'monthly' | 'quarterly' | 'irregular'. 'irregular' indicates a recurring pattern was detected but the interval is inconsistent.</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occurrence_count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CHECK &gt; 0</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Number of occurrences detected in the imported statement. Higher counts indicate higher confidence in the suggestion.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import_session_id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identifying the import session that generated this suggestion. Groups all suggestions from a single import for batch review display.</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status</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DEFAULT 'pending'</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Enum: 'pending' | 'confirmed' | 'rejected'. 'pending' = awaiting user review. 'confirmed' = user approved and a bill record was created. 'rejected' = user dismissed.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confirmed_bill_id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 FK → bills.id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Reference to the bill record created upon confirmation. NULL until confirmed.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resolved_at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Set when status transitions from 'pending' to 'confirmed' or 'rejected'.</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deleted_at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soft-delete timestamp. Used for rejected suggestions to support sync-safe cleanup.</w:t>
            </w:r>
          </w:p>
        </w:tc>
      </w:tr>
    </w:tbl>
    <w:p>
      <w:pPr>
        <w:pStyle w:val="Normal"/>
        <w:spacing w:before="0" w:after="80"/>
        <w:rPr/>
      </w:pPr>
      <w:r>
        <w:rPr/>
      </w:r>
    </w:p>
    <w:p>
      <w:pPr>
        <w:pStyle w:val="Normal"/>
        <w:spacing w:before="0" w:after="140"/>
        <w:rPr/>
      </w:pPr>
      <w:r>
        <w:rPr>
          <w:rFonts w:eastAsia="Arial" w:cs="Arial"/>
          <w:i/>
          <w:iCs/>
          <w:color w:val="1A1A2E"/>
          <w:sz w:val="24"/>
          <w:szCs w:val="24"/>
        </w:rPr>
        <w:t>Note: import_suggestions has no sync_status field. Import workflow data is strictly local and transient — it is not a candidate for cloud synchronization.</w:t>
      </w:r>
    </w:p>
    <w:p>
      <w:pPr>
        <w:pStyle w:val="Normal"/>
        <w:spacing w:before="0" w:after="80"/>
        <w:rPr/>
      </w:pPr>
      <w:r>
        <w:rPr/>
      </w:r>
    </w:p>
    <w:p>
      <w:pPr>
        <w:pStyle w:val="Normal"/>
        <w:spacing w:before="0" w:after="140"/>
        <w:rPr/>
      </w:pPr>
      <w:r>
        <w:rPr>
          <w:rFonts w:eastAsia="Arial" w:cs="Arial"/>
          <w:i/>
          <w:iCs/>
          <w:color w:val="1A1A2E"/>
          <w:sz w:val="24"/>
          <w:szCs w:val="24"/>
        </w:rPr>
        <w:t>Relationships: profiles 1:N import_suggestions. import_suggestions N:1 bills (via confirmed_bill_id, nullable).</w:t>
      </w:r>
    </w:p>
    <w:p>
      <w:pPr>
        <w:pStyle w:val="Normal"/>
        <w:spacing w:before="0" w:after="160"/>
        <w:rPr/>
      </w:pPr>
      <w:r>
        <w:rPr/>
      </w:r>
    </w:p>
    <w:p>
      <w:pPr>
        <w:pStyle w:val="Heading2"/>
        <w:rPr/>
      </w:pPr>
      <w:r>
        <w:rPr/>
        <w:t>5.10  backup_metadata  [Operational Support]</w:t>
      </w:r>
    </w:p>
    <w:p>
      <w:pPr>
        <w:pStyle w:val="Normal"/>
        <w:spacing w:before="0" w:after="140"/>
        <w:rPr/>
      </w:pPr>
      <w:r>
        <w:rPr>
          <w:rFonts w:eastAsia="Arial" w:cs="Arial"/>
          <w:color w:val="1A1A2E"/>
          <w:sz w:val="24"/>
          <w:szCs w:val="24"/>
        </w:rPr>
        <w:t>Records local backup export and restore events. Provides a lightweight audit trail of backup activity and allows the application to report the last backup timestamp to the user. Does not store backup file content.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Field</w:t>
            </w:r>
          </w:p>
        </w:tc>
        <w:tc>
          <w:tcPr>
            <w:tcW w:w="95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Type</w:t>
            </w:r>
          </w:p>
        </w:tc>
        <w:tc>
          <w:tcPr>
            <w:tcW w:w="204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Constraints</w:t>
            </w:r>
          </w:p>
        </w:tc>
        <w:tc>
          <w:tcPr>
            <w:tcW w:w="4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0"/>
                <w:szCs w:val="20"/>
              </w:rPr>
              <w:t>Description</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PRIMARY KEY</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UUID v4.</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profile_id</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 FK → profiles.id</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Owning profile.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event_type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Enum: 'export' | 'restore'.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file_name</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File name of the backup file at time of export or restore.</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record_count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INTEGER</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Total number of financial entity records included in the backup snapshot at time of export.</w:t>
            </w:r>
          </w:p>
        </w:tc>
      </w:tr>
      <w:tr>
        <w:trPr/>
        <w:tc>
          <w:tcPr>
            <w:tcW w:w="15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created_at</w:t>
            </w:r>
          </w:p>
        </w:tc>
        <w:tc>
          <w:tcPr>
            <w:tcW w:w="95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TEXT</w:t>
            </w:r>
          </w:p>
        </w:tc>
        <w:tc>
          <w:tcPr>
            <w:tcW w:w="204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NOT NULL</w:t>
            </w:r>
          </w:p>
        </w:tc>
        <w:tc>
          <w:tcPr>
            <w:tcW w:w="4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0"/>
                <w:szCs w:val="20"/>
              </w:rPr>
              <w:t>ISO 8601 UTC timestamp of the event.</w:t>
            </w:r>
          </w:p>
        </w:tc>
      </w:tr>
    </w:tbl>
    <w:p>
      <w:pPr>
        <w:pStyle w:val="Normal"/>
        <w:spacing w:before="0" w:after="80"/>
        <w:rPr/>
      </w:pPr>
      <w:r>
        <w:rPr/>
      </w:r>
    </w:p>
    <w:p>
      <w:pPr>
        <w:pStyle w:val="Normal"/>
        <w:spacing w:before="0" w:after="140"/>
        <w:rPr/>
      </w:pPr>
      <w:r>
        <w:rPr>
          <w:rFonts w:eastAsia="Arial" w:cs="Arial"/>
          <w:i/>
          <w:iCs/>
          <w:color w:val="1A1A2E"/>
          <w:sz w:val="24"/>
          <w:szCs w:val="24"/>
        </w:rPr>
        <w:t>Relationships: profiles 1:N backup_metadata.</w:t>
      </w:r>
    </w:p>
    <w:p>
      <w:pPr>
        <w:pStyle w:val="Normal"/>
        <w:spacing w:before="0" w:after="160"/>
        <w:rPr/>
      </w:pPr>
      <w:r>
        <w:rPr/>
      </w:r>
    </w:p>
    <w:p>
      <w:pPr>
        <w:pStyle w:val="Heading1"/>
        <w:rPr/>
      </w:pPr>
      <w:r>
        <w:rPr/>
        <w:t>Monetary Value Storage</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A8C8E8"/>
              <w:start w:val="single" w:sz="2" w:space="0" w:color="A8C8E8"/>
              <w:bottom w:val="single" w:sz="2" w:space="0" w:color="A8C8E8"/>
              <w:end w:val="single" w:sz="2" w:space="0" w:color="A8C8E8"/>
            </w:tcBorders>
            <w:shd w:fill="EAF3FA" w:val="clear"/>
          </w:tcPr>
          <w:p>
            <w:pPr>
              <w:pStyle w:val="Normal"/>
              <w:rPr/>
            </w:pPr>
            <w:r>
              <w:rPr>
                <w:rFonts w:eastAsia="Arial" w:cs="Arial"/>
                <w:b/>
                <w:bCs/>
                <w:color w:val="1B5E8C"/>
                <w:sz w:val="22"/>
                <w:szCs w:val="22"/>
              </w:rPr>
              <w:t>All monetary values are stored as INTEGER cents. This is a deliberate engineering decision, not a simplification.</w:t>
            </w:r>
          </w:p>
        </w:tc>
      </w:tr>
    </w:tbl>
    <w:p>
      <w:pPr>
        <w:pStyle w:val="Normal"/>
        <w:spacing w:before="0" w:after="80"/>
        <w:rPr/>
      </w:pPr>
      <w:r>
        <w:rPr/>
      </w:r>
    </w:p>
    <w:p>
      <w:pPr>
        <w:pStyle w:val="Normal"/>
        <w:spacing w:before="0" w:after="140"/>
        <w:rPr/>
      </w:pPr>
      <w:r>
        <w:rPr>
          <w:rFonts w:eastAsia="Arial" w:cs="Arial"/>
          <w:color w:val="1A1A2E"/>
          <w:sz w:val="24"/>
          <w:szCs w:val="24"/>
        </w:rPr>
        <w:t>SQLite does not enforce column type constraints — it uses dynamic type affinity rather than strict column types. In practice, this means that a column declared as NUMERIC or DECIMAL provides no actual precision guarantee at the storage layer. A value inserted as 42.10 may be stored and retrieved as 42.09999999999999787 due to IEEE 754 floating-point representation.</w:t>
      </w:r>
    </w:p>
    <w:p>
      <w:pPr>
        <w:pStyle w:val="Normal"/>
        <w:spacing w:before="0" w:after="80"/>
        <w:rPr/>
      </w:pPr>
      <w:r>
        <w:rPr/>
      </w:r>
    </w:p>
    <w:p>
      <w:pPr>
        <w:pStyle w:val="Normal"/>
        <w:spacing w:before="0" w:after="140"/>
        <w:rPr/>
      </w:pPr>
      <w:r>
        <w:rPr>
          <w:rFonts w:eastAsia="Arial" w:cs="Arial"/>
          <w:color w:val="1A1A2E"/>
          <w:sz w:val="24"/>
          <w:szCs w:val="24"/>
        </w:rPr>
        <w:t>For a financial application where safe-to-spend calculations involve summing multiple bills, purchases, and reserve amounts, floating-point drift accumulates with each operation. The result is financial calculations that produce results like $127.99 instead of $128.00 — inconsistencies that are invisible to the database but produce incorrect displays and erode user trust.</w:t>
      </w:r>
    </w:p>
    <w:p>
      <w:pPr>
        <w:pStyle w:val="Normal"/>
        <w:spacing w:before="0" w:after="80"/>
        <w:rPr/>
      </w:pPr>
      <w:r>
        <w:rPr/>
      </w:r>
    </w:p>
    <w:p>
      <w:pPr>
        <w:pStyle w:val="Normal"/>
        <w:spacing w:before="0" w:after="140"/>
        <w:rPr/>
      </w:pPr>
      <w:r>
        <w:rPr>
          <w:rFonts w:eastAsia="Arial" w:cs="Arial"/>
          <w:color w:val="1A1A2E"/>
          <w:sz w:val="24"/>
          <w:szCs w:val="24"/>
        </w:rPr>
        <w:t>Storing all monetary values as INTEGER cents eliminates this class of error entirely. Integer arithmetic is exact in all languages and environments. $42.10 is stored as 4210. Summing 4210 + 1500 + 700 always produces 6410, which displays as $64.10. There is no rounding, no drift, and no edge case.</w:t>
      </w:r>
    </w:p>
    <w:p>
      <w:pPr>
        <w:pStyle w:val="Normal"/>
        <w:spacing w:before="0" w:after="80"/>
        <w:rPr/>
      </w:pPr>
      <w:r>
        <w:rPr/>
      </w:r>
    </w:p>
    <w:p>
      <w:pPr>
        <w:pStyle w:val="Normal"/>
        <w:spacing w:before="0" w:after="140"/>
        <w:rPr/>
      </w:pPr>
      <w:r>
        <w:rPr>
          <w:rFonts w:eastAsia="Arial" w:cs="Arial"/>
          <w:color w:val="1A1A2E"/>
          <w:sz w:val="24"/>
          <w:szCs w:val="24"/>
        </w:rPr>
        <w:t>All amount fields in this schema follow the _cents naming suffix to make the storage convention explicit and to prevent future developers from accidentally inserting dollar-denominated values. Display formatting — converting 4210 to '$42.10' — is handled exclusively at the presentation layer.</w:t>
      </w:r>
    </w:p>
    <w:p>
      <w:pPr>
        <w:pStyle w:val="Normal"/>
        <w:spacing w:before="0" w:after="160"/>
        <w:rPr/>
      </w:pPr>
      <w:r>
        <w:rPr/>
      </w:r>
    </w:p>
    <w:p>
      <w:pPr>
        <w:pStyle w:val="Heading1"/>
        <w:rPr/>
      </w:pPr>
      <w:r>
        <w:rPr/>
        <w:t>Timestamp and Date Conventions</w:t>
      </w:r>
    </w:p>
    <w:p>
      <w:pPr>
        <w:pStyle w:val="Normal"/>
        <w:spacing w:before="0" w:after="140"/>
        <w:rPr/>
      </w:pPr>
      <w:r>
        <w:rPr>
          <w:rFonts w:eastAsia="Arial" w:cs="Arial"/>
          <w:color w:val="1A1A2E"/>
          <w:sz w:val="24"/>
          <w:szCs w:val="24"/>
        </w:rPr>
        <w:t>Two distinct temporal field patterns are used throughout this schema:</w:t>
      </w:r>
    </w:p>
    <w:p>
      <w:pPr>
        <w:pStyle w:val="Normal"/>
        <w:spacing w:before="0" w:after="80"/>
        <w:rPr/>
      </w:pPr>
      <w:r>
        <w:rPr/>
      </w:r>
    </w:p>
    <w:p>
      <w:pPr>
        <w:pStyle w:val="ListParagraph"/>
        <w:numPr>
          <w:ilvl w:val="0"/>
          <w:numId w:val="4"/>
        </w:numPr>
        <w:rPr/>
      </w:pPr>
      <w:r>
        <w:rPr>
          <w:rFonts w:eastAsia="Arial" w:cs="Arial"/>
          <w:color w:val="1A1A2E"/>
          <w:sz w:val="22"/>
          <w:szCs w:val="22"/>
        </w:rPr>
        <w:t>Timestamp fields (_at suffix) — store full ISO 8601 UTC datetime strings in the format YYYY-MM-DDTHH:MM:SSZ. Used for audit fields (created_at, updated_at, deleted_at) and event timestamps (paid_at, received_at, resolved_at). Stored as TEXT in SQLite, sortable as strings due to the ISO 8601 format's lexicographic ordering properties.</w:t>
      </w:r>
    </w:p>
    <w:p>
      <w:pPr>
        <w:pStyle w:val="ListParagraph"/>
        <w:numPr>
          <w:ilvl w:val="0"/>
          <w:numId w:val="4"/>
        </w:numPr>
        <w:rPr/>
      </w:pPr>
      <w:r>
        <w:rPr>
          <w:rFonts w:eastAsia="Arial" w:cs="Arial"/>
          <w:color w:val="1A1A2E"/>
          <w:sz w:val="22"/>
          <w:szCs w:val="22"/>
        </w:rPr>
        <w:t>Date fields (_date suffix) — store calendar dates only, in the format YYYY-MM-DD. Used for user-visible financial dates: expected_date, due_date, purchase_date. Date-only fields avoid time zone complexity for dates that represent a day in the user's local context rather than a precise moment in time.</w:t>
      </w:r>
    </w:p>
    <w:p>
      <w:pPr>
        <w:pStyle w:val="Normal"/>
        <w:spacing w:before="0" w:after="80"/>
        <w:rPr/>
      </w:pPr>
      <w:r>
        <w:rPr/>
      </w:r>
    </w:p>
    <w:p>
      <w:pPr>
        <w:pStyle w:val="Normal"/>
        <w:spacing w:before="0" w:after="140"/>
        <w:rPr/>
      </w:pPr>
      <w:r>
        <w:rPr>
          <w:rFonts w:eastAsia="Arial" w:cs="Arial"/>
          <w:color w:val="1A1A2E"/>
          <w:sz w:val="24"/>
          <w:szCs w:val="24"/>
        </w:rPr>
        <w:t>All timestamps are stored in UTC. Time zone conversion for display purposes is handled at the presentation layer using the device's local time zone setting.</w:t>
      </w:r>
    </w:p>
    <w:p>
      <w:pPr>
        <w:pStyle w:val="Normal"/>
        <w:spacing w:before="0" w:after="160"/>
        <w:rPr/>
      </w:pPr>
      <w:r>
        <w:rPr/>
      </w:r>
    </w:p>
    <w:p>
      <w:pPr>
        <w:pStyle w:val="Heading1"/>
        <w:rPr/>
      </w:pPr>
      <w:r>
        <w:rPr/>
        <w:t>Soft Delete Strategy</w:t>
      </w:r>
    </w:p>
    <w:p>
      <w:pPr>
        <w:pStyle w:val="Normal"/>
        <w:spacing w:before="0" w:after="140"/>
        <w:rPr/>
      </w:pPr>
      <w:r>
        <w:rPr>
          <w:rFonts w:eastAsia="Arial" w:cs="Arial"/>
          <w:color w:val="1A1A2E"/>
          <w:sz w:val="24"/>
          <w:szCs w:val="24"/>
        </w:rPr>
        <w:t>All primary financial entities in the current schema — profiles, paychecks, bills, bill_cycle_instances, purchases, balance_adjustments, and import_suggestions — include a deleted_at field for soft-delete support. This is a present MVP design decision, enforced from the initial schema, not a deferred enhancement. The rationale is as follows:</w:t>
      </w:r>
    </w:p>
    <w:p>
      <w:pPr>
        <w:pStyle w:val="Normal"/>
        <w:spacing w:before="0" w:after="80"/>
        <w:rPr/>
      </w:pPr>
      <w:r>
        <w:rPr/>
      </w:r>
    </w:p>
    <w:p>
      <w:pPr>
        <w:pStyle w:val="ListParagraph"/>
        <w:numPr>
          <w:ilvl w:val="0"/>
          <w:numId w:val="4"/>
        </w:numPr>
        <w:rPr/>
      </w:pPr>
      <w:r>
        <w:rPr>
          <w:rFonts w:eastAsia="Arial" w:cs="Arial"/>
          <w:color w:val="1A1A2E"/>
          <w:sz w:val="22"/>
          <w:szCs w:val="22"/>
        </w:rPr>
        <w:t>Sync safety — hard deletes in a sync-ready schema create tombstone management problems. When a record is deleted on one device and the delete needs to propagate to another, the backend has no record to match against. Soft deletes allow the sync engine to transmit deletion events using the existing record's UUID, without requiring a separate tombstone table.</w:t>
      </w:r>
    </w:p>
    <w:p>
      <w:pPr>
        <w:pStyle w:val="ListParagraph"/>
        <w:numPr>
          <w:ilvl w:val="0"/>
          <w:numId w:val="4"/>
        </w:numPr>
        <w:rPr/>
      </w:pPr>
      <w:r>
        <w:rPr>
          <w:rFonts w:eastAsia="Arial" w:cs="Arial"/>
          <w:color w:val="1A1A2E"/>
          <w:sz w:val="22"/>
          <w:szCs w:val="22"/>
        </w:rPr>
        <w:t>Financial auditability — deleting a purchase or bill that was used in a previous safe-to-spend calculation removes context that may be needed to explain a historical balance state. Soft-deleted records are excluded from calculations but remain available for audit and diagnostic purposes.</w:t>
      </w:r>
    </w:p>
    <w:p>
      <w:pPr>
        <w:pStyle w:val="ListParagraph"/>
        <w:numPr>
          <w:ilvl w:val="0"/>
          <w:numId w:val="4"/>
        </w:numPr>
        <w:rPr/>
      </w:pPr>
      <w:r>
        <w:rPr>
          <w:rFonts w:eastAsia="Arial" w:cs="Arial"/>
          <w:color w:val="1A1A2E"/>
          <w:sz w:val="22"/>
          <w:szCs w:val="22"/>
        </w:rPr>
        <w:t>User error recovery — a soft-deleted record can be undeleted without data loss. This is particularly valuable for bill records, where a user might accidentally delete a recurring bill and expect to recover it.</w:t>
      </w:r>
    </w:p>
    <w:p>
      <w:pPr>
        <w:pStyle w:val="Normal"/>
        <w:spacing w:before="0" w:after="80"/>
        <w:rPr/>
      </w:pPr>
      <w:r>
        <w:rPr/>
      </w:r>
    </w:p>
    <w:p>
      <w:pPr>
        <w:pStyle w:val="Normal"/>
        <w:spacing w:before="0" w:after="140"/>
        <w:rPr/>
      </w:pPr>
      <w:r>
        <w:rPr>
          <w:rFonts w:eastAsia="Arial" w:cs="Arial"/>
          <w:color w:val="1A1A2E"/>
          <w:sz w:val="24"/>
          <w:szCs w:val="24"/>
        </w:rPr>
        <w:t>Application-layer query convention: all queries against financial entities must include a WHERE deleted_at IS NULL clause by default. Queries that intentionally include soft-deleted records (e.g. history display, backup export) must explicitly opt in by omitting this filter.</w:t>
      </w:r>
    </w:p>
    <w:p>
      <w:pPr>
        <w:pStyle w:val="Normal"/>
        <w:spacing w:before="0" w:after="80"/>
        <w:rPr/>
      </w:pPr>
      <w:r>
        <w:rPr/>
      </w:r>
    </w:p>
    <w:p>
      <w:pPr>
        <w:pStyle w:val="Normal"/>
        <w:spacing w:before="0" w:after="140"/>
        <w:rPr/>
      </w:pPr>
      <w:r>
        <w:rPr>
          <w:rFonts w:eastAsia="Arial" w:cs="Arial"/>
          <w:color w:val="1A1A2E"/>
          <w:sz w:val="24"/>
          <w:szCs w:val="24"/>
        </w:rPr>
        <w:t>The activity_log and backup_metadata tables do not implement soft deletes. They are append-only records and are never removed through application logic.</w:t>
      </w:r>
    </w:p>
    <w:p>
      <w:pPr>
        <w:pStyle w:val="Normal"/>
        <w:spacing w:before="0" w:after="160"/>
        <w:rPr/>
      </w:pPr>
      <w:r>
        <w:rPr/>
      </w:r>
    </w:p>
    <w:p>
      <w:pPr>
        <w:pStyle w:val="Heading1"/>
        <w:rPr/>
      </w:pPr>
      <w:r>
        <w:rPr/>
        <w:t>UUID Primary Key Strategy</w:t>
      </w:r>
    </w:p>
    <w:p>
      <w:pPr>
        <w:pStyle w:val="Normal"/>
        <w:spacing w:before="0" w:after="140"/>
        <w:rPr/>
      </w:pPr>
      <w:r>
        <w:rPr>
          <w:rFonts w:eastAsia="Arial" w:cs="Arial"/>
          <w:color w:val="1A1A2E"/>
          <w:sz w:val="24"/>
          <w:szCs w:val="24"/>
        </w:rPr>
        <w:t>All primary keys in this schema are TEXT fields storing UUID v4 values. This decision is made specifically to support future synchronization, not because SQLite requires it.</w:t>
      </w:r>
    </w:p>
    <w:p>
      <w:pPr>
        <w:pStyle w:val="Normal"/>
        <w:spacing w:before="0" w:after="80"/>
        <w:rPr/>
      </w:pPr>
      <w:r>
        <w:rPr/>
      </w:r>
    </w:p>
    <w:p>
      <w:pPr>
        <w:pStyle w:val="Normal"/>
        <w:spacing w:before="0" w:after="140"/>
        <w:rPr/>
      </w:pPr>
      <w:r>
        <w:rPr>
          <w:rFonts w:eastAsia="Arial" w:cs="Arial"/>
          <w:color w:val="1A1A2E"/>
          <w:sz w:val="24"/>
          <w:szCs w:val="24"/>
        </w:rPr>
        <w:t>SQLite's default INTEGER ROWID primary key is efficient for local operation but creates a fundamental problem for synchronization: two devices independently creating records will generate the same integer IDs, making it impossible to distinguish records by origin when syncing. UUID v4 keys are statistically unique across all devices without requiring coordination, which means records created offline on any device can be safely merged into PostgreSQL without ID collision.</w:t>
      </w:r>
    </w:p>
    <w:p>
      <w:pPr>
        <w:pStyle w:val="Normal"/>
        <w:spacing w:before="0" w:after="80"/>
        <w:rPr/>
      </w:pPr>
      <w:r>
        <w:rPr/>
      </w:r>
    </w:p>
    <w:p>
      <w:pPr>
        <w:pStyle w:val="Normal"/>
        <w:spacing w:before="0" w:after="140"/>
        <w:rPr/>
      </w:pPr>
      <w:r>
        <w:rPr>
          <w:rFonts w:eastAsia="Arial" w:cs="Arial"/>
          <w:color w:val="1A1A2E"/>
          <w:sz w:val="24"/>
          <w:szCs w:val="24"/>
        </w:rPr>
        <w:t>The performance overhead of TEXT UUID primary keys in SQLite is negligible for the data volumes expected in a personal budgeting application. The synchronization correctness benefit is concrete and significant. UUID v4 values are generated in the application layer at the time of record creation and stored as uppercase hyphenated strings (e.g. 550E8400-E29B-41D4-A716-446655440000) for cross-platform consistency.</w:t>
      </w:r>
    </w:p>
    <w:p>
      <w:pPr>
        <w:pStyle w:val="Normal"/>
        <w:spacing w:before="0" w:after="160"/>
        <w:rPr/>
      </w:pPr>
      <w:r>
        <w:rPr/>
      </w:r>
    </w:p>
    <w:p>
      <w:pPr>
        <w:pStyle w:val="Heading1"/>
        <w:rPr/>
      </w:pPr>
      <w:r>
        <w:rPr/>
        <w:t>Entity Relationships</w:t>
      </w:r>
    </w:p>
    <w:p>
      <w:pPr>
        <w:pStyle w:val="Normal"/>
        <w:spacing w:before="0" w:after="140"/>
        <w:rPr/>
      </w:pPr>
      <w:r>
        <w:rPr>
          <w:rFonts w:eastAsia="Arial" w:cs="Arial"/>
          <w:color w:val="1A1A2E"/>
          <w:sz w:val="24"/>
          <w:szCs w:val="24"/>
        </w:rPr>
        <w:t>The following table provides a complete relationship inventory for ERD generation. All foreign key constraints are enforced at the application layer. SQLite foreign key enforcement must be explicitly activated per connection via PRAGMA foreign_keys = ON — this is a required initialization step for every database connection in the application.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960"/>
        <w:gridCol w:w="5520"/>
      </w:tblGrid>
      <w:tr>
        <w:trPr/>
        <w:tc>
          <w:tcPr>
            <w:tcW w:w="28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Relationship</w:t>
            </w:r>
          </w:p>
        </w:tc>
        <w:tc>
          <w:tcPr>
            <w:tcW w:w="96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Cardinality</w:t>
            </w:r>
          </w:p>
        </w:tc>
        <w:tc>
          <w:tcPr>
            <w:tcW w:w="552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Notes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paychecks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profile owns all paycheck records. Deletion of a profile soft-deletes all associated paychecks.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bills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profile owns all bill definitions.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purchases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profile owns all purchase records.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balance_adjustments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profile owns all manual balance correction records.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activity_log</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profile owns all activity log entries.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notification_settings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1:1</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Exactly one notification_settings record per profile. UNIQUE constraint on profile_id enforces this.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import_suggestions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profile owns all import suggestion records.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backup_metadata</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profile owns all backup event records.</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profiles → sync_queue</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profile owns all sync queue entries. sync_queue accumulates local mutations during MVP operation; these rows are processed by the premium sync engine when it is activated.</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bills → bill_cycle_instances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Each active bill definition generates one instance per active paycheck cycle window.</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paychecks → bill_cycle_instances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Each paycheck record acts as a cycle anchor, defining the cycle window that owns the bill instances assigned to it (via paycheck_cycle_id). The paycheck record is simultaneously the income event and the cycle anchor in the MVP schema.</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paychecks → purchases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1:N</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Purchases are assigned to the paycheck cycle window active at the time of entry (via paycheck_cycle_id, referencing the paycheck record anchoring that window).</w:t>
            </w:r>
          </w:p>
        </w:tc>
      </w:tr>
      <w:tr>
        <w:trPr/>
        <w:tc>
          <w:tcPr>
            <w:tcW w:w="28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import_suggestions → bills</w:t>
            </w:r>
          </w:p>
        </w:tc>
        <w:tc>
          <w:tcPr>
            <w:tcW w:w="96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N:1</w:t>
            </w:r>
          </w:p>
        </w:tc>
        <w:tc>
          <w:tcPr>
            <w:tcW w:w="552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 confirmed import suggestion creates one bill. The resulting bill_id is stored on the suggestion record for traceability.</w:t>
            </w:r>
          </w:p>
        </w:tc>
      </w:tr>
    </w:tbl>
    <w:p>
      <w:pPr>
        <w:pStyle w:val="Normal"/>
        <w:spacing w:before="0" w:after="160"/>
        <w:rPr/>
      </w:pPr>
      <w:r>
        <w:rPr/>
      </w:r>
    </w:p>
    <w:p>
      <w:pPr>
        <w:pStyle w:val="Heading1"/>
        <w:rPr/>
      </w:pPr>
      <w:r>
        <w:rPr/>
        <w:t>Indexing Strategy</w:t>
      </w:r>
    </w:p>
    <w:p>
      <w:pPr>
        <w:pStyle w:val="Normal"/>
        <w:spacing w:before="0" w:after="140"/>
        <w:rPr/>
      </w:pPr>
      <w:r>
        <w:rPr>
          <w:rFonts w:eastAsia="Arial" w:cs="Arial"/>
          <w:color w:val="1A1A2E"/>
          <w:sz w:val="24"/>
          <w:szCs w:val="24"/>
        </w:rPr>
        <w:t>The following indexes are defined to optimize the application's primary query patterns. Safe-to-spend calculation is the most performance-sensitive query path — it aggregates confirmed balance, upcoming bills, pending purchases, and reserve settings in a single logical operation. All indexes below are designed to support this path and the secondary patterns of cycle rendering and history display.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8"/>
        <w:gridCol w:w="1800"/>
        <w:gridCol w:w="2280"/>
        <w:gridCol w:w="2762"/>
      </w:tblGrid>
      <w:tr>
        <w:trPr/>
        <w:tc>
          <w:tcPr>
            <w:tcW w:w="2518"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Index Name</w:t>
            </w:r>
          </w:p>
        </w:tc>
        <w:tc>
          <w:tcPr>
            <w:tcW w:w="180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Table</w:t>
            </w:r>
          </w:p>
        </w:tc>
        <w:tc>
          <w:tcPr>
            <w:tcW w:w="2280"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Columns</w:t>
            </w:r>
          </w:p>
        </w:tc>
        <w:tc>
          <w:tcPr>
            <w:tcW w:w="2762" w:type="dxa"/>
            <w:tcBorders>
              <w:top w:val="single" w:sz="2" w:space="0" w:color="CCCCDD"/>
              <w:start w:val="single" w:sz="2" w:space="0" w:color="CCCCDD"/>
              <w:bottom w:val="single" w:sz="2" w:space="0" w:color="CCCCDD"/>
              <w:end w:val="single" w:sz="2" w:space="0" w:color="CCCCDD"/>
            </w:tcBorders>
            <w:shd w:fill="D5E8F0" w:val="clear"/>
          </w:tcPr>
          <w:p>
            <w:pPr>
              <w:pStyle w:val="Normal"/>
              <w:rPr/>
            </w:pPr>
            <w:r>
              <w:rPr>
                <w:rFonts w:eastAsia="Arial" w:cs="Arial"/>
                <w:b/>
                <w:bCs/>
                <w:color w:val="1B5E8C"/>
                <w:sz w:val="22"/>
                <w:szCs w:val="22"/>
              </w:rPr>
              <w:t>Purpose</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idx_paychecks_profile_date</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paychecks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profile_id, expected_date, deleted_at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cycle window boundary lookups (finding which paycheck anchor defines the current active window) and upcoming income event queries. deleted_at included to filter soft-deleted records efficiently.</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idx_paychecks_received</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paychecks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profile_id, is_received, deleted_at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confirmed-paycheck balance calculations.</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idx_bills_profile_active</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bills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profile_id, is_paused, deleted_at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active bill enumeration for cycle instance generation and projection queries.</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idx_bill_instances_cycle</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bill_cycle_instances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paycheck_cycle_id, is_paid, deleted_at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Primary safe-to-spend query index. Retrieves all unpaid instances for a given cycle.</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idx_bill_instances_unconfirmed</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bill_cycle_instances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bill_id, is_variable_confirmed, deleted_at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Identifies variable bill instances requiring user confirmation.</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idx_bill_instances_uniqueness</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bill_cycle_instances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bill_id, paycheck_cycle_id, due_date</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Enforces instance uniqueness. Supports the application-layer existence check performed before each INSERT during instance generation. Prevents duplicate active instances for the same bill, cycle, and due date combination.</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idx_purchases_profile_date</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purchases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profile_id, purchase_date, deleted_at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purchase history chronological display.</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idx_purchases_pending</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purchases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profile_id, state, deleted_at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pending purchase identification for safe-to-spend deduction and reminder logic.</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idx_purchases_cycle</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purchases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paycheck_cycle_id, deleted_at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per-cycle purchase aggregation for projected balance calculations.</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idx_import_suggestions_session</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import_suggestions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import_session_id, status</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batch review display — retrieves all suggestions from a single import session grouped by status.</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idx_activity_log_profile</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activity_log</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profile_id, created_at</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chronological activity history display.</w:t>
            </w:r>
          </w:p>
        </w:tc>
      </w:tr>
      <w:tr>
        <w:trPr/>
        <w:tc>
          <w:tcPr>
            <w:tcW w:w="2518"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idx_notification_settings_profile</w:t>
            </w:r>
          </w:p>
        </w:tc>
        <w:tc>
          <w:tcPr>
            <w:tcW w:w="180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notification_settings</w:t>
            </w:r>
          </w:p>
        </w:tc>
        <w:tc>
          <w:tcPr>
            <w:tcW w:w="2280"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profile_id</w:t>
            </w:r>
          </w:p>
        </w:tc>
        <w:tc>
          <w:tcPr>
            <w:tcW w:w="2762" w:type="dxa"/>
            <w:tcBorders>
              <w:top w:val="single" w:sz="2" w:space="0" w:color="CCCCDD"/>
              <w:start w:val="single" w:sz="2" w:space="0" w:color="CCCCDD"/>
              <w:bottom w:val="single" w:sz="2" w:space="0" w:color="CCCCDD"/>
              <w:end w:val="single" w:sz="2" w:space="0" w:color="CCCCDD"/>
            </w:tcBorders>
          </w:tcPr>
          <w:p>
            <w:pPr>
              <w:pStyle w:val="Normal"/>
              <w:rPr/>
            </w:pPr>
            <w:r>
              <w:rPr>
                <w:rFonts w:eastAsia="Arial" w:cs="Arial"/>
                <w:b w:val="false"/>
                <w:bCs w:val="false"/>
                <w:color w:val="1A1A2E"/>
                <w:sz w:val="22"/>
                <w:szCs w:val="22"/>
              </w:rPr>
              <w:t>Supports the 1:1 profile lookup for loading notification preferences on application start and settings screen display. The UNIQUE constraint on profile_id in the table definition already provides implicit index coverage; this named index makes the lookup explicit and queryable.</w:t>
            </w:r>
          </w:p>
        </w:tc>
      </w:tr>
    </w:tbl>
    <w:p>
      <w:pPr>
        <w:pStyle w:val="Normal"/>
        <w:spacing w:before="0" w:after="160"/>
        <w:rPr/>
      </w:pPr>
      <w:r>
        <w:rPr/>
      </w:r>
    </w:p>
    <w:p>
      <w:pPr>
        <w:pStyle w:val="Heading1"/>
        <w:rPr/>
      </w:pPr>
      <w:r>
        <w:rPr/>
        <w:t>Safe-to-Spend Calculation Query Model</w:t>
      </w:r>
    </w:p>
    <w:p>
      <w:pPr>
        <w:pStyle w:val="Normal"/>
        <w:spacing w:before="0" w:after="140"/>
        <w:rPr/>
      </w:pPr>
      <w:r>
        <w:rPr>
          <w:rFonts w:eastAsia="Arial" w:cs="Arial"/>
          <w:color w:val="1A1A2E"/>
          <w:sz w:val="24"/>
          <w:szCs w:val="24"/>
        </w:rPr>
        <w:t>Safe-to-spend is the application's primary computed value. It is not persisted as a column — it is derived on demand from the current state of the database. The following describes the logical query model that the on-device calculation engine executes:</w:t>
      </w:r>
    </w:p>
    <w:p>
      <w:pPr>
        <w:pStyle w:val="Normal"/>
        <w:spacing w:before="0" w:after="80"/>
        <w:rPr/>
      </w:pPr>
      <w:r>
        <w:rPr/>
      </w:r>
    </w:p>
    <w:p>
      <w:pPr>
        <w:pStyle w:val="ListParagraph"/>
        <w:numPr>
          <w:ilvl w:val="0"/>
          <w:numId w:val="10"/>
        </w:numPr>
        <w:rPr/>
      </w:pPr>
      <w:r>
        <w:rPr>
          <w:rFonts w:eastAsia="Arial" w:cs="Arial"/>
          <w:color w:val="1A1A2E"/>
          <w:sz w:val="22"/>
          <w:szCs w:val="22"/>
        </w:rPr>
        <w:t>Confirmed balance = SUM of amount_cents from paychecks WHERE is_received = 1 AND deleted_at IS NULL, MINUS SUM of amount_cents from purchases WHERE deleted_at IS NULL, MINUS SUM of delta_cents from balance_adjustments WHERE deleted_at IS NULL and delta is negative, PLUS SUM of delta_cents from balance_adjustments where delta is positive.</w:t>
      </w:r>
    </w:p>
    <w:p>
      <w:pPr>
        <w:pStyle w:val="ListParagraph"/>
        <w:numPr>
          <w:ilvl w:val="0"/>
          <w:numId w:val="6"/>
        </w:numPr>
        <w:rPr/>
      </w:pPr>
      <w:r>
        <w:rPr>
          <w:rFonts w:eastAsia="Arial" w:cs="Arial"/>
          <w:color w:val="1A1A2E"/>
          <w:sz w:val="22"/>
          <w:szCs w:val="22"/>
        </w:rPr>
        <w:t>Upcoming bill deductions = SUM of cycle_amount_cents from bill_cycle_instances WHERE paycheck_cycle_id = [UUID of the paycheck record anchoring the current cycle window] AND is_paid = 0 AND deleted_at IS NULL. Both estimated (is_variable_confirmed = 0) and confirmed instances are included, ensuring variable bills reduce safe-to-spend from the moment their cycle window opens.</w:t>
      </w:r>
    </w:p>
    <w:p>
      <w:pPr>
        <w:pStyle w:val="ListParagraph"/>
        <w:numPr>
          <w:ilvl w:val="0"/>
          <w:numId w:val="6"/>
        </w:numPr>
        <w:rPr/>
      </w:pPr>
      <w:r>
        <w:rPr>
          <w:rFonts w:eastAsia="Arial" w:cs="Arial"/>
          <w:color w:val="1A1A2E"/>
          <w:sz w:val="22"/>
          <w:szCs w:val="22"/>
        </w:rPr>
        <w:t>Pending purchase deductions = SUM of amount_cents from purchases WHERE state = 'pending' AND deleted_at IS NULL. Note: pending purchases are also included in the confirmed balance calculation above — this step is only relevant when safe-to-spend is calculated against a projected future balance.</w:t>
      </w:r>
    </w:p>
    <w:p>
      <w:pPr>
        <w:pStyle w:val="ListParagraph"/>
        <w:numPr>
          <w:ilvl w:val="0"/>
          <w:numId w:val="6"/>
        </w:numPr>
        <w:rPr/>
      </w:pPr>
      <w:r>
        <w:rPr>
          <w:rFonts w:eastAsia="Arial" w:cs="Arial"/>
          <w:color w:val="1A1A2E"/>
          <w:sz w:val="22"/>
          <w:szCs w:val="22"/>
        </w:rPr>
        <w:t>Essential reserve deduction = profiles.essential_reserve from the active profile record.</w:t>
      </w:r>
    </w:p>
    <w:p>
      <w:pPr>
        <w:pStyle w:val="ListParagraph"/>
        <w:numPr>
          <w:ilvl w:val="0"/>
          <w:numId w:val="6"/>
        </w:numPr>
        <w:rPr/>
      </w:pPr>
      <w:r>
        <w:rPr>
          <w:rFonts w:eastAsia="Arial" w:cs="Arial"/>
          <w:color w:val="1A1A2E"/>
          <w:sz w:val="22"/>
          <w:szCs w:val="22"/>
        </w:rPr>
        <w:t>Safe-to-spend = Confirmed balance MINUS Upcoming bill deductions MINUS Essential reserve deduction.</w:t>
      </w:r>
    </w:p>
    <w:p>
      <w:pPr>
        <w:pStyle w:val="Normal"/>
        <w:spacing w:before="0" w:after="80"/>
        <w:rPr/>
      </w:pPr>
      <w:r>
        <w:rPr/>
      </w:r>
    </w:p>
    <w:p>
      <w:pPr>
        <w:pStyle w:val="Normal"/>
        <w:spacing w:before="0" w:after="140"/>
        <w:rPr/>
      </w:pPr>
      <w:r>
        <w:rPr>
          <w:rFonts w:eastAsia="Arial" w:cs="Arial"/>
          <w:color w:val="1A1A2E"/>
          <w:sz w:val="24"/>
          <w:szCs w:val="24"/>
        </w:rPr>
        <w:t>The result may be negative. A negative safe-to-spend value is a valid and meaningful output indicating that confirmed obligations exceed available balance. The application must display this state clearly and without judgment — it is information, not an error condition.</w:t>
      </w:r>
    </w:p>
    <w:p>
      <w:pPr>
        <w:pStyle w:val="Normal"/>
        <w:spacing w:before="0" w:after="160"/>
        <w:rPr/>
      </w:pPr>
      <w:r>
        <w:rPr/>
      </w:r>
    </w:p>
    <w:p>
      <w:pPr>
        <w:pStyle w:val="Heading1"/>
        <w:rPr/>
      </w:pPr>
      <w:r>
        <w:rPr/>
        <w:t>Synchronization Readiness</w:t>
      </w:r>
    </w:p>
    <w:p>
      <w:pPr>
        <w:pStyle w:val="Normal"/>
        <w:spacing w:before="0" w:after="140"/>
        <w:rPr/>
      </w:pPr>
      <w:r>
        <w:rPr>
          <w:rFonts w:eastAsia="Arial" w:cs="Arial"/>
          <w:color w:val="1A1A2E"/>
          <w:sz w:val="24"/>
          <w:szCs w:val="24"/>
        </w:rPr>
        <w:t>The MVP schema is designed to be adopted by a PostgreSQL-backed synchronization service in a future premium release with the minimum possible migration surface. The following design decisions in this schema specifically serve that goal:</w:t>
      </w:r>
    </w:p>
    <w:p>
      <w:pPr>
        <w:pStyle w:val="Normal"/>
        <w:spacing w:before="0" w:after="80"/>
        <w:rPr/>
      </w:pPr>
      <w:r>
        <w:rPr/>
      </w:r>
    </w:p>
    <w:p>
      <w:pPr>
        <w:pStyle w:val="ListParagraph"/>
        <w:numPr>
          <w:ilvl w:val="0"/>
          <w:numId w:val="4"/>
        </w:numPr>
        <w:rPr/>
      </w:pPr>
      <w:r>
        <w:rPr>
          <w:rFonts w:eastAsia="Arial" w:cs="Arial"/>
          <w:color w:val="1A1A2E"/>
          <w:sz w:val="22"/>
          <w:szCs w:val="22"/>
        </w:rPr>
        <w:t>UUID primary keys — all records carry globally unique identifiers that do not require coordination between devices or between SQLite and PostgreSQL. No ID remapping is required during synchronization.</w:t>
      </w:r>
    </w:p>
    <w:p>
      <w:pPr>
        <w:pStyle w:val="ListParagraph"/>
        <w:numPr>
          <w:ilvl w:val="0"/>
          <w:numId w:val="4"/>
        </w:numPr>
        <w:rPr/>
      </w:pPr>
      <w:r>
        <w:rPr>
          <w:rFonts w:eastAsia="Arial" w:cs="Arial"/>
          <w:color w:val="1A1A2E"/>
          <w:sz w:val="22"/>
          <w:szCs w:val="22"/>
        </w:rPr>
        <w:t>ISO 8601 UTC timestamps — all temporal fields are stored in a format that is unambiguous across time zones and directly compatible with PostgreSQL TIMESTAMPTZ semantics.</w:t>
      </w:r>
    </w:p>
    <w:p>
      <w:pPr>
        <w:pStyle w:val="ListParagraph"/>
        <w:numPr>
          <w:ilvl w:val="0"/>
          <w:numId w:val="4"/>
        </w:numPr>
        <w:rPr/>
      </w:pPr>
      <w:r>
        <w:rPr>
          <w:rFonts w:eastAsia="Arial" w:cs="Arial"/>
          <w:color w:val="1A1A2E"/>
          <w:sz w:val="22"/>
          <w:szCs w:val="22"/>
        </w:rPr>
        <w:t>sync_status field on all financial entities — the sync engine reads this field to identify records requiring transmission. No additional schema change is needed to begin synchronization.</w:t>
      </w:r>
    </w:p>
    <w:p>
      <w:pPr>
        <w:pStyle w:val="ListParagraph"/>
        <w:numPr>
          <w:ilvl w:val="0"/>
          <w:numId w:val="4"/>
        </w:numPr>
        <w:rPr/>
      </w:pPr>
      <w:r>
        <w:rPr>
          <w:rFonts w:eastAsia="Arial" w:cs="Arial"/>
          <w:color w:val="1A1A2E"/>
          <w:sz w:val="22"/>
          <w:szCs w:val="22"/>
        </w:rPr>
        <w:t>Soft deletes on all financial entities — deletions propagate as status changes rather than as gaps in the record set. The sync engine can transmit a soft-delete event using the record's UUID without requiring a separate tombstone table.</w:t>
      </w:r>
    </w:p>
    <w:p>
      <w:pPr>
        <w:pStyle w:val="ListParagraph"/>
        <w:numPr>
          <w:ilvl w:val="0"/>
          <w:numId w:val="4"/>
        </w:numPr>
        <w:rPr/>
      </w:pPr>
      <w:r>
        <w:rPr>
          <w:rFonts w:eastAsia="Arial" w:cs="Arial"/>
          <w:color w:val="1A1A2E"/>
          <w:sz w:val="22"/>
          <w:szCs w:val="22"/>
        </w:rPr>
        <w:t>Stable field naming — all field names in this schema are chosen to be compatible with PostgreSQL column naming conventions. No renaming will be required when the schema is mirrored to the cloud tier.</w:t>
      </w:r>
    </w:p>
    <w:p>
      <w:pPr>
        <w:pStyle w:val="Normal"/>
        <w:spacing w:before="0" w:after="80"/>
        <w:rPr/>
      </w:pPr>
      <w:r>
        <w:rPr/>
      </w:r>
    </w:p>
    <w:p>
      <w:pPr>
        <w:pStyle w:val="Normal"/>
        <w:spacing w:before="0" w:after="140"/>
        <w:rPr/>
      </w:pPr>
      <w:r>
        <w:rPr>
          <w:rFonts w:eastAsia="Arial" w:cs="Arial"/>
          <w:color w:val="1A1A2E"/>
          <w:sz w:val="24"/>
          <w:szCs w:val="24"/>
        </w:rPr>
        <w:t>Two fields are deferred to the premium sync release and are intentionally absent from the MVP schema:</w:t>
      </w:r>
    </w:p>
    <w:p>
      <w:pPr>
        <w:pStyle w:val="Normal"/>
        <w:spacing w:before="0" w:after="80"/>
        <w:rPr/>
      </w:pPr>
      <w:r>
        <w:rPr/>
      </w:r>
    </w:p>
    <w:p>
      <w:pPr>
        <w:pStyle w:val="ListParagraph"/>
        <w:numPr>
          <w:ilvl w:val="0"/>
          <w:numId w:val="4"/>
        </w:numPr>
        <w:rPr/>
      </w:pPr>
      <w:r>
        <w:rPr>
          <w:rFonts w:eastAsia="Arial" w:cs="Arial"/>
          <w:color w:val="1A1A2E"/>
          <w:sz w:val="22"/>
          <w:szCs w:val="22"/>
        </w:rPr>
        <w:t>device_id — a stable identifier for the originating device, added to all financial entities when the sync engine is introduced. Required for multi-device conflict detection.</w:t>
      </w:r>
    </w:p>
    <w:p>
      <w:pPr>
        <w:pStyle w:val="ListParagraph"/>
        <w:numPr>
          <w:ilvl w:val="0"/>
          <w:numId w:val="4"/>
        </w:numPr>
        <w:rPr/>
      </w:pPr>
      <w:r>
        <w:rPr>
          <w:rFonts w:eastAsia="Arial" w:cs="Arial"/>
          <w:color w:val="1A1A2E"/>
          <w:sz w:val="22"/>
          <w:szCs w:val="22"/>
        </w:rPr>
        <w:t>cloud_id — the PostgreSQL primary key corresponding to a local record. Added when synchronization is activated to support bidirectional record matching. In the MVP, the local UUID serves as the only identifier.</w:t>
      </w:r>
    </w:p>
    <w:p>
      <w:pPr>
        <w:pStyle w:val="Normal"/>
        <w:spacing w:before="0" w:after="160"/>
        <w:rPr/>
      </w:pPr>
      <w:r>
        <w:rPr/>
      </w:r>
    </w:p>
    <w:p>
      <w:pPr>
        <w:pStyle w:val="Heading1"/>
        <w:rPr/>
      </w:pPr>
      <w:r>
        <w:rPr/>
        <w:t>ERD Generation Notes</w:t>
      </w:r>
    </w:p>
    <w:p>
      <w:pPr>
        <w:pStyle w:val="Normal"/>
        <w:spacing w:before="0" w:after="140"/>
        <w:rPr/>
      </w:pPr>
      <w:r>
        <w:rPr>
          <w:rFonts w:eastAsia="Arial" w:cs="Arial"/>
          <w:color w:val="1A1A2E"/>
          <w:sz w:val="24"/>
          <w:szCs w:val="24"/>
        </w:rPr>
        <w:t>This section provides structural guidance for generating an Entity Relationship Diagram from this specification. The following layout recommendations will produce a readable diagram:</w:t>
      </w:r>
    </w:p>
    <w:p>
      <w:pPr>
        <w:pStyle w:val="Normal"/>
        <w:spacing w:before="0" w:after="80"/>
        <w:rPr/>
      </w:pPr>
      <w:r>
        <w:rPr/>
      </w:r>
    </w:p>
    <w:p>
      <w:pPr>
        <w:pStyle w:val="ListParagraph"/>
        <w:numPr>
          <w:ilvl w:val="0"/>
          <w:numId w:val="4"/>
        </w:numPr>
        <w:rPr/>
      </w:pPr>
      <w:r>
        <w:rPr>
          <w:rFonts w:eastAsia="Arial" w:cs="Arial"/>
          <w:color w:val="1A1A2E"/>
          <w:sz w:val="22"/>
          <w:szCs w:val="22"/>
        </w:rPr>
        <w:t>Place profiles at the center or top of the diagram. It is the root entity — all other tables connect to it directly via profile_id.</w:t>
      </w:r>
    </w:p>
    <w:p>
      <w:pPr>
        <w:pStyle w:val="ListParagraph"/>
        <w:numPr>
          <w:ilvl w:val="0"/>
          <w:numId w:val="4"/>
        </w:numPr>
        <w:rPr/>
      </w:pPr>
      <w:r>
        <w:rPr>
          <w:rFonts w:eastAsia="Arial" w:cs="Arial"/>
          <w:color w:val="1A1A2E"/>
          <w:sz w:val="22"/>
          <w:szCs w:val="22"/>
        </w:rPr>
        <w:t>Group the Financial Core entities (paychecks, bills, bill_cycle_instances, purchases, balance_adjustments) in a cluster below or around profiles. This cluster contains the highest relationship density and should be visually prominent.</w:t>
      </w:r>
    </w:p>
    <w:p>
      <w:pPr>
        <w:pStyle w:val="ListParagraph"/>
        <w:numPr>
          <w:ilvl w:val="0"/>
          <w:numId w:val="4"/>
        </w:numPr>
        <w:rPr/>
      </w:pPr>
      <w:r>
        <w:rPr>
          <w:rFonts w:eastAsia="Arial" w:cs="Arial"/>
          <w:color w:val="1A1A2E"/>
          <w:sz w:val="22"/>
          <w:szCs w:val="22"/>
        </w:rPr>
        <w:t>bill_cycle_instances sits at the intersection of bills and paychecks — position it between those two tables. Annotate the paycheck_cycle_id relationship line with a note clarifying that paychecks acts as both the income entity and the cycle anchor in the MVP schema. This dual role is intentional and should be visible in the diagram rather than hidden.</w:t>
      </w:r>
    </w:p>
    <w:p>
      <w:pPr>
        <w:pStyle w:val="ListParagraph"/>
        <w:numPr>
          <w:ilvl w:val="0"/>
          <w:numId w:val="4"/>
        </w:numPr>
        <w:rPr/>
      </w:pPr>
      <w:r>
        <w:rPr>
          <w:rFonts w:eastAsia="Arial" w:cs="Arial"/>
          <w:color w:val="1A1A2E"/>
          <w:sz w:val="22"/>
          <w:szCs w:val="22"/>
        </w:rPr>
        <w:t>Group Operational Support entities (activity_log, notification_settings, backup_metadata, sync_queue) in a separate cluster, connected to profiles but visually separated from the financial core. sync_queue has no diagram relationships to financial entities — its entity_type and entity_id fields are logical references only.</w:t>
      </w:r>
    </w:p>
    <w:p>
      <w:pPr>
        <w:pStyle w:val="ListParagraph"/>
        <w:numPr>
          <w:ilvl w:val="0"/>
          <w:numId w:val="4"/>
        </w:numPr>
        <w:rPr/>
      </w:pPr>
      <w:r>
        <w:rPr>
          <w:rFonts w:eastAsia="Arial" w:cs="Arial"/>
          <w:color w:val="1A1A2E"/>
          <w:sz w:val="22"/>
          <w:szCs w:val="22"/>
        </w:rPr>
        <w:t>Place import_suggestions as a standalone cluster connected only to profiles and bills (via confirmed_bill_id). Its transient nature and limited relationships make it a peripheral entity in the diagram.</w:t>
      </w:r>
    </w:p>
    <w:p>
      <w:pPr>
        <w:pStyle w:val="ListParagraph"/>
        <w:numPr>
          <w:ilvl w:val="0"/>
          <w:numId w:val="4"/>
        </w:numPr>
        <w:rPr/>
      </w:pPr>
      <w:r>
        <w:rPr>
          <w:rFonts w:eastAsia="Arial" w:cs="Arial"/>
          <w:color w:val="1A1A2E"/>
          <w:sz w:val="22"/>
          <w:szCs w:val="22"/>
        </w:rPr>
        <w:t>All relationships from profiles outward are 1:N except notification_settings, which is 1:1. Use standard crow's foot notation throughout.</w:t>
      </w:r>
    </w:p>
    <w:p>
      <w:pPr>
        <w:pStyle w:val="ListParagraph"/>
        <w:numPr>
          <w:ilvl w:val="0"/>
          <w:numId w:val="4"/>
        </w:numPr>
        <w:rPr/>
      </w:pPr>
      <w:r>
        <w:rPr>
          <w:rFonts w:eastAsia="Arial" w:cs="Arial"/>
          <w:color w:val="1A1A2E"/>
          <w:sz w:val="22"/>
          <w:szCs w:val="22"/>
        </w:rPr>
        <w:t>Recommended tools: Napkin AI (paste section content for auto-generation), Eraser (engineering-focused, supports direct schema input), draw.io (manual but precise for final documentation diagrams).</w:t>
      </w:r>
    </w:p>
    <w:p>
      <w:pPr>
        <w:pStyle w:val="Normal"/>
        <w:spacing w:before="0" w:after="160"/>
        <w:rPr/>
      </w:pPr>
      <w:r>
        <w:rPr/>
      </w:r>
    </w:p>
    <w:p>
      <w:pPr>
        <w:pStyle w:val="Heading1"/>
        <w:rPr/>
      </w:pPr>
      <w:r>
        <w:rPr/>
        <w:t>sync_queue Table</w:t>
      </w:r>
    </w:p>
    <w:p>
      <w:pPr>
        <w:pStyle w:val="Heading2"/>
        <w:rPr/>
      </w:pPr>
      <w:r>
        <w:rPr/>
        <w:t>Purpose and Operational Context</w:t>
      </w:r>
    </w:p>
    <w:p>
      <w:pPr>
        <w:pStyle w:val="Normal"/>
        <w:spacing w:before="0" w:after="140"/>
        <w:rPr/>
      </w:pPr>
      <w:r>
        <w:rPr>
          <w:rFonts w:eastAsia="Arial" w:cs="Arial"/>
          <w:sz w:val="24"/>
          <w:szCs w:val="24"/>
        </w:rPr>
        <w:t>The sync_queue table is an Operational Support entity that tracks local data mutations destined for future transmission to the Spring Boot backend. It is included in the MVP SQLite schema now — not deferred — so that the premium synchronization tier can be introduced without any structural change to the on-device database.</w:t>
      </w:r>
    </w:p>
    <w:p>
      <w:pPr>
        <w:pStyle w:val="Normal"/>
        <w:spacing w:before="0" w:after="140"/>
        <w:rPr/>
      </w:pPr>
      <w:r>
        <w:rPr>
          <w:rFonts w:eastAsia="Arial" w:cs="Arial"/>
          <w:sz w:val="24"/>
          <w:szCs w:val="24"/>
        </w:rPr>
        <w:t>During local-only MVP operation, this table is effectively dormant. A row is written to sync_queue every time a financial entity is created, updated, or soft-deleted — but nothing reads from it, nothing processes it, and it has no effect on any financial calculation or user-facing behavior. It accumulates a chronological record of every local mutation, waiting silently until the sync engine is activated in a future premium release.</w:t>
      </w:r>
    </w:p>
    <w:p>
      <w:pPr>
        <w:pStyle w:val="Normal"/>
        <w:spacing w:before="0" w:after="140"/>
        <w:rPr/>
      </w:pPr>
      <w:r>
        <w:rPr>
          <w:rFonts w:eastAsia="Arial" w:cs="Arial"/>
          <w:sz w:val="24"/>
          <w:szCs w:val="24"/>
        </w:rPr>
        <w:t>When the premium sync tier is introduced, the sync engine reads pending rows from this table, transmits them to the Spring Boot API in chronological order, and updates each row’s status to reflect the outcome. No other table in the schema needs to change. The sync_queue is the only addition the sync engine requires from the data layer.</w:t>
      </w:r>
    </w:p>
    <w:p>
      <w:pPr>
        <w:pStyle w:val="Normal"/>
        <w:spacing w:before="0" w:after="140"/>
        <w:rPr/>
      </w:pPr>
      <w:r>
        <w:rPr>
          <w:rFonts w:eastAsia="Arial" w:cs="Arial"/>
          <w:sz w:val="24"/>
          <w:szCs w:val="24"/>
        </w:rPr>
        <w:t>This design intentionally avoids event sourcing, CQRS, message brokers, or any other complex synchronization pattern. The sync_queue is a simple outbox table: write a row when something changes locally, read and transmit it later when connectivity and a premium account are available. It is the minimum viable foundation for reliable eventual consistency between SQLite and PostgreSQL.</w:t>
      </w:r>
    </w:p>
    <w:p>
      <w:pPr>
        <w:pStyle w:val="Normal"/>
        <w:spacing w:before="0" w:after="160"/>
        <w:rPr/>
      </w:pPr>
      <w:r>
        <w:rPr>
          <w:rFonts w:eastAsia="Arial" w:cs="Arial"/>
          <w:sz w:val="24"/>
          <w:szCs w:val="24"/>
        </w:rPr>
        <w:t>Entity group: Operational Support. No financial calculations read from this table under any circumstances.</w:t>
      </w:r>
    </w:p>
    <w:p>
      <w:pPr>
        <w:pStyle w:val="Heading2"/>
        <w:rPr/>
      </w:pPr>
      <w:r>
        <w:rPr/>
        <w:t>Schema</w:t>
      </w:r>
    </w:p>
    <w:tbl>
      <w:tblPr>
        <w:tblW w:w="9360" w:type="dxa"/>
        <w:jc w:val="start"/>
        <w:tblInd w:w="0" w:type="dxa"/>
        <w:tblLayout w:type="fixed"/>
        <w:tblCellMar>
          <w:top w:w="80" w:type="dxa"/>
          <w:start w:w="120" w:type="dxa"/>
          <w:bottom w:w="80" w:type="dxa"/>
          <w:end w:w="120" w:type="dxa"/>
        </w:tblCellMar>
      </w:tblPr>
      <w:tblGrid>
        <w:gridCol w:w="1560"/>
        <w:gridCol w:w="958"/>
        <w:gridCol w:w="2042"/>
        <w:gridCol w:w="4800"/>
      </w:tblGrid>
      <w:tr>
        <w:trPr/>
        <w:tc>
          <w:tcPr>
            <w:tcW w:w="1560" w:type="dxa"/>
            <w:tcBorders/>
            <w:shd w:color="auto" w:fill="D5E8F0" w:val="clear"/>
          </w:tcPr>
          <w:p>
            <w:pPr>
              <w:pStyle w:val="Normal"/>
              <w:rPr/>
            </w:pPr>
            <w:r>
              <w:rPr>
                <w:rFonts w:cs="Arial"/>
                <w:b/>
                <w:color w:val="1B5E8C"/>
                <w:sz w:val="20"/>
              </w:rPr>
              <w:t>Field</w:t>
            </w:r>
          </w:p>
        </w:tc>
        <w:tc>
          <w:tcPr>
            <w:tcW w:w="958" w:type="dxa"/>
            <w:tcBorders/>
            <w:shd w:color="auto" w:fill="D5E8F0" w:val="clear"/>
          </w:tcPr>
          <w:p>
            <w:pPr>
              <w:pStyle w:val="Normal"/>
              <w:rPr/>
            </w:pPr>
            <w:r>
              <w:rPr>
                <w:rFonts w:cs="Arial"/>
                <w:b/>
                <w:color w:val="1B5E8C"/>
                <w:sz w:val="20"/>
              </w:rPr>
              <w:t>Type</w:t>
            </w:r>
          </w:p>
        </w:tc>
        <w:tc>
          <w:tcPr>
            <w:tcW w:w="2042" w:type="dxa"/>
            <w:tcBorders/>
            <w:shd w:color="auto" w:fill="D5E8F0" w:val="clear"/>
          </w:tcPr>
          <w:p>
            <w:pPr>
              <w:pStyle w:val="Normal"/>
              <w:rPr/>
            </w:pPr>
            <w:r>
              <w:rPr>
                <w:rFonts w:cs="Arial"/>
                <w:b/>
                <w:color w:val="1B5E8C"/>
                <w:sz w:val="20"/>
              </w:rPr>
              <w:t>Constraints</w:t>
            </w:r>
          </w:p>
        </w:tc>
        <w:tc>
          <w:tcPr>
            <w:tcW w:w="4800" w:type="dxa"/>
            <w:tcBorders/>
            <w:shd w:color="auto" w:fill="D5E8F0" w:val="clear"/>
          </w:tcPr>
          <w:p>
            <w:pPr>
              <w:pStyle w:val="Normal"/>
              <w:rPr/>
            </w:pPr>
            <w:r>
              <w:rPr>
                <w:rFonts w:cs="Arial"/>
                <w:b/>
                <w:color w:val="1B5E8C"/>
                <w:sz w:val="20"/>
              </w:rPr>
              <w:t>Description</w:t>
            </w:r>
          </w:p>
        </w:tc>
      </w:tr>
      <w:tr>
        <w:trPr/>
        <w:tc>
          <w:tcPr>
            <w:tcW w:w="1560" w:type="dxa"/>
            <w:tcBorders/>
          </w:tcPr>
          <w:p>
            <w:pPr>
              <w:pStyle w:val="Normal"/>
              <w:rPr/>
            </w:pPr>
            <w:r>
              <w:rPr>
                <w:rFonts w:cs="Arial"/>
                <w:color w:val="1A1A2E"/>
                <w:sz w:val="20"/>
              </w:rPr>
              <w:t>id</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PRIMARY KEY</w:t>
            </w:r>
          </w:p>
        </w:tc>
        <w:tc>
          <w:tcPr>
            <w:tcW w:w="4800" w:type="dxa"/>
            <w:tcBorders/>
          </w:tcPr>
          <w:p>
            <w:pPr>
              <w:pStyle w:val="Normal"/>
              <w:rPr/>
            </w:pPr>
            <w:r>
              <w:rPr>
                <w:rFonts w:cs="Arial"/>
                <w:color w:val="1A1A2E"/>
                <w:sz w:val="20"/>
              </w:rPr>
              <w:t>UUID v4. Unique identifier for this queue entry.</w:t>
            </w:r>
          </w:p>
        </w:tc>
      </w:tr>
      <w:tr>
        <w:trPr/>
        <w:tc>
          <w:tcPr>
            <w:tcW w:w="1560" w:type="dxa"/>
            <w:tcBorders/>
          </w:tcPr>
          <w:p>
            <w:pPr>
              <w:pStyle w:val="Normal"/>
              <w:rPr/>
            </w:pPr>
            <w:r>
              <w:rPr>
                <w:rFonts w:cs="Arial"/>
                <w:color w:val="1A1A2E"/>
                <w:sz w:val="20"/>
              </w:rPr>
              <w:t>profile_id</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NOT NULL, FK → profiles.id</w:t>
            </w:r>
          </w:p>
        </w:tc>
        <w:tc>
          <w:tcPr>
            <w:tcW w:w="4800" w:type="dxa"/>
            <w:tcBorders/>
          </w:tcPr>
          <w:p>
            <w:pPr>
              <w:pStyle w:val="Normal"/>
              <w:rPr/>
            </w:pPr>
            <w:r>
              <w:rPr>
                <w:rFonts w:cs="Arial"/>
                <w:color w:val="1A1A2E"/>
                <w:sz w:val="20"/>
              </w:rPr>
              <w:t>Owning profile. Scopes sync entries to the local device profile.</w:t>
            </w:r>
          </w:p>
        </w:tc>
      </w:tr>
      <w:tr>
        <w:trPr/>
        <w:tc>
          <w:tcPr>
            <w:tcW w:w="1560" w:type="dxa"/>
            <w:tcBorders/>
          </w:tcPr>
          <w:p>
            <w:pPr>
              <w:pStyle w:val="Normal"/>
              <w:rPr/>
            </w:pPr>
            <w:r>
              <w:rPr>
                <w:rFonts w:cs="Arial"/>
                <w:color w:val="1A1A2E"/>
                <w:sz w:val="20"/>
              </w:rPr>
              <w:t>entity_type</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NOT NULL</w:t>
            </w:r>
          </w:p>
        </w:tc>
        <w:tc>
          <w:tcPr>
            <w:tcW w:w="4800" w:type="dxa"/>
            <w:tcBorders/>
          </w:tcPr>
          <w:p>
            <w:pPr>
              <w:pStyle w:val="Normal"/>
              <w:rPr/>
            </w:pPr>
            <w:r>
              <w:rPr>
                <w:rFonts w:cs="Arial"/>
                <w:color w:val="1A1A2E"/>
                <w:sz w:val="20"/>
              </w:rPr>
              <w:t>The table the affected record belongs to. Enum: ‘profile’ | ‘paycheck’ | ‘bill’ | ‘bill_cycle_instance’ | ‘purchase’ | ‘balance_adjustment’ | ‘notification_settings’. The sync engine uses this field to determine which backend API endpoint to call.</w:t>
            </w:r>
          </w:p>
        </w:tc>
      </w:tr>
      <w:tr>
        <w:trPr/>
        <w:tc>
          <w:tcPr>
            <w:tcW w:w="1560" w:type="dxa"/>
            <w:tcBorders/>
          </w:tcPr>
          <w:p>
            <w:pPr>
              <w:pStyle w:val="Normal"/>
              <w:rPr/>
            </w:pPr>
            <w:r>
              <w:rPr>
                <w:rFonts w:cs="Arial"/>
                <w:color w:val="1A1A2E"/>
                <w:sz w:val="20"/>
              </w:rPr>
              <w:t>entity_id</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NOT NULL</w:t>
            </w:r>
          </w:p>
        </w:tc>
        <w:tc>
          <w:tcPr>
            <w:tcW w:w="4800" w:type="dxa"/>
            <w:tcBorders/>
          </w:tcPr>
          <w:p>
            <w:pPr>
              <w:pStyle w:val="Normal"/>
              <w:rPr/>
            </w:pPr>
            <w:r>
              <w:rPr>
                <w:rFonts w:cs="Arial"/>
                <w:color w:val="1A1A2E"/>
                <w:sz w:val="20"/>
              </w:rPr>
              <w:t>UUID of the affected record in its source table. Combined with entity_type, uniquely identifies the record requiring synchronization.</w:t>
            </w:r>
          </w:p>
        </w:tc>
      </w:tr>
      <w:tr>
        <w:trPr/>
        <w:tc>
          <w:tcPr>
            <w:tcW w:w="1560" w:type="dxa"/>
            <w:tcBorders/>
          </w:tcPr>
          <w:p>
            <w:pPr>
              <w:pStyle w:val="Normal"/>
              <w:rPr/>
            </w:pPr>
            <w:r>
              <w:rPr>
                <w:rFonts w:cs="Arial"/>
                <w:color w:val="1A1A2E"/>
                <w:sz w:val="20"/>
              </w:rPr>
              <w:t>operation</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NOT NULL</w:t>
            </w:r>
          </w:p>
        </w:tc>
        <w:tc>
          <w:tcPr>
            <w:tcW w:w="4800" w:type="dxa"/>
            <w:tcBorders/>
          </w:tcPr>
          <w:p>
            <w:pPr>
              <w:pStyle w:val="Normal"/>
              <w:rPr/>
            </w:pPr>
            <w:r>
              <w:rPr>
                <w:rFonts w:cs="Arial"/>
                <w:color w:val="1A1A2E"/>
                <w:sz w:val="20"/>
              </w:rPr>
              <w:t>Enum: ‘create’ | ‘update’ | ‘delete’. Indicates the type of mutation. ‘delete’ entries correspond to soft-delete events — the deleted_at field having been set on the source record — and carry a minimal payload containing only the entity_id and deleted_at timestamp.</w:t>
            </w:r>
          </w:p>
        </w:tc>
      </w:tr>
      <w:tr>
        <w:trPr/>
        <w:tc>
          <w:tcPr>
            <w:tcW w:w="1560" w:type="dxa"/>
            <w:tcBorders/>
          </w:tcPr>
          <w:p>
            <w:pPr>
              <w:pStyle w:val="Normal"/>
              <w:rPr/>
            </w:pPr>
            <w:r>
              <w:rPr>
                <w:rFonts w:cs="Arial"/>
                <w:color w:val="1A1A2E"/>
                <w:sz w:val="20"/>
              </w:rPr>
              <w:t>payload_json</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NOT NULL</w:t>
            </w:r>
          </w:p>
        </w:tc>
        <w:tc>
          <w:tcPr>
            <w:tcW w:w="4800" w:type="dxa"/>
            <w:tcBorders/>
          </w:tcPr>
          <w:p>
            <w:pPr>
              <w:pStyle w:val="Normal"/>
              <w:rPr/>
            </w:pPr>
            <w:r>
              <w:rPr>
                <w:rFonts w:cs="Arial"/>
                <w:color w:val="1A1A2E"/>
                <w:sz w:val="20"/>
              </w:rPr>
              <w:t>A JSON snapshot of the entity record at the time the mutation occurred. For ‘create’ and ‘update’ operations, this is the full serialized entity. For ‘delete’ operations, this contains only the entity_id and deleted_at. The payload is what the sync engine sends to the Spring Boot API.</w:t>
            </w:r>
          </w:p>
        </w:tc>
      </w:tr>
      <w:tr>
        <w:trPr/>
        <w:tc>
          <w:tcPr>
            <w:tcW w:w="1560" w:type="dxa"/>
            <w:tcBorders/>
          </w:tcPr>
          <w:p>
            <w:pPr>
              <w:pStyle w:val="Normal"/>
              <w:rPr/>
            </w:pPr>
            <w:r>
              <w:rPr>
                <w:rFonts w:cs="Arial"/>
                <w:color w:val="1A1A2E"/>
                <w:sz w:val="20"/>
              </w:rPr>
              <w:t>status</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NOT NULL, DEFAULT ‘pending’</w:t>
            </w:r>
          </w:p>
        </w:tc>
        <w:tc>
          <w:tcPr>
            <w:tcW w:w="4800" w:type="dxa"/>
            <w:tcBorders/>
          </w:tcPr>
          <w:p>
            <w:pPr>
              <w:pStyle w:val="Normal"/>
              <w:rPr/>
            </w:pPr>
            <w:r>
              <w:rPr>
                <w:rFonts w:cs="Arial"/>
                <w:color w:val="1A1A2E"/>
                <w:sz w:val="20"/>
              </w:rPr>
              <w:t>Enum: ‘pending’ | ‘syncing’ | ‘synced’ | ‘failed’. ‘pending’ = written locally, awaiting transmission. ‘syncing’ = currently being transmitted (guards against duplicate dispatch). ‘synced’ = confirmed persisted to PostgreSQL. ‘failed’ = transmission failed after the maximum attempt count; requires manual inspection or retry. All rows default to ‘pending’ on creation and remain there indefinitely during MVP local-only use.</w:t>
            </w:r>
          </w:p>
        </w:tc>
      </w:tr>
      <w:tr>
        <w:trPr/>
        <w:tc>
          <w:tcPr>
            <w:tcW w:w="1560" w:type="dxa"/>
            <w:tcBorders/>
          </w:tcPr>
          <w:p>
            <w:pPr>
              <w:pStyle w:val="Normal"/>
              <w:rPr/>
            </w:pPr>
            <w:r>
              <w:rPr>
                <w:rFonts w:cs="Arial"/>
                <w:color w:val="1A1A2E"/>
                <w:sz w:val="20"/>
              </w:rPr>
              <w:t>attempt_count</w:t>
            </w:r>
          </w:p>
        </w:tc>
        <w:tc>
          <w:tcPr>
            <w:tcW w:w="958" w:type="dxa"/>
            <w:tcBorders/>
          </w:tcPr>
          <w:p>
            <w:pPr>
              <w:pStyle w:val="Normal"/>
              <w:rPr/>
            </w:pPr>
            <w:r>
              <w:rPr>
                <w:rFonts w:cs="Arial"/>
                <w:color w:val="1A1A2E"/>
                <w:sz w:val="20"/>
              </w:rPr>
              <w:t>INTEGER</w:t>
            </w:r>
          </w:p>
        </w:tc>
        <w:tc>
          <w:tcPr>
            <w:tcW w:w="2042" w:type="dxa"/>
            <w:tcBorders/>
          </w:tcPr>
          <w:p>
            <w:pPr>
              <w:pStyle w:val="Normal"/>
              <w:rPr/>
            </w:pPr>
            <w:r>
              <w:rPr>
                <w:rFonts w:cs="Arial"/>
                <w:color w:val="1A1A2E"/>
                <w:sz w:val="20"/>
              </w:rPr>
              <w:t>NOT NULL, DEFAULT 0</w:t>
            </w:r>
          </w:p>
        </w:tc>
        <w:tc>
          <w:tcPr>
            <w:tcW w:w="4800" w:type="dxa"/>
            <w:tcBorders/>
          </w:tcPr>
          <w:p>
            <w:pPr>
              <w:pStyle w:val="Normal"/>
              <w:rPr/>
            </w:pPr>
            <w:r>
              <w:rPr>
                <w:rFonts w:cs="Arial"/>
                <w:color w:val="1A1A2E"/>
                <w:sz w:val="20"/>
              </w:rPr>
              <w:t>Number of transmission attempts made by the sync engine. Incremented on each attempt. The sync engine transitions status to ‘failed’ after a configurable maximum (recommended: 5). Zero during MVP local-only operation.</w:t>
            </w:r>
          </w:p>
        </w:tc>
      </w:tr>
      <w:tr>
        <w:trPr/>
        <w:tc>
          <w:tcPr>
            <w:tcW w:w="1560" w:type="dxa"/>
            <w:tcBorders/>
          </w:tcPr>
          <w:p>
            <w:pPr>
              <w:pStyle w:val="Normal"/>
              <w:rPr/>
            </w:pPr>
            <w:r>
              <w:rPr>
                <w:rFonts w:cs="Arial"/>
                <w:color w:val="1A1A2E"/>
                <w:sz w:val="20"/>
              </w:rPr>
              <w:t>last_attempt_at</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NULL</w:t>
            </w:r>
          </w:p>
        </w:tc>
        <w:tc>
          <w:tcPr>
            <w:tcW w:w="4800" w:type="dxa"/>
            <w:tcBorders/>
          </w:tcPr>
          <w:p>
            <w:pPr>
              <w:pStyle w:val="Normal"/>
              <w:rPr/>
            </w:pPr>
            <w:r>
              <w:rPr>
                <w:rFonts w:cs="Arial"/>
                <w:color w:val="1A1A2E"/>
                <w:sz w:val="20"/>
              </w:rPr>
              <w:t>ISO 8601 UTC timestamp of the most recent transmission attempt. NULL when no attempt has been made. Used by the sync engine to implement exponential backoff between retries.</w:t>
            </w:r>
          </w:p>
        </w:tc>
      </w:tr>
      <w:tr>
        <w:trPr/>
        <w:tc>
          <w:tcPr>
            <w:tcW w:w="1560" w:type="dxa"/>
            <w:tcBorders/>
          </w:tcPr>
          <w:p>
            <w:pPr>
              <w:pStyle w:val="Normal"/>
              <w:rPr/>
            </w:pPr>
            <w:r>
              <w:rPr>
                <w:rFonts w:cs="Arial"/>
                <w:color w:val="1A1A2E"/>
                <w:sz w:val="20"/>
              </w:rPr>
              <w:t>error_message</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NULL</w:t>
            </w:r>
          </w:p>
        </w:tc>
        <w:tc>
          <w:tcPr>
            <w:tcW w:w="4800" w:type="dxa"/>
            <w:tcBorders/>
          </w:tcPr>
          <w:p>
            <w:pPr>
              <w:pStyle w:val="Normal"/>
              <w:rPr/>
            </w:pPr>
            <w:r>
              <w:rPr>
                <w:rFonts w:cs="Arial"/>
                <w:color w:val="1A1A2E"/>
                <w:sz w:val="20"/>
              </w:rPr>
              <w:t>The error response or exception message from the most recent failed transmission attempt. NULL when no error has occurred. Populated on failure for diagnostic purposes; not displayed to the user.</w:t>
            </w:r>
          </w:p>
        </w:tc>
      </w:tr>
      <w:tr>
        <w:trPr/>
        <w:tc>
          <w:tcPr>
            <w:tcW w:w="1560" w:type="dxa"/>
            <w:tcBorders/>
          </w:tcPr>
          <w:p>
            <w:pPr>
              <w:pStyle w:val="Normal"/>
              <w:rPr/>
            </w:pPr>
            <w:r>
              <w:rPr>
                <w:rFonts w:cs="Arial"/>
                <w:color w:val="1A1A2E"/>
                <w:sz w:val="20"/>
              </w:rPr>
              <w:t>created_at</w:t>
            </w:r>
          </w:p>
        </w:tc>
        <w:tc>
          <w:tcPr>
            <w:tcW w:w="958" w:type="dxa"/>
            <w:tcBorders/>
          </w:tcPr>
          <w:p>
            <w:pPr>
              <w:pStyle w:val="Normal"/>
              <w:rPr/>
            </w:pPr>
            <w:r>
              <w:rPr>
                <w:rFonts w:cs="Arial"/>
                <w:color w:val="1A1A2E"/>
                <w:sz w:val="20"/>
              </w:rPr>
              <w:t>TEXT</w:t>
            </w:r>
          </w:p>
        </w:tc>
        <w:tc>
          <w:tcPr>
            <w:tcW w:w="2042" w:type="dxa"/>
            <w:tcBorders/>
          </w:tcPr>
          <w:p>
            <w:pPr>
              <w:pStyle w:val="Normal"/>
              <w:rPr/>
            </w:pPr>
            <w:r>
              <w:rPr>
                <w:rFonts w:cs="Arial"/>
                <w:color w:val="1A1A2E"/>
                <w:sz w:val="20"/>
              </w:rPr>
              <w:t>NOT NULL</w:t>
            </w:r>
          </w:p>
        </w:tc>
        <w:tc>
          <w:tcPr>
            <w:tcW w:w="4800" w:type="dxa"/>
            <w:tcBorders/>
          </w:tcPr>
          <w:p>
            <w:pPr>
              <w:pStyle w:val="Normal"/>
              <w:rPr/>
            </w:pPr>
            <w:r>
              <w:rPr>
                <w:rFonts w:cs="Arial"/>
                <w:color w:val="1A1A2E"/>
                <w:sz w:val="20"/>
              </w:rPr>
              <w:t>ISO 8601 UTC timestamp. Set at the moment the mutation is written to the queue. Used to order entries chronologically for transmission — the sync engine processes entries in ascending created_at order to ensure the backend receives changes in the correct sequence.</w:t>
            </w:r>
          </w:p>
        </w:tc>
      </w:tr>
    </w:tbl>
    <w:p>
      <w:pPr>
        <w:pStyle w:val="Normal"/>
        <w:spacing w:before="0" w:after="160"/>
        <w:rPr/>
      </w:pPr>
      <w:r>
        <w:rPr/>
      </w:r>
    </w:p>
    <w:p>
      <w:pPr>
        <w:pStyle w:val="Heading2"/>
        <w:rPr/>
      </w:pPr>
      <w:r>
        <w:rPr/>
        <w:t>Status Lifecycle</w:t>
      </w:r>
    </w:p>
    <w:p>
      <w:pPr>
        <w:pStyle w:val="Normal"/>
        <w:spacing w:before="0" w:after="140"/>
        <w:rPr/>
      </w:pPr>
      <w:r>
        <w:rPr>
          <w:rFonts w:eastAsia="Arial" w:cs="Arial"/>
          <w:sz w:val="24"/>
          <w:szCs w:val="24"/>
        </w:rPr>
        <w:t>Every sync_queue row begins in ‘pending’ status when written. During MVP local-only operation it remains in ‘pending’ indefinitely — it is never read, never processed, and has no operational effect. When the premium sync engine is activated, the following lifecycle applies:</w:t>
      </w:r>
    </w:p>
    <w:p>
      <w:pPr>
        <w:pStyle w:val="Normal"/>
        <w:numPr>
          <w:ilvl w:val="0"/>
          <w:numId w:val="4"/>
        </w:numPr>
        <w:spacing w:before="0" w:after="80"/>
        <w:rPr/>
      </w:pPr>
      <w:r>
        <w:rPr>
          <w:rFonts w:eastAsia="Arial" w:cs="Arial"/>
          <w:sz w:val="22"/>
        </w:rPr>
        <w:t>pending → syncing: the sync engine selects the next pending row, sets status to ‘syncing’ to prevent concurrent dispatch, and begins transmission to the Spring Boot API.</w:t>
      </w:r>
    </w:p>
    <w:p>
      <w:pPr>
        <w:pStyle w:val="Normal"/>
        <w:numPr>
          <w:ilvl w:val="0"/>
          <w:numId w:val="4"/>
        </w:numPr>
        <w:spacing w:before="0" w:after="80"/>
        <w:rPr/>
      </w:pPr>
      <w:r>
        <w:rPr>
          <w:rFonts w:eastAsia="Arial" w:cs="Arial"/>
          <w:sz w:val="22"/>
        </w:rPr>
        <w:t>syncing → synced: the API confirms successful persistence to PostgreSQL. The row is marked ‘synced’ and is no longer processed.</w:t>
      </w:r>
    </w:p>
    <w:p>
      <w:pPr>
        <w:pStyle w:val="Normal"/>
        <w:numPr>
          <w:ilvl w:val="0"/>
          <w:numId w:val="4"/>
        </w:numPr>
        <w:spacing w:before="0" w:after="80"/>
        <w:rPr/>
      </w:pPr>
      <w:r>
        <w:rPr>
          <w:rFonts w:eastAsia="Arial" w:cs="Arial"/>
          <w:sz w:val="22"/>
        </w:rPr>
        <w:t>syncing → pending (retry): the transmission fails. The row is returned to ‘pending’, attempt_count is incremented, last_attempt_at and error_message are updated, and the sync engine applies exponential backoff before the next attempt.</w:t>
      </w:r>
    </w:p>
    <w:p>
      <w:pPr>
        <w:pStyle w:val="Normal"/>
        <w:numPr>
          <w:ilvl w:val="0"/>
          <w:numId w:val="4"/>
        </w:numPr>
        <w:spacing w:before="0" w:after="80"/>
        <w:rPr/>
      </w:pPr>
      <w:r>
        <w:rPr>
          <w:rFonts w:eastAsia="Arial" w:cs="Arial"/>
          <w:sz w:val="22"/>
        </w:rPr>
        <w:t>pending → failed: attempt_count reaches the configured maximum. The row is marked ‘failed’ and excluded from automatic retry. Failed rows are surfaced to the engineering diagnostic layer only — they are never displayed to the user.</w:t>
      </w:r>
    </w:p>
    <w:p>
      <w:pPr>
        <w:pStyle w:val="Normal"/>
        <w:spacing w:before="0" w:after="160"/>
        <w:rPr/>
      </w:pPr>
      <w:r>
        <w:rPr/>
      </w:r>
    </w:p>
    <w:p>
      <w:pPr>
        <w:pStyle w:val="Heading2"/>
        <w:rPr/>
      </w:pPr>
      <w:r>
        <w:rPr/>
        <w:t>Indexing</w:t>
      </w:r>
    </w:p>
    <w:p>
      <w:pPr>
        <w:pStyle w:val="Normal"/>
        <w:spacing w:before="0" w:after="140"/>
        <w:rPr/>
      </w:pPr>
      <w:r>
        <w:rPr>
          <w:rFonts w:eastAsia="Arial" w:cs="Arial"/>
          <w:sz w:val="24"/>
          <w:szCs w:val="24"/>
        </w:rPr>
        <w:t>Two indexes support the sync engine’s primary query patterns when it becomes active in the premium release:</w:t>
      </w:r>
    </w:p>
    <w:p>
      <w:pPr>
        <w:pStyle w:val="Normal"/>
        <w:numPr>
          <w:ilvl w:val="0"/>
          <w:numId w:val="5"/>
        </w:numPr>
        <w:spacing w:before="0" w:after="80"/>
        <w:rPr/>
      </w:pPr>
      <w:r>
        <w:rPr>
          <w:rFonts w:eastAsia="Arial" w:cs="Arial"/>
          <w:sz w:val="22"/>
        </w:rPr>
        <w:t>idx_sync_queue_pending: (profile_id, status, created_at) — supports the primary sync engine query: SELECT pending rows for a profile in chronological order.</w:t>
      </w:r>
    </w:p>
    <w:p>
      <w:pPr>
        <w:pStyle w:val="Normal"/>
        <w:numPr>
          <w:ilvl w:val="0"/>
          <w:numId w:val="5"/>
        </w:numPr>
        <w:spacing w:before="0" w:after="80"/>
        <w:rPr/>
      </w:pPr>
      <w:r>
        <w:rPr>
          <w:rFonts w:eastAsia="Arial" w:cs="Arial"/>
          <w:sz w:val="22"/>
        </w:rPr>
        <w:t>idx_sync_queue_entity: (entity_type, entity_id) — supports deduplication checks: before writing a new queue entry for a given entity, the application can verify whether a pending entry for that entity already exists and coalesce them into a single update entry rather than accumulating redundant records.</w:t>
      </w:r>
    </w:p>
    <w:p>
      <w:pPr>
        <w:pStyle w:val="Normal"/>
        <w:spacing w:before="0" w:after="160"/>
        <w:rPr/>
      </w:pPr>
      <w:r>
        <w:rPr/>
      </w:r>
    </w:p>
    <w:p>
      <w:pPr>
        <w:pStyle w:val="Heading2"/>
        <w:rPr/>
      </w:pPr>
      <w:r>
        <w:rPr/>
        <w:t>Relationship and ERD Notes</w:t>
      </w:r>
    </w:p>
    <w:p>
      <w:pPr>
        <w:pStyle w:val="Normal"/>
        <w:numPr>
          <w:ilvl w:val="0"/>
          <w:numId w:val="5"/>
        </w:numPr>
        <w:spacing w:before="0" w:after="80"/>
        <w:rPr/>
      </w:pPr>
      <w:r>
        <w:rPr>
          <w:rFonts w:eastAsia="Arial" w:cs="Arial"/>
          <w:sz w:val="22"/>
        </w:rPr>
        <w:t>profiles 1:N sync_queue — a profile owns all of its queue entries.</w:t>
      </w:r>
    </w:p>
    <w:p>
      <w:pPr>
        <w:pStyle w:val="Normal"/>
        <w:numPr>
          <w:ilvl w:val="0"/>
          <w:numId w:val="5"/>
        </w:numPr>
        <w:spacing w:before="0" w:after="80"/>
        <w:rPr/>
      </w:pPr>
      <w:r>
        <w:rPr>
          <w:rFonts w:eastAsia="Arial" w:cs="Arial"/>
          <w:sz w:val="22"/>
        </w:rPr>
        <w:t>sync_queue has no direct foreign keys to financial entities. The entity_type and entity_id fields are a logical reference, not a referential constraint. This is intentional: enforcing a foreign key from sync_queue to every financial table would complicate soft-delete handling and add no operational value during the MVP phase.</w:t>
      </w:r>
    </w:p>
    <w:p>
      <w:pPr>
        <w:pStyle w:val="Normal"/>
        <w:numPr>
          <w:ilvl w:val="0"/>
          <w:numId w:val="5"/>
        </w:numPr>
        <w:spacing w:before="0" w:after="80"/>
        <w:rPr/>
      </w:pPr>
      <w:r>
        <w:rPr>
          <w:rFonts w:eastAsia="Arial" w:cs="Arial"/>
          <w:sz w:val="22"/>
        </w:rPr>
        <w:t>For ERD layout: position sync_queue in the Operational Support cluster alongside activity_log and notification_settings, connected only to profiles. Do not draw relationship lines from sync_queue to financial entities — the logical reference is represented in the entity_type and entity_id column descriptions, not as a diagram relationship.</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26</w:t>
    </w:r>
    <w:r>
      <w:rPr>
        <w:rFonts w:eastAsia="Arial" w:cs="Arial"/>
        <w:color w:val="1A1A2E"/>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26</w:t>
    </w:r>
    <w:r>
      <w:rPr>
        <w:rFonts w:eastAsia="Arial" w:cs="Arial"/>
        <w:color w:val="1A1A2E"/>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Database Design Document v2.0</w: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Database Design Document v2.0</w:t>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Arial" w:hAnsi="Arial" w:cs="Arial" w:hint="default"/>
        <w:color w:val="1A1A2E"/>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20" w:hanging="360"/>
      </w:pPr>
      <w:rPr>
        <w:rFonts w:ascii="Arial" w:hAnsi="Arial" w:eastAsia="Arial" w:cs="Arial"/>
        <w:color w:val="1A1A2E"/>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Arial" w:hAnsi="Arial" w:cs="Arial" w:hint="default"/>
        <w:color w:val="1A1A2E"/>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rFonts w:ascii="Arial" w:hAnsi="Arial" w:eastAsia="Arial" w:cs="Arial"/>
        <w:color w:val="1A1A2E"/>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4"/>
      <w:szCs w:val="24"/>
      <w:lang w:val="en-US" w:eastAsia="zh-CN" w:bidi="hi-IN"/>
    </w:rPr>
  </w:style>
  <w:style w:type="paragraph" w:styleId="Heading1">
    <w:name w:val="heading 1"/>
    <w:basedOn w:val="Heading"/>
    <w:qFormat/>
    <w:pPr>
      <w:pBdr>
        <w:bottom w:val="single" w:sz="4" w:space="6" w:color="1B5E8C"/>
      </w:pBdr>
      <w:spacing w:before="400" w:after="140"/>
      <w:outlineLvl w:val="0"/>
    </w:pPr>
    <w:rPr>
      <w:rFonts w:ascii="Arial" w:hAnsi="Arial" w:eastAsia="Arial" w:cs="Arial"/>
      <w:b/>
      <w:bCs/>
      <w:color w:val="1B5E8C"/>
      <w:sz w:val="34"/>
      <w:szCs w:val="34"/>
    </w:rPr>
  </w:style>
  <w:style w:type="paragraph" w:styleId="Heading2">
    <w:name w:val="heading 2"/>
    <w:basedOn w:val="Heading"/>
    <w:qFormat/>
    <w:pPr>
      <w:spacing w:before="280" w:after="100"/>
      <w:outlineLvl w:val="1"/>
    </w:pPr>
    <w:rPr>
      <w:rFonts w:ascii="Arial" w:hAnsi="Arial" w:eastAsia="Arial" w:cs="Arial"/>
      <w:b/>
      <w:bCs/>
      <w:color w:val="1A1A2E"/>
      <w:sz w:val="26"/>
      <w:szCs w:val="26"/>
    </w:rPr>
  </w:style>
  <w:style w:type="paragraph" w:styleId="Heading3">
    <w:name w:val="heading 3"/>
    <w:basedOn w:val="Heading"/>
    <w:qFormat/>
    <w:pPr>
      <w:spacing w:before="200" w:after="80"/>
      <w:outlineLvl w:val="2"/>
    </w:pPr>
    <w:rPr>
      <w:rFonts w:ascii="Arial" w:hAnsi="Arial" w:eastAsia="Arial" w:cs="Arial"/>
      <w:b/>
      <w:bCs/>
      <w:color w:val="5A5A6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26</Pages>
  <Words>7894</Words>
  <Characters>47717</Characters>
  <CharactersWithSpaces>54888</CharactersWithSpaces>
  <Paragraphs>792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2026-05-05T03:29:17Z</dcterms:created>
  <dc:creator>Un-named</dc:creator>
  <dc:description/>
  <dc:language>en-US</dc:language>
  <cp:lastModifiedBy/>
  <dcterms:modified xsi:type="dcterms:W3CDTF">2026-05-05T01:11:22Z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