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800"/>
        <w:rPr/>
      </w:pPr>
      <w:r>
        <w:rPr/>
      </w:r>
    </w:p>
    <w:p>
      <w:pPr>
        <w:pStyle w:val="Normal"/>
        <w:spacing w:before="0" w:after="160"/>
        <w:jc w:val="center"/>
        <w:rPr/>
      </w:pPr>
      <w:r>
        <w:rPr>
          <w:rFonts w:eastAsia="Arial" w:cs="Arial"/>
          <w:b/>
          <w:bCs/>
          <w:color w:val="1B5E8C"/>
          <w:sz w:val="80"/>
          <w:szCs w:val="80"/>
        </w:rPr>
        <w:t>BUDGET FLOW</w:t>
      </w:r>
    </w:p>
    <w:p>
      <w:pPr>
        <w:pStyle w:val="Normal"/>
        <w:spacing w:before="0" w:after="120"/>
        <w:jc w:val="center"/>
        <w:rPr/>
      </w:pPr>
      <w:r>
        <w:rPr>
          <w:rFonts w:eastAsia="Arial" w:cs="Arial"/>
          <w:b/>
          <w:bCs/>
          <w:color w:val="1A1A2E"/>
          <w:sz w:val="34"/>
          <w:szCs w:val="34"/>
        </w:rPr>
        <w:t>Functional Requirements Specification</w:t>
      </w:r>
    </w:p>
    <w:p>
      <w:pPr>
        <w:pStyle w:val="Normal"/>
        <w:spacing w:before="0" w:after="560"/>
        <w:jc w:val="center"/>
        <w:rPr/>
      </w:pPr>
      <w:r>
        <w:rPr>
          <w:rFonts w:eastAsia="Arial" w:cs="Arial"/>
          <w:color w:val="5A5A6E"/>
          <w:sz w:val="26"/>
          <w:szCs w:val="26"/>
        </w:rPr>
        <w:t>FRS — Version 1.0</w:t>
      </w:r>
    </w:p>
    <w:p>
      <w:pPr>
        <w:pStyle w:val="Normal"/>
        <w:pBdr>
          <w:top w:val="single" w:sz="4" w:space="1" w:color="1B5E8C"/>
          <w:bottom w:val="single" w:sz="4" w:space="1" w:color="1B5E8C"/>
        </w:pBdr>
        <w:spacing w:before="160" w:after="160"/>
        <w:jc w:val="center"/>
        <w:rPr>
          <w:rFonts w:ascii="Arial" w:hAnsi="Arial" w:eastAsia="Arial" w:cs="Arial"/>
          <w:i/>
          <w:iCs/>
          <w:color w:val="5A5A6E"/>
          <w:sz w:val="22"/>
          <w:szCs w:val="22"/>
        </w:rPr>
      </w:pPr>
      <w:r>
        <w:rPr/>
      </w:r>
    </w:p>
    <w:p>
      <w:pPr>
        <w:pStyle w:val="Normal"/>
        <w:spacing w:before="0" w:after="400"/>
        <w:rPr/>
      </w:pPr>
      <w:r>
        <w:rPr/>
      </w:r>
    </w:p>
    <w:p>
      <w:pPr>
        <w:pStyle w:val="Normal"/>
        <w:jc w:val="center"/>
        <w:rPr/>
      </w:pPr>
      <w:r>
        <w:rPr>
          <w:rFonts w:eastAsia="Arial" w:cs="Arial"/>
          <w:color w:val="5A5A6E"/>
          <w:sz w:val="22"/>
          <w:szCs w:val="22"/>
        </w:rPr>
        <w:t>Version 1.0   |   May 2025</w:t>
      </w:r>
    </w:p>
    <w:p>
      <w:pPr>
        <w:pStyle w:val="Normal"/>
        <w:spacing w:before="0" w:after="0"/>
        <w:rPr/>
        <w:sectPr>
          <w:type w:val="nextPage"/>
          <w:pgSz w:w="12240" w:h="15840"/>
          <w:pgMar w:left="1440" w:right="1440" w:gutter="0" w:header="0" w:top="1440" w:footer="0" w:bottom="1440"/>
          <w:pgNumType w:fmt="decimal"/>
          <w:formProt w:val="false"/>
          <w:textDirection w:val="lrTb"/>
          <w:docGrid w:type="default" w:linePitch="360" w:charSpace="0"/>
        </w:sectPr>
      </w:pPr>
      <w:r>
        <w:rPr/>
      </w:r>
      <w:r>
        <w:br w:type="page"/>
      </w:r>
    </w:p>
    <w:p>
      <w:pPr>
        <w:pStyle w:val="Heading1"/>
        <w:rPr/>
      </w:pPr>
      <w:r>
        <w:rPr/>
        <w:t>Purpose</w:t>
      </w:r>
    </w:p>
    <w:p>
      <w:pPr>
        <w:pStyle w:val="Normal"/>
        <w:spacing w:before="0" w:after="140"/>
        <w:jc w:val="start"/>
        <w:rPr/>
      </w:pPr>
      <w:r>
        <w:rPr>
          <w:rFonts w:eastAsia="Arial" w:cs="Arial"/>
          <w:color w:val="1A1A2E"/>
          <w:sz w:val="24"/>
          <w:szCs w:val="24"/>
        </w:rPr>
        <w:t>This Functional Requirements Specification (FRS) defines the expected system behaviors, financial calculation logic, interaction rules, and operational requirements for the Budget Flow MVP application. It serves as the authoritative behavioral contract between product intent and engineering implementation, and should be read in conjunction with the User Requirements Document, User Stories &amp; Use Cases, and System Architecture Design.</w:t>
      </w:r>
    </w:p>
    <w:p>
      <w:pPr>
        <w:pStyle w:val="Normal"/>
        <w:spacing w:before="0" w:after="160"/>
        <w:rPr/>
      </w:pPr>
      <w:r>
        <w:rPr/>
      </w:r>
    </w:p>
    <w:p>
      <w:pPr>
        <w:pStyle w:val="Heading1"/>
        <w:rPr/>
      </w:pPr>
      <w:r>
        <w:rPr/>
        <w:t>Core Product Philosophy</w:t>
      </w:r>
    </w:p>
    <w:p>
      <w:pPr>
        <w:pStyle w:val="Normal"/>
        <w:spacing w:before="0" w:after="140"/>
        <w:jc w:val="start"/>
        <w:rPr/>
      </w:pPr>
      <w:r>
        <w:rPr>
          <w:rFonts w:eastAsia="Arial" w:cs="Arial"/>
          <w:color w:val="1A1A2E"/>
          <w:sz w:val="24"/>
          <w:szCs w:val="24"/>
        </w:rPr>
        <w:t>Budget Flow prioritizes practical, paycheck-to-paycheck financial awareness through a calm, low-friction, and local-first budgeting experience. The application focuses on running balance visibility, recurring obligation management, and safe-to-spend clarity — rather than analytical budgeting complexity or automated financial intelligence. Every system behavior defined in this specification must align with the principle that the application should reduce financial stress, not amplify it.</w:t>
      </w:r>
    </w:p>
    <w:p>
      <w:pPr>
        <w:pStyle w:val="Normal"/>
        <w:spacing w:before="0" w:after="160"/>
        <w:rPr/>
      </w:pPr>
      <w:r>
        <w:rPr/>
      </w:r>
    </w:p>
    <w:p>
      <w:pPr>
        <w:pStyle w:val="Heading1"/>
        <w:rPr/>
      </w:pPr>
      <w:r>
        <w:rPr/>
        <w:t>Safe-to-Spend Logic</w:t>
      </w:r>
    </w:p>
    <w:p>
      <w:pPr>
        <w:pStyle w:val="Normal"/>
        <w:spacing w:before="0" w:after="140"/>
        <w:jc w:val="start"/>
        <w:rPr/>
      </w:pPr>
      <w:r>
        <w:rPr>
          <w:rFonts w:eastAsia="Arial" w:cs="Arial"/>
          <w:color w:val="1A1A2E"/>
          <w:sz w:val="24"/>
          <w:szCs w:val="24"/>
        </w:rPr>
        <w:t>Safe-to-spend is the application's primary financial indicator and must be calculated with precision and consistency. The following rules govern its behavior:</w:t>
      </w:r>
    </w:p>
    <w:p>
      <w:pPr>
        <w:pStyle w:val="Normal"/>
        <w:spacing w:before="0" w:after="80"/>
        <w:rPr/>
      </w:pPr>
      <w:r>
        <w:rPr/>
      </w:r>
    </w:p>
    <w:p>
      <w:pPr>
        <w:pStyle w:val="ListParagraph"/>
        <w:numPr>
          <w:ilvl w:val="0"/>
          <w:numId w:val="3"/>
        </w:numPr>
        <w:rPr/>
      </w:pPr>
      <w:r>
        <w:rPr>
          <w:rFonts w:eastAsia="Arial" w:cs="Arial"/>
          <w:color w:val="1A1A2E"/>
          <w:sz w:val="22"/>
          <w:szCs w:val="22"/>
        </w:rPr>
        <w:t>Safe-to-spend must be calculated exclusively from money the user currently possesses — confirmed, received funds only</w:t>
      </w:r>
    </w:p>
    <w:p>
      <w:pPr>
        <w:pStyle w:val="ListParagraph"/>
        <w:numPr>
          <w:ilvl w:val="0"/>
          <w:numId w:val="1"/>
        </w:numPr>
        <w:rPr/>
      </w:pPr>
      <w:r>
        <w:rPr>
          <w:rFonts w:eastAsia="Arial" w:cs="Arial"/>
          <w:color w:val="1A1A2E"/>
          <w:sz w:val="22"/>
          <w:szCs w:val="22"/>
        </w:rPr>
        <w:t>Future projected paychecks must not increase the safe-to-spend amount until the user manually confirms receipt of that paycheck</w:t>
      </w:r>
    </w:p>
    <w:p>
      <w:pPr>
        <w:pStyle w:val="ListParagraph"/>
        <w:numPr>
          <w:ilvl w:val="0"/>
          <w:numId w:val="1"/>
        </w:numPr>
        <w:rPr/>
      </w:pPr>
      <w:r>
        <w:rPr>
          <w:rFonts w:eastAsia="Arial" w:cs="Arial"/>
          <w:color w:val="1A1A2E"/>
          <w:sz w:val="22"/>
          <w:szCs w:val="22"/>
        </w:rPr>
        <w:t>The safe-to-spend amount must be reduced by all confirmed recurring bills due before the next paycheck</w:t>
      </w:r>
    </w:p>
    <w:p>
      <w:pPr>
        <w:pStyle w:val="ListParagraph"/>
        <w:numPr>
          <w:ilvl w:val="0"/>
          <w:numId w:val="1"/>
        </w:numPr>
        <w:rPr/>
      </w:pPr>
      <w:r>
        <w:rPr>
          <w:rFonts w:eastAsia="Arial" w:cs="Arial"/>
          <w:color w:val="1A1A2E"/>
          <w:sz w:val="22"/>
          <w:szCs w:val="22"/>
        </w:rPr>
        <w:t>The safe-to-spend amount must be reduced by all estimated variable recurring bills due before the next paycheck</w:t>
      </w:r>
    </w:p>
    <w:p>
      <w:pPr>
        <w:pStyle w:val="ListParagraph"/>
        <w:numPr>
          <w:ilvl w:val="0"/>
          <w:numId w:val="1"/>
        </w:numPr>
        <w:rPr/>
      </w:pPr>
      <w:r>
        <w:rPr>
          <w:rFonts w:eastAsia="Arial" w:cs="Arial"/>
          <w:color w:val="1A1A2E"/>
          <w:sz w:val="22"/>
          <w:szCs w:val="22"/>
        </w:rPr>
        <w:t>The safe-to-spend amount must be reduced by all pending purchases immediately upon entry</w:t>
      </w:r>
    </w:p>
    <w:p>
      <w:pPr>
        <w:pStyle w:val="ListParagraph"/>
        <w:numPr>
          <w:ilvl w:val="0"/>
          <w:numId w:val="1"/>
        </w:numPr>
        <w:rPr/>
      </w:pPr>
      <w:r>
        <w:rPr>
          <w:rFonts w:eastAsia="Arial" w:cs="Arial"/>
          <w:color w:val="1A1A2E"/>
          <w:sz w:val="22"/>
          <w:szCs w:val="22"/>
        </w:rPr>
        <w:t>The safe-to-spend amount must be reduced by all charged purchases</w:t>
      </w:r>
    </w:p>
    <w:p>
      <w:pPr>
        <w:pStyle w:val="ListParagraph"/>
        <w:numPr>
          <w:ilvl w:val="0"/>
          <w:numId w:val="1"/>
        </w:numPr>
        <w:rPr/>
      </w:pPr>
      <w:r>
        <w:rPr>
          <w:rFonts w:eastAsia="Arial" w:cs="Arial"/>
          <w:color w:val="1A1A2E"/>
          <w:sz w:val="22"/>
          <w:szCs w:val="22"/>
        </w:rPr>
        <w:t>The safe-to-spend amount must be reduced by the user-defined Essential Reserve amount at all times</w:t>
      </w:r>
    </w:p>
    <w:p>
      <w:pPr>
        <w:pStyle w:val="Normal"/>
        <w:spacing w:before="0" w:after="80"/>
        <w:rPr/>
      </w:pPr>
      <w:r>
        <w:rPr/>
      </w:r>
    </w:p>
    <w:p>
      <w:pPr>
        <w:pStyle w:val="Normal"/>
        <w:spacing w:before="0" w:after="140"/>
        <w:jc w:val="start"/>
        <w:rPr/>
      </w:pPr>
      <w:r>
        <w:rPr>
          <w:rFonts w:eastAsia="Arial" w:cs="Arial"/>
          <w:color w:val="1A1A2E"/>
          <w:sz w:val="24"/>
          <w:szCs w:val="24"/>
        </w:rPr>
        <w:t>Any change to the inputs above — including paycheck confirmations, bill updates, purchase entries, or reserve adjustments — must trigger an immediate recalculation of the safe-to-spend amount.</w:t>
      </w:r>
    </w:p>
    <w:p>
      <w:pPr>
        <w:pStyle w:val="Normal"/>
        <w:spacing w:before="0" w:after="160"/>
        <w:rPr/>
      </w:pPr>
      <w:r>
        <w:rPr/>
      </w:r>
    </w:p>
    <w:p>
      <w:pPr>
        <w:pStyle w:val="Heading1"/>
        <w:rPr/>
      </w:pPr>
      <w:r>
        <w:rPr/>
        <w:t>Pending Purchase Logic</w:t>
      </w:r>
    </w:p>
    <w:p>
      <w:pPr>
        <w:pStyle w:val="Normal"/>
        <w:spacing w:before="0" w:after="140"/>
        <w:jc w:val="start"/>
        <w:rPr/>
      </w:pPr>
      <w:r>
        <w:rPr>
          <w:rFonts w:eastAsia="Arial" w:cs="Arial"/>
          <w:color w:val="1A1A2E"/>
          <w:sz w:val="24"/>
          <w:szCs w:val="24"/>
        </w:rPr>
        <w:t>Purchases may be recorded in one of two states, each serving a distinct purpose in financial tracking:</w:t>
      </w:r>
    </w:p>
    <w:p>
      <w:pPr>
        <w:pStyle w:val="Normal"/>
        <w:spacing w:before="0" w:after="80"/>
        <w:rPr/>
      </w:pPr>
      <w:r>
        <w:rPr/>
      </w:r>
    </w:p>
    <w:p>
      <w:pPr>
        <w:pStyle w:val="ListParagraph"/>
        <w:numPr>
          <w:ilvl w:val="0"/>
          <w:numId w:val="1"/>
        </w:numPr>
        <w:rPr/>
      </w:pPr>
      <w:r>
        <w:rPr>
          <w:rFonts w:eastAsia="Arial" w:cs="Arial"/>
          <w:color w:val="1A1A2E"/>
          <w:sz w:val="22"/>
          <w:szCs w:val="22"/>
        </w:rPr>
        <w:t>Charged: a finalized transaction that has been applied to the account and will not change</w:t>
      </w:r>
    </w:p>
    <w:p>
      <w:pPr>
        <w:pStyle w:val="ListParagraph"/>
        <w:numPr>
          <w:ilvl w:val="0"/>
          <w:numId w:val="1"/>
        </w:numPr>
        <w:rPr/>
      </w:pPr>
      <w:r>
        <w:rPr>
          <w:rFonts w:eastAsia="Arial" w:cs="Arial"/>
          <w:color w:val="1A1A2E"/>
          <w:sz w:val="22"/>
          <w:szCs w:val="22"/>
        </w:rPr>
        <w:t>Pending: an unsettled or adjustable transaction, such as a restaurant tip hold, gas station authorization, or temporary charge</w:t>
      </w:r>
    </w:p>
    <w:p>
      <w:pPr>
        <w:pStyle w:val="Normal"/>
        <w:spacing w:before="0" w:after="80"/>
        <w:rPr/>
      </w:pPr>
      <w:r>
        <w:rPr/>
      </w:r>
    </w:p>
    <w:p>
      <w:pPr>
        <w:pStyle w:val="Normal"/>
        <w:spacing w:before="0" w:after="140"/>
        <w:jc w:val="start"/>
        <w:rPr/>
      </w:pPr>
      <w:r>
        <w:rPr>
          <w:rFonts w:eastAsia="Arial" w:cs="Arial"/>
          <w:color w:val="1A1A2E"/>
          <w:sz w:val="24"/>
          <w:szCs w:val="24"/>
        </w:rPr>
        <w:t>Pending purchases must reduce the safe-to-spend amount immediately upon entry, regardless of settlement status. This ensures users are never presented with an optimistic balance that does not account for outstanding obligations. The application should issue a single, calm, non-repetitive reminder if a pending purchase remains unresolved beyond a reasonable period.</w:t>
      </w:r>
    </w:p>
    <w:p>
      <w:pPr>
        <w:pStyle w:val="Normal"/>
        <w:spacing w:before="0" w:after="160"/>
        <w:rPr/>
      </w:pPr>
      <w:r>
        <w:rPr/>
      </w:r>
    </w:p>
    <w:p>
      <w:pPr>
        <w:pStyle w:val="Heading1"/>
        <w:rPr/>
      </w:pPr>
      <w:r>
        <w:rPr/>
        <w:t>Variable Recurring Bill Logic</w:t>
      </w:r>
    </w:p>
    <w:p>
      <w:pPr>
        <w:pStyle w:val="Normal"/>
        <w:spacing w:before="0" w:after="140"/>
        <w:jc w:val="start"/>
        <w:rPr/>
      </w:pPr>
      <w:r>
        <w:rPr>
          <w:rFonts w:eastAsia="Arial" w:cs="Arial"/>
          <w:color w:val="1A1A2E"/>
          <w:sz w:val="24"/>
          <w:szCs w:val="24"/>
        </w:rPr>
        <w:t>Variable recurring bills — such as utility payments, electricity bills, and revolving credit card balances — require special handling to maintain projection accuracy without creating unnecessary friction:</w:t>
      </w:r>
    </w:p>
    <w:p>
      <w:pPr>
        <w:pStyle w:val="Normal"/>
        <w:spacing w:before="0" w:after="80"/>
        <w:rPr/>
      </w:pPr>
      <w:r>
        <w:rPr/>
      </w:r>
    </w:p>
    <w:p>
      <w:pPr>
        <w:pStyle w:val="ListParagraph"/>
        <w:numPr>
          <w:ilvl w:val="0"/>
          <w:numId w:val="1"/>
        </w:numPr>
        <w:rPr/>
      </w:pPr>
      <w:r>
        <w:rPr>
          <w:rFonts w:eastAsia="Arial" w:cs="Arial"/>
          <w:color w:val="1A1A2E"/>
          <w:sz w:val="22"/>
          <w:szCs w:val="22"/>
        </w:rPr>
        <w:t>A variable bill must automatically use the most recently confirmed payment amount as its estimate for the current cycle</w:t>
      </w:r>
    </w:p>
    <w:p>
      <w:pPr>
        <w:pStyle w:val="ListParagraph"/>
        <w:numPr>
          <w:ilvl w:val="0"/>
          <w:numId w:val="1"/>
        </w:numPr>
        <w:rPr/>
      </w:pPr>
      <w:r>
        <w:rPr>
          <w:rFonts w:eastAsia="Arial" w:cs="Arial"/>
          <w:color w:val="1A1A2E"/>
          <w:sz w:val="22"/>
          <w:szCs w:val="22"/>
        </w:rPr>
        <w:t>Estimated bills must reduce safe-to-spend in the same manner as confirmed bills</w:t>
      </w:r>
    </w:p>
    <w:p>
      <w:pPr>
        <w:pStyle w:val="ListParagraph"/>
        <w:numPr>
          <w:ilvl w:val="0"/>
          <w:numId w:val="1"/>
        </w:numPr>
        <w:rPr/>
      </w:pPr>
      <w:r>
        <w:rPr>
          <w:rFonts w:eastAsia="Arial" w:cs="Arial"/>
          <w:color w:val="1A1A2E"/>
          <w:sz w:val="22"/>
          <w:szCs w:val="22"/>
        </w:rPr>
        <w:t>Estimated bills must be clearly labeled as estimated in the interface to prevent user confusion</w:t>
      </w:r>
    </w:p>
    <w:p>
      <w:pPr>
        <w:pStyle w:val="ListParagraph"/>
        <w:numPr>
          <w:ilvl w:val="0"/>
          <w:numId w:val="1"/>
        </w:numPr>
        <w:rPr/>
      </w:pPr>
      <w:r>
        <w:rPr>
          <w:rFonts w:eastAsia="Arial" w:cs="Arial"/>
          <w:color w:val="1A1A2E"/>
          <w:sz w:val="22"/>
          <w:szCs w:val="22"/>
        </w:rPr>
        <w:t>Upon user confirmation of the actual amount, all balance and safe-to-spend calculations must recalculate automatically</w:t>
      </w:r>
    </w:p>
    <w:p>
      <w:pPr>
        <w:pStyle w:val="Normal"/>
        <w:spacing w:before="0" w:after="160"/>
        <w:rPr/>
      </w:pPr>
      <w:r>
        <w:rPr/>
      </w:r>
    </w:p>
    <w:p>
      <w:pPr>
        <w:pStyle w:val="Heading1"/>
        <w:rPr/>
      </w:pPr>
      <w:r>
        <w:rPr/>
        <w:t>Paycheck Logic</w:t>
      </w:r>
    </w:p>
    <w:p>
      <w:pPr>
        <w:pStyle w:val="Normal"/>
        <w:spacing w:before="0" w:after="140"/>
        <w:jc w:val="start"/>
        <w:rPr/>
      </w:pPr>
      <w:r>
        <w:rPr>
          <w:rFonts w:eastAsia="Arial" w:cs="Arial"/>
          <w:color w:val="1A1A2E"/>
          <w:sz w:val="24"/>
          <w:szCs w:val="24"/>
        </w:rPr>
        <w:t>Budget Flow supports flexible income management to accommodate users with irregular or variable income:</w:t>
      </w:r>
    </w:p>
    <w:p>
      <w:pPr>
        <w:pStyle w:val="Normal"/>
        <w:spacing w:before="0" w:after="80"/>
        <w:rPr/>
      </w:pPr>
      <w:r>
        <w:rPr/>
      </w:r>
    </w:p>
    <w:p>
      <w:pPr>
        <w:pStyle w:val="ListParagraph"/>
        <w:numPr>
          <w:ilvl w:val="0"/>
          <w:numId w:val="1"/>
        </w:numPr>
        <w:rPr/>
      </w:pPr>
      <w:r>
        <w:rPr>
          <w:rFonts w:eastAsia="Arial" w:cs="Arial"/>
          <w:color w:val="1A1A2E"/>
          <w:sz w:val="22"/>
          <w:szCs w:val="22"/>
        </w:rPr>
        <w:t>Users may create recurring paycheck schedules with fixed or estimated amounts</w:t>
      </w:r>
    </w:p>
    <w:p>
      <w:pPr>
        <w:pStyle w:val="ListParagraph"/>
        <w:numPr>
          <w:ilvl w:val="0"/>
          <w:numId w:val="1"/>
        </w:numPr>
        <w:rPr/>
      </w:pPr>
      <w:r>
        <w:rPr>
          <w:rFonts w:eastAsia="Arial" w:cs="Arial"/>
          <w:color w:val="1A1A2E"/>
          <w:sz w:val="22"/>
          <w:szCs w:val="22"/>
        </w:rPr>
        <w:t>Users may manually adjust projected paycheck amounts for any future cycle</w:t>
      </w:r>
    </w:p>
    <w:p>
      <w:pPr>
        <w:pStyle w:val="ListParagraph"/>
        <w:numPr>
          <w:ilvl w:val="0"/>
          <w:numId w:val="1"/>
        </w:numPr>
        <w:rPr/>
      </w:pPr>
      <w:r>
        <w:rPr>
          <w:rFonts w:eastAsia="Arial" w:cs="Arial"/>
          <w:color w:val="1A1A2E"/>
          <w:sz w:val="22"/>
          <w:szCs w:val="22"/>
        </w:rPr>
        <w:t>Users may create multiple income sources to reflect split or supplemental income</w:t>
      </w:r>
    </w:p>
    <w:p>
      <w:pPr>
        <w:pStyle w:val="ListParagraph"/>
        <w:numPr>
          <w:ilvl w:val="0"/>
          <w:numId w:val="1"/>
        </w:numPr>
        <w:rPr/>
      </w:pPr>
      <w:r>
        <w:rPr>
          <w:rFonts w:eastAsia="Arial" w:cs="Arial"/>
          <w:color w:val="1A1A2E"/>
          <w:sz w:val="22"/>
          <w:szCs w:val="22"/>
        </w:rPr>
        <w:t>Future paychecks remain informational only — they are visible in projections but do not affect available balance calculations</w:t>
      </w:r>
    </w:p>
    <w:p>
      <w:pPr>
        <w:pStyle w:val="ListParagraph"/>
        <w:numPr>
          <w:ilvl w:val="0"/>
          <w:numId w:val="1"/>
        </w:numPr>
        <w:rPr/>
      </w:pPr>
      <w:r>
        <w:rPr>
          <w:rFonts w:eastAsia="Arial" w:cs="Arial"/>
          <w:color w:val="1A1A2E"/>
          <w:sz w:val="22"/>
          <w:szCs w:val="22"/>
        </w:rPr>
        <w:t>A scheduled or projected paycheck must not affect available balance or safe-to-spend until the user explicitly marks it as received</w:t>
      </w:r>
    </w:p>
    <w:p>
      <w:pPr>
        <w:pStyle w:val="Normal"/>
        <w:spacing w:before="0" w:after="160"/>
        <w:rPr/>
      </w:pPr>
      <w:r>
        <w:rPr/>
      </w:r>
    </w:p>
    <w:p>
      <w:pPr>
        <w:pStyle w:val="Heading1"/>
        <w:rPr/>
      </w:pPr>
      <w:r>
        <w:rPr/>
        <w:t>Recurring Bill Management</w:t>
      </w:r>
    </w:p>
    <w:p>
      <w:pPr>
        <w:pStyle w:val="Normal"/>
        <w:spacing w:before="0" w:after="140"/>
        <w:jc w:val="start"/>
        <w:rPr/>
      </w:pPr>
      <w:r>
        <w:rPr>
          <w:rFonts w:eastAsia="Arial" w:cs="Arial"/>
          <w:color w:val="1A1A2E"/>
          <w:sz w:val="24"/>
          <w:szCs w:val="24"/>
        </w:rPr>
        <w:t>The following rules govern the creation, scheduling, and lifecycle of recurring bills within the application:</w:t>
      </w:r>
    </w:p>
    <w:p>
      <w:pPr>
        <w:pStyle w:val="Normal"/>
        <w:spacing w:before="0" w:after="80"/>
        <w:rPr/>
      </w:pPr>
      <w:r>
        <w:rPr/>
      </w:r>
    </w:p>
    <w:p>
      <w:pPr>
        <w:pStyle w:val="ListParagraph"/>
        <w:numPr>
          <w:ilvl w:val="0"/>
          <w:numId w:val="1"/>
        </w:numPr>
        <w:rPr/>
      </w:pPr>
      <w:r>
        <w:rPr>
          <w:rFonts w:eastAsia="Arial" w:cs="Arial"/>
          <w:color w:val="1A1A2E"/>
          <w:sz w:val="22"/>
          <w:szCs w:val="22"/>
        </w:rPr>
        <w:t>Recurring bills continue indefinitely by default unless an explicit end date is provided</w:t>
      </w:r>
    </w:p>
    <w:p>
      <w:pPr>
        <w:pStyle w:val="ListParagraph"/>
        <w:numPr>
          <w:ilvl w:val="0"/>
          <w:numId w:val="1"/>
        </w:numPr>
        <w:rPr/>
      </w:pPr>
      <w:r>
        <w:rPr>
          <w:rFonts w:eastAsia="Arial" w:cs="Arial"/>
          <w:color w:val="1A1A2E"/>
          <w:sz w:val="22"/>
          <w:szCs w:val="22"/>
        </w:rPr>
        <w:t>Bills may optionally include end dates for time-limited obligations such as installment payments</w:t>
      </w:r>
    </w:p>
    <w:p>
      <w:pPr>
        <w:pStyle w:val="ListParagraph"/>
        <w:numPr>
          <w:ilvl w:val="0"/>
          <w:numId w:val="1"/>
        </w:numPr>
        <w:rPr/>
      </w:pPr>
      <w:r>
        <w:rPr>
          <w:rFonts w:eastAsia="Arial" w:cs="Arial"/>
          <w:color w:val="1A1A2E"/>
          <w:sz w:val="22"/>
          <w:szCs w:val="22"/>
        </w:rPr>
        <w:t>Bills may use custom recurrence intervals to support non-standard billing cycles</w:t>
      </w:r>
    </w:p>
    <w:p>
      <w:pPr>
        <w:pStyle w:val="ListParagraph"/>
        <w:numPr>
          <w:ilvl w:val="0"/>
          <w:numId w:val="1"/>
        </w:numPr>
        <w:rPr/>
      </w:pPr>
      <w:r>
        <w:rPr>
          <w:rFonts w:eastAsia="Arial" w:cs="Arial"/>
          <w:color w:val="1A1A2E"/>
          <w:sz w:val="22"/>
          <w:szCs w:val="22"/>
        </w:rPr>
        <w:t>Bills may be paused temporarily without deletion, preserving their configuration for future reactivation</w:t>
      </w:r>
    </w:p>
    <w:p>
      <w:pPr>
        <w:pStyle w:val="ListParagraph"/>
        <w:numPr>
          <w:ilvl w:val="0"/>
          <w:numId w:val="1"/>
        </w:numPr>
        <w:rPr/>
      </w:pPr>
      <w:r>
        <w:rPr>
          <w:rFonts w:eastAsia="Arial" w:cs="Arial"/>
          <w:color w:val="1A1A2E"/>
          <w:sz w:val="22"/>
          <w:szCs w:val="22"/>
        </w:rPr>
        <w:t>Bills are automatically grouped by paycheck cycle and sorted by due date within each cycle</w:t>
      </w:r>
    </w:p>
    <w:p>
      <w:pPr>
        <w:pStyle w:val="Normal"/>
        <w:spacing w:before="0" w:after="160"/>
        <w:rPr/>
      </w:pPr>
      <w:r>
        <w:rPr/>
      </w:r>
    </w:p>
    <w:p>
      <w:pPr>
        <w:pStyle w:val="Heading1"/>
        <w:rPr/>
      </w:pPr>
      <w:r>
        <w:rPr/>
        <w:t>CSV and PDF Import Processing</w:t>
      </w:r>
    </w:p>
    <w:p>
      <w:pPr>
        <w:pStyle w:val="Normal"/>
        <w:spacing w:before="0" w:after="140"/>
        <w:jc w:val="start"/>
        <w:rPr/>
      </w:pPr>
      <w:r>
        <w:rPr>
          <w:rFonts w:eastAsia="Arial" w:cs="Arial"/>
          <w:color w:val="1A1A2E"/>
          <w:sz w:val="24"/>
          <w:szCs w:val="24"/>
        </w:rPr>
        <w:t>Statement import functionality must adhere strictly to the application's local-first and privacy-first architecture:</w:t>
      </w:r>
    </w:p>
    <w:p>
      <w:pPr>
        <w:pStyle w:val="Normal"/>
        <w:spacing w:before="0" w:after="80"/>
        <w:rPr/>
      </w:pPr>
      <w:r>
        <w:rPr/>
      </w:r>
    </w:p>
    <w:p>
      <w:pPr>
        <w:pStyle w:val="ListParagraph"/>
        <w:numPr>
          <w:ilvl w:val="0"/>
          <w:numId w:val="1"/>
        </w:numPr>
        <w:rPr/>
      </w:pPr>
      <w:r>
        <w:rPr>
          <w:rFonts w:eastAsia="Arial" w:cs="Arial"/>
          <w:color w:val="1A1A2E"/>
          <w:sz w:val="22"/>
          <w:szCs w:val="22"/>
        </w:rPr>
        <w:t>All CSV and PDF file processing must occur locally on the user's device — no file content may be transmitted to external servers</w:t>
      </w:r>
    </w:p>
    <w:p>
      <w:pPr>
        <w:pStyle w:val="ListParagraph"/>
        <w:numPr>
          <w:ilvl w:val="0"/>
          <w:numId w:val="1"/>
        </w:numPr>
        <w:rPr/>
      </w:pPr>
      <w:r>
        <w:rPr>
          <w:rFonts w:eastAsia="Arial" w:cs="Arial"/>
          <w:color w:val="1A1A2E"/>
          <w:sz w:val="22"/>
          <w:szCs w:val="22"/>
        </w:rPr>
        <w:t>During parsing, sensitive personal and financial identifiers must be stripped and discarded</w:t>
      </w:r>
    </w:p>
    <w:p>
      <w:pPr>
        <w:pStyle w:val="ListParagraph"/>
        <w:numPr>
          <w:ilvl w:val="0"/>
          <w:numId w:val="1"/>
        </w:numPr>
        <w:rPr/>
      </w:pPr>
      <w:r>
        <w:rPr>
          <w:rFonts w:eastAsia="Arial" w:cs="Arial"/>
          <w:color w:val="1A1A2E"/>
          <w:sz w:val="22"/>
          <w:szCs w:val="22"/>
        </w:rPr>
        <w:t>Raw uploaded files must be automatically deleted from device storage after recurring expense detection is complete</w:t>
      </w:r>
    </w:p>
    <w:p>
      <w:pPr>
        <w:pStyle w:val="ListParagraph"/>
        <w:numPr>
          <w:ilvl w:val="0"/>
          <w:numId w:val="1"/>
        </w:numPr>
        <w:rPr/>
      </w:pPr>
      <w:r>
        <w:rPr>
          <w:rFonts w:eastAsia="Arial" w:cs="Arial"/>
          <w:color w:val="1A1A2E"/>
          <w:sz w:val="22"/>
          <w:szCs w:val="22"/>
        </w:rPr>
        <w:t>Any recurring expense suggestions derived from imported statements must require explicit user confirmation before becoming active — no item may be activated automatically</w:t>
      </w:r>
    </w:p>
    <w:p>
      <w:pPr>
        <w:pStyle w:val="Normal"/>
        <w:spacing w:before="0" w:after="160"/>
        <w:rPr/>
      </w:pPr>
      <w:r>
        <w:rPr/>
      </w:r>
    </w:p>
    <w:p>
      <w:pPr>
        <w:pStyle w:val="Heading1"/>
        <w:rPr/>
      </w:pPr>
      <w:r>
        <w:rPr/>
        <w:t>Notifications and Alerts</w:t>
      </w:r>
    </w:p>
    <w:p>
      <w:pPr>
        <w:pStyle w:val="Normal"/>
        <w:spacing w:before="0" w:after="140"/>
        <w:jc w:val="start"/>
        <w:rPr/>
      </w:pPr>
      <w:r>
        <w:rPr>
          <w:rFonts w:eastAsia="Arial" w:cs="Arial"/>
          <w:color w:val="1A1A2E"/>
          <w:sz w:val="24"/>
          <w:szCs w:val="24"/>
        </w:rPr>
        <w:t>The notification system must reflect Budget Flow's core UX philosophy of calm, practical communication:</w:t>
      </w:r>
    </w:p>
    <w:p>
      <w:pPr>
        <w:pStyle w:val="Normal"/>
        <w:spacing w:before="0" w:after="80"/>
        <w:rPr/>
      </w:pPr>
      <w:r>
        <w:rPr/>
      </w:r>
    </w:p>
    <w:p>
      <w:pPr>
        <w:pStyle w:val="ListParagraph"/>
        <w:numPr>
          <w:ilvl w:val="0"/>
          <w:numId w:val="1"/>
        </w:numPr>
        <w:rPr/>
      </w:pPr>
      <w:r>
        <w:rPr>
          <w:rFonts w:eastAsia="Arial" w:cs="Arial"/>
          <w:color w:val="1A1A2E"/>
          <w:sz w:val="22"/>
          <w:szCs w:val="22"/>
        </w:rPr>
        <w:t>Notifications must be enabled by default but must avoid excessive repetition or aggressive frequency</w:t>
      </w:r>
    </w:p>
    <w:p>
      <w:pPr>
        <w:pStyle w:val="ListParagraph"/>
        <w:numPr>
          <w:ilvl w:val="0"/>
          <w:numId w:val="1"/>
        </w:numPr>
        <w:rPr/>
      </w:pPr>
      <w:r>
        <w:rPr>
          <w:rFonts w:eastAsia="Arial" w:cs="Arial"/>
          <w:color w:val="1A1A2E"/>
          <w:sz w:val="22"/>
          <w:szCs w:val="22"/>
        </w:rPr>
        <w:t>Notification tone must remain non-judgmental and practical in all circumstances</w:t>
      </w:r>
    </w:p>
    <w:p>
      <w:pPr>
        <w:pStyle w:val="ListParagraph"/>
        <w:numPr>
          <w:ilvl w:val="0"/>
          <w:numId w:val="1"/>
        </w:numPr>
        <w:rPr/>
      </w:pPr>
      <w:r>
        <w:rPr>
          <w:rFonts w:eastAsia="Arial" w:cs="Arial"/>
          <w:color w:val="1A1A2E"/>
          <w:sz w:val="22"/>
          <w:szCs w:val="22"/>
        </w:rPr>
        <w:t>Projected negative balances may receive elevated visual emphasis to draw user attention</w:t>
      </w:r>
    </w:p>
    <w:p>
      <w:pPr>
        <w:pStyle w:val="ListParagraph"/>
        <w:numPr>
          <w:ilvl w:val="0"/>
          <w:numId w:val="1"/>
        </w:numPr>
        <w:rPr/>
      </w:pPr>
      <w:r>
        <w:rPr>
          <w:rFonts w:eastAsia="Arial" w:cs="Arial"/>
          <w:color w:val="1A1A2E"/>
          <w:sz w:val="22"/>
          <w:szCs w:val="22"/>
        </w:rPr>
        <w:t>Significantly overdue recurring obligations may receive elevated visual emphasis</w:t>
      </w:r>
    </w:p>
    <w:p>
      <w:pPr>
        <w:pStyle w:val="ListParagraph"/>
        <w:numPr>
          <w:ilvl w:val="0"/>
          <w:numId w:val="1"/>
        </w:numPr>
        <w:rPr/>
      </w:pPr>
      <w:r>
        <w:rPr>
          <w:rFonts w:eastAsia="Arial" w:cs="Arial"/>
          <w:color w:val="1A1A2E"/>
          <w:sz w:val="22"/>
          <w:szCs w:val="22"/>
        </w:rPr>
        <w:t>All elevated notifications must remain informational in tone — the application must not employ pressure-driven or emotionally aggressive messaging under any circumstances</w:t>
      </w:r>
    </w:p>
    <w:p>
      <w:pPr>
        <w:pStyle w:val="Normal"/>
        <w:spacing w:before="0" w:after="160"/>
        <w:rPr/>
      </w:pPr>
      <w:r>
        <w:rPr/>
      </w:r>
    </w:p>
    <w:p>
      <w:pPr>
        <w:pStyle w:val="Heading1"/>
        <w:rPr/>
      </w:pPr>
      <w:r>
        <w:rPr/>
        <w:t>Manual Balance Adjustments</w:t>
      </w:r>
    </w:p>
    <w:p>
      <w:pPr>
        <w:pStyle w:val="Normal"/>
        <w:spacing w:before="0" w:after="140"/>
        <w:jc w:val="start"/>
        <w:rPr/>
      </w:pPr>
      <w:r>
        <w:rPr>
          <w:rFonts w:eastAsia="Arial" w:cs="Arial"/>
          <w:color w:val="1A1A2E"/>
          <w:sz w:val="24"/>
          <w:szCs w:val="24"/>
        </w:rPr>
        <w:t>Users may manually adjust their current balance at any time to resynchronize the application with their real-world account state — for example, after a bank correction, a missed entry, or an initial setup reconciliation. Manual balance adjustments must trigger an immediate recalculation of both safe-to-spend and all projected balances. The application should provide a lightweight confirmation step for manual adjustments to reduce accidental input errors.</w:t>
      </w:r>
    </w:p>
    <w:p>
      <w:pPr>
        <w:pStyle w:val="Normal"/>
        <w:spacing w:before="0" w:after="160"/>
        <w:rPr/>
      </w:pPr>
      <w:r>
        <w:rPr/>
      </w:r>
    </w:p>
    <w:p>
      <w:pPr>
        <w:pStyle w:val="Heading1"/>
        <w:rPr/>
      </w:pPr>
      <w:r>
        <w:rPr/>
        <w:t>Cash Handling</w:t>
      </w:r>
    </w:p>
    <w:p>
      <w:pPr>
        <w:pStyle w:val="Normal"/>
        <w:spacing w:before="0" w:after="140"/>
        <w:jc w:val="start"/>
        <w:rPr/>
      </w:pPr>
      <w:r>
        <w:rPr>
          <w:rFonts w:eastAsia="Arial" w:cs="Arial"/>
          <w:color w:val="1A1A2E"/>
          <w:sz w:val="24"/>
          <w:szCs w:val="24"/>
        </w:rPr>
        <w:t>Cash transactions are treated as immediately unavailable spending money in Budget Flow. The following rules apply:</w:t>
      </w:r>
    </w:p>
    <w:p>
      <w:pPr>
        <w:pStyle w:val="Normal"/>
        <w:spacing w:before="0" w:after="80"/>
        <w:rPr/>
      </w:pPr>
      <w:r>
        <w:rPr/>
      </w:r>
    </w:p>
    <w:p>
      <w:pPr>
        <w:pStyle w:val="ListParagraph"/>
        <w:numPr>
          <w:ilvl w:val="0"/>
          <w:numId w:val="1"/>
        </w:numPr>
        <w:rPr/>
      </w:pPr>
      <w:r>
        <w:rPr>
          <w:rFonts w:eastAsia="Arial" w:cs="Arial"/>
          <w:color w:val="1A1A2E"/>
          <w:sz w:val="22"/>
          <w:szCs w:val="22"/>
        </w:rPr>
        <w:t>Cash withdrawals must immediately reduce both the current tracked balance and the safe-to-spend amount</w:t>
      </w:r>
    </w:p>
    <w:p>
      <w:pPr>
        <w:pStyle w:val="ListParagraph"/>
        <w:numPr>
          <w:ilvl w:val="0"/>
          <w:numId w:val="1"/>
        </w:numPr>
        <w:rPr/>
      </w:pPr>
      <w:r>
        <w:rPr>
          <w:rFonts w:eastAsia="Arial" w:cs="Arial"/>
          <w:color w:val="1A1A2E"/>
          <w:sz w:val="22"/>
          <w:szCs w:val="22"/>
        </w:rPr>
        <w:t>Cash is treated as removed from the trackable budget at the moment of withdrawal</w:t>
      </w:r>
    </w:p>
    <w:p>
      <w:pPr>
        <w:pStyle w:val="ListParagraph"/>
        <w:numPr>
          <w:ilvl w:val="0"/>
          <w:numId w:val="1"/>
        </w:numPr>
        <w:rPr/>
      </w:pPr>
      <w:r>
        <w:rPr>
          <w:rFonts w:eastAsia="Arial" w:cs="Arial"/>
          <w:color w:val="1A1A2E"/>
          <w:sz w:val="22"/>
          <w:szCs w:val="22"/>
        </w:rPr>
        <w:t>The MVP does not include a separate cash wallet or cash tracking subsystem — cash is treated as spent upon withdrawal</w:t>
      </w:r>
    </w:p>
    <w:p>
      <w:pPr>
        <w:pStyle w:val="Normal"/>
        <w:spacing w:before="0" w:after="160"/>
        <w:rPr/>
      </w:pPr>
      <w:r>
        <w:rPr/>
      </w:r>
    </w:p>
    <w:p>
      <w:pPr>
        <w:pStyle w:val="Heading1"/>
        <w:rPr/>
      </w:pPr>
      <w:r>
        <w:rPr/>
        <w:t>Account and Storage Philosophy</w:t>
      </w:r>
    </w:p>
    <w:p>
      <w:pPr>
        <w:pStyle w:val="Normal"/>
        <w:spacing w:before="0" w:after="140"/>
        <w:jc w:val="start"/>
        <w:rPr/>
      </w:pPr>
      <w:r>
        <w:rPr>
          <w:rFonts w:eastAsia="Arial" w:cs="Arial"/>
          <w:color w:val="1A1A2E"/>
          <w:sz w:val="24"/>
          <w:szCs w:val="24"/>
        </w:rPr>
        <w:t>Budget Flow's account and storage model is designed to maximize user accessibility and data sovereignty:</w:t>
      </w:r>
    </w:p>
    <w:p>
      <w:pPr>
        <w:pStyle w:val="Normal"/>
        <w:spacing w:before="0" w:after="80"/>
        <w:rPr/>
      </w:pPr>
      <w:r>
        <w:rPr/>
      </w:r>
    </w:p>
    <w:p>
      <w:pPr>
        <w:pStyle w:val="ListParagraph"/>
        <w:numPr>
          <w:ilvl w:val="0"/>
          <w:numId w:val="1"/>
        </w:numPr>
        <w:rPr/>
      </w:pPr>
      <w:r>
        <w:rPr>
          <w:rFonts w:eastAsia="Arial" w:cs="Arial"/>
          <w:color w:val="1A1A2E"/>
          <w:sz w:val="22"/>
          <w:szCs w:val="22"/>
        </w:rPr>
        <w:t>No account creation of any kind should be required for MVP usage</w:t>
      </w:r>
    </w:p>
    <w:p>
      <w:pPr>
        <w:pStyle w:val="ListParagraph"/>
        <w:numPr>
          <w:ilvl w:val="0"/>
          <w:numId w:val="1"/>
        </w:numPr>
        <w:rPr/>
      </w:pPr>
      <w:r>
        <w:rPr>
          <w:rFonts w:eastAsia="Arial" w:cs="Arial"/>
          <w:color w:val="1A1A2E"/>
          <w:sz w:val="22"/>
          <w:szCs w:val="22"/>
        </w:rPr>
        <w:t>Full local functionality — including all budgeting, calculation, and import features — must remain available without signup</w:t>
      </w:r>
    </w:p>
    <w:p>
      <w:pPr>
        <w:pStyle w:val="ListParagraph"/>
        <w:numPr>
          <w:ilvl w:val="0"/>
          <w:numId w:val="1"/>
        </w:numPr>
        <w:rPr/>
      </w:pPr>
      <w:r>
        <w:rPr>
          <w:rFonts w:eastAsia="Arial" w:cs="Arial"/>
          <w:color w:val="1A1A2E"/>
          <w:sz w:val="22"/>
          <w:szCs w:val="22"/>
        </w:rPr>
        <w:t>User accounts are reserved for future premium capabilities only, including cloud synchronization, multi-device support, and automated backup</w:t>
      </w:r>
    </w:p>
    <w:p>
      <w:pPr>
        <w:pStyle w:val="Normal"/>
        <w:spacing w:before="0" w:after="160"/>
        <w:rPr/>
      </w:pPr>
      <w:r>
        <w:rPr/>
      </w:r>
    </w:p>
    <w:p>
      <w:pPr>
        <w:pStyle w:val="Heading1"/>
        <w:rPr/>
      </w:pPr>
      <w:r>
        <w:rPr/>
        <w:t>Backup and Restore</w:t>
      </w:r>
    </w:p>
    <w:p>
      <w:pPr>
        <w:pStyle w:val="Normal"/>
        <w:spacing w:before="0" w:after="140"/>
        <w:jc w:val="start"/>
        <w:rPr/>
      </w:pPr>
      <w:r>
        <w:rPr>
          <w:rFonts w:eastAsia="Arial" w:cs="Arial"/>
          <w:color w:val="1A1A2E"/>
          <w:sz w:val="24"/>
          <w:szCs w:val="24"/>
        </w:rPr>
        <w:t>The application must support local data backup and restore functionality to protect users against device loss or data corruption:</w:t>
      </w:r>
    </w:p>
    <w:p>
      <w:pPr>
        <w:pStyle w:val="Normal"/>
        <w:spacing w:before="0" w:after="80"/>
        <w:rPr/>
      </w:pPr>
      <w:r>
        <w:rPr/>
      </w:r>
    </w:p>
    <w:p>
      <w:pPr>
        <w:pStyle w:val="ListParagraph"/>
        <w:numPr>
          <w:ilvl w:val="0"/>
          <w:numId w:val="1"/>
        </w:numPr>
        <w:rPr/>
      </w:pPr>
      <w:r>
        <w:rPr>
          <w:rFonts w:eastAsia="Arial" w:cs="Arial"/>
          <w:color w:val="1A1A2E"/>
          <w:sz w:val="22"/>
          <w:szCs w:val="22"/>
        </w:rPr>
        <w:t>Users must be able to export a complete local backup of their financial data in JSON format</w:t>
      </w:r>
    </w:p>
    <w:p>
      <w:pPr>
        <w:pStyle w:val="ListParagraph"/>
        <w:numPr>
          <w:ilvl w:val="0"/>
          <w:numId w:val="1"/>
        </w:numPr>
        <w:rPr/>
      </w:pPr>
      <w:r>
        <w:rPr>
          <w:rFonts w:eastAsia="Arial" w:cs="Arial"/>
          <w:color w:val="1A1A2E"/>
          <w:sz w:val="22"/>
          <w:szCs w:val="22"/>
        </w:rPr>
        <w:t>Users must be able to restore the application to a previous state by importing a valid backup file</w:t>
      </w:r>
    </w:p>
    <w:p>
      <w:pPr>
        <w:pStyle w:val="ListParagraph"/>
        <w:numPr>
          <w:ilvl w:val="0"/>
          <w:numId w:val="1"/>
        </w:numPr>
        <w:rPr/>
      </w:pPr>
      <w:r>
        <w:rPr>
          <w:rFonts w:eastAsia="Arial" w:cs="Arial"/>
          <w:color w:val="1A1A2E"/>
          <w:sz w:val="22"/>
          <w:szCs w:val="22"/>
        </w:rPr>
        <w:t>All backup and restore operations must be performed entirely locally during the MVP phase — no cloud infrastructure is required</w:t>
      </w:r>
    </w:p>
    <w:p>
      <w:pPr>
        <w:pStyle w:val="Normal"/>
        <w:spacing w:before="0" w:after="160"/>
        <w:rPr/>
      </w:pPr>
      <w:r>
        <w:rPr/>
      </w:r>
    </w:p>
    <w:p>
      <w:pPr>
        <w:pStyle w:val="Heading1"/>
        <w:rPr/>
      </w:pPr>
      <w:r>
        <w:rPr/>
        <w:t>Onboarding Behavior</w:t>
      </w:r>
    </w:p>
    <w:p>
      <w:pPr>
        <w:pStyle w:val="Normal"/>
        <w:spacing w:before="0" w:after="140"/>
        <w:jc w:val="start"/>
        <w:rPr/>
      </w:pPr>
      <w:r>
        <w:rPr>
          <w:rFonts w:eastAsia="Arial" w:cs="Arial"/>
          <w:color w:val="1A1A2E"/>
          <w:sz w:val="24"/>
          <w:szCs w:val="24"/>
        </w:rPr>
        <w:t>The onboarding experience is designed to be helpful but never coercive. The following rules govern onboarding behavior:</w:t>
      </w:r>
    </w:p>
    <w:p>
      <w:pPr>
        <w:pStyle w:val="Normal"/>
        <w:spacing w:before="0" w:after="80"/>
        <w:rPr/>
      </w:pPr>
      <w:r>
        <w:rPr/>
      </w:r>
    </w:p>
    <w:p>
      <w:pPr>
        <w:pStyle w:val="ListParagraph"/>
        <w:numPr>
          <w:ilvl w:val="0"/>
          <w:numId w:val="1"/>
        </w:numPr>
        <w:rPr/>
      </w:pPr>
      <w:r>
        <w:rPr>
          <w:rFonts w:eastAsia="Arial" w:cs="Arial"/>
          <w:color w:val="1A1A2E"/>
          <w:sz w:val="22"/>
          <w:szCs w:val="22"/>
        </w:rPr>
        <w:t>Users may skip any onboarding setup step and begin exploring the application immediately</w:t>
      </w:r>
    </w:p>
    <w:p>
      <w:pPr>
        <w:pStyle w:val="ListParagraph"/>
        <w:numPr>
          <w:ilvl w:val="0"/>
          <w:numId w:val="1"/>
        </w:numPr>
        <w:rPr/>
      </w:pPr>
      <w:r>
        <w:rPr>
          <w:rFonts w:eastAsia="Arial" w:cs="Arial"/>
          <w:color w:val="1A1A2E"/>
          <w:sz w:val="22"/>
          <w:szCs w:val="22"/>
        </w:rPr>
        <w:t>The application's projection accuracy should improve incrementally as users add paychecks, recurring bills, purchases, and reserve settings over time</w:t>
      </w:r>
    </w:p>
    <w:p>
      <w:pPr>
        <w:pStyle w:val="ListParagraph"/>
        <w:numPr>
          <w:ilvl w:val="0"/>
          <w:numId w:val="1"/>
        </w:numPr>
        <w:rPr/>
      </w:pPr>
      <w:r>
        <w:rPr>
          <w:rFonts w:eastAsia="Arial" w:cs="Arial"/>
          <w:color w:val="1A1A2E"/>
          <w:sz w:val="22"/>
          <w:szCs w:val="22"/>
        </w:rPr>
        <w:t>The application must present a useful, functional state at every stage of setup completion — including a partially configured dashboard</w:t>
      </w:r>
    </w:p>
    <w:p>
      <w:pPr>
        <w:pStyle w:val="Normal"/>
        <w:spacing w:before="0" w:after="160"/>
        <w:rPr/>
      </w:pPr>
      <w:r>
        <w:rPr/>
      </w:r>
    </w:p>
    <w:p>
      <w:pPr>
        <w:pStyle w:val="Heading1"/>
        <w:rPr/>
      </w:pPr>
      <w:r>
        <w:rPr/>
        <w:t>System Constraints</w:t>
      </w:r>
    </w:p>
    <w:p>
      <w:pPr>
        <w:pStyle w:val="Normal"/>
        <w:spacing w:before="0" w:after="140"/>
        <w:jc w:val="start"/>
        <w:rPr/>
      </w:pPr>
      <w:r>
        <w:rPr>
          <w:rFonts w:eastAsia="Arial" w:cs="Arial"/>
          <w:color w:val="1A1A2E"/>
          <w:sz w:val="24"/>
          <w:szCs w:val="24"/>
        </w:rPr>
        <w:t>The following constraints apply to the Budget Flow MVP and must be respected in all engineering and design decisions:</w:t>
      </w:r>
    </w:p>
    <w:p>
      <w:pPr>
        <w:pStyle w:val="Normal"/>
        <w:spacing w:before="0" w:after="80"/>
        <w:rPr/>
      </w:pPr>
      <w:r>
        <w:rPr/>
      </w:r>
    </w:p>
    <w:p>
      <w:pPr>
        <w:pStyle w:val="ListParagraph"/>
        <w:numPr>
          <w:ilvl w:val="0"/>
          <w:numId w:val="1"/>
        </w:numPr>
        <w:rPr/>
      </w:pPr>
      <w:r>
        <w:rPr>
          <w:rFonts w:eastAsia="Arial" w:cs="Arial"/>
          <w:color w:val="1A1A2E"/>
          <w:sz w:val="22"/>
          <w:szCs w:val="22"/>
        </w:rPr>
        <w:t>USD currency only — no multi-currency support in the MVP</w:t>
      </w:r>
    </w:p>
    <w:p>
      <w:pPr>
        <w:pStyle w:val="ListParagraph"/>
        <w:numPr>
          <w:ilvl w:val="0"/>
          <w:numId w:val="1"/>
        </w:numPr>
        <w:rPr/>
      </w:pPr>
      <w:r>
        <w:rPr>
          <w:rFonts w:eastAsia="Arial" w:cs="Arial"/>
          <w:color w:val="1A1A2E"/>
          <w:sz w:val="22"/>
          <w:szCs w:val="22"/>
        </w:rPr>
        <w:t>Single financial profile per device — no multi-account or household budgeting in the MVP</w:t>
      </w:r>
    </w:p>
    <w:p>
      <w:pPr>
        <w:pStyle w:val="ListParagraph"/>
        <w:numPr>
          <w:ilvl w:val="0"/>
          <w:numId w:val="1"/>
        </w:numPr>
        <w:rPr/>
      </w:pPr>
      <w:r>
        <w:rPr>
          <w:rFonts w:eastAsia="Arial" w:cs="Arial"/>
          <w:color w:val="1A1A2E"/>
          <w:sz w:val="22"/>
          <w:szCs w:val="22"/>
        </w:rPr>
        <w:t>No spending categories — all financial tracking is amount-, date-, and cycle-based</w:t>
      </w:r>
    </w:p>
    <w:p>
      <w:pPr>
        <w:pStyle w:val="ListParagraph"/>
        <w:numPr>
          <w:ilvl w:val="0"/>
          <w:numId w:val="1"/>
        </w:numPr>
        <w:rPr/>
      </w:pPr>
      <w:r>
        <w:rPr>
          <w:rFonts w:eastAsia="Arial" w:cs="Arial"/>
          <w:color w:val="1A1A2E"/>
          <w:sz w:val="22"/>
          <w:szCs w:val="22"/>
        </w:rPr>
        <w:t>Offline-first operation — all core features must function without internet connectivity</w:t>
      </w:r>
    </w:p>
    <w:p>
      <w:pPr>
        <w:pStyle w:val="ListParagraph"/>
        <w:numPr>
          <w:ilvl w:val="0"/>
          <w:numId w:val="1"/>
        </w:numPr>
        <w:rPr/>
      </w:pPr>
      <w:r>
        <w:rPr>
          <w:rFonts w:eastAsia="Arial" w:cs="Arial"/>
          <w:color w:val="1A1A2E"/>
          <w:sz w:val="22"/>
          <w:szCs w:val="22"/>
        </w:rPr>
        <w:t>Local-first data storage — no user financial data may be stored externally without explicit user consent</w:t>
      </w:r>
    </w:p>
    <w:p>
      <w:pPr>
        <w:pStyle w:val="ListParagraph"/>
        <w:numPr>
          <w:ilvl w:val="0"/>
          <w:numId w:val="1"/>
        </w:numPr>
        <w:rPr/>
      </w:pPr>
      <w:r>
        <w:rPr>
          <w:rFonts w:eastAsia="Arial" w:cs="Arial"/>
          <w:color w:val="1A1A2E"/>
          <w:sz w:val="22"/>
          <w:szCs w:val="22"/>
        </w:rPr>
        <w:t>No aggressive monetization behaviors — the MVP must not include forced upgrade prompts or paywalled core features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DD"/>
      </w:pBdr>
      <w:tabs>
        <w:tab w:val="clear" w:pos="720"/>
        <w:tab w:val="right" w:pos="9026" w:leader="none"/>
      </w:tabs>
      <w:rPr/>
    </w:pPr>
    <w:r>
      <w:rPr>
        <w:rFonts w:eastAsia="Arial" w:cs="Arial"/>
        <w:color w:val="5A5A6E"/>
        <w:sz w:val="18"/>
        <w:szCs w:val="18"/>
      </w:rPr>
      <w:t xml:space="preserve"> </w:t>
    </w:r>
    <w:r>
      <w:rPr>
        <w:rFonts w:eastAsia="Arial" w:cs="Arial"/>
        <w:sz w:val="18"/>
        <w:szCs w:val="18"/>
      </w:rPr>
      <w:tab/>
    </w:r>
    <w:r>
      <w:rPr>
        <w:rFonts w:eastAsia="Arial" w:cs="Arial"/>
        <w:color w:val="1A1A2E"/>
        <w:sz w:val="22"/>
        <w:szCs w:val="22"/>
      </w:rPr>
      <w:fldChar w:fldCharType="begin"/>
    </w:r>
    <w:r>
      <w:rPr>
        <w:rFonts w:eastAsia="Arial" w:cs="Arial"/>
        <w:color w:val="1A1A2E"/>
        <w:sz w:val="22"/>
        <w:szCs w:val="22"/>
      </w:rPr>
      <w:instrText xml:space="preserve"> PAGE </w:instrText>
    </w:r>
    <w:r>
      <w:rPr>
        <w:rFonts w:eastAsia="Arial" w:cs="Arial"/>
        <w:color w:val="1A1A2E"/>
        <w:sz w:val="22"/>
        <w:szCs w:val="22"/>
      </w:rPr>
      <w:fldChar w:fldCharType="separate"/>
    </w:r>
    <w:r>
      <w:rPr>
        <w:rFonts w:eastAsia="Arial" w:cs="Arial"/>
        <w:color w:val="1A1A2E"/>
        <w:sz w:val="22"/>
        <w:szCs w:val="22"/>
      </w:rPr>
      <w:t>6</w:t>
    </w:r>
    <w:r>
      <w:rPr>
        <w:rFonts w:eastAsia="Arial" w:cs="Arial"/>
        <w:color w:val="1A1A2E"/>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DD"/>
      </w:pBdr>
      <w:tabs>
        <w:tab w:val="clear" w:pos="720"/>
        <w:tab w:val="right" w:pos="9026" w:leader="none"/>
      </w:tabs>
      <w:rPr/>
    </w:pPr>
    <w:r>
      <w:rPr>
        <w:rFonts w:eastAsia="Arial" w:cs="Arial"/>
        <w:color w:val="5A5A6E"/>
        <w:sz w:val="18"/>
        <w:szCs w:val="18"/>
      </w:rPr>
      <w:t xml:space="preserve"> </w:t>
    </w:r>
    <w:r>
      <w:rPr>
        <w:rFonts w:eastAsia="Arial" w:cs="Arial"/>
        <w:sz w:val="18"/>
        <w:szCs w:val="18"/>
      </w:rPr>
      <w:tab/>
    </w:r>
    <w:r>
      <w:rPr>
        <w:rFonts w:eastAsia="Arial" w:cs="Arial"/>
        <w:color w:val="1A1A2E"/>
        <w:sz w:val="22"/>
        <w:szCs w:val="22"/>
      </w:rPr>
      <w:fldChar w:fldCharType="begin"/>
    </w:r>
    <w:r>
      <w:rPr>
        <w:rFonts w:eastAsia="Arial" w:cs="Arial"/>
        <w:color w:val="1A1A2E"/>
        <w:sz w:val="22"/>
        <w:szCs w:val="22"/>
      </w:rPr>
      <w:instrText xml:space="preserve"> PAGE </w:instrText>
    </w:r>
    <w:r>
      <w:rPr>
        <w:rFonts w:eastAsia="Arial" w:cs="Arial"/>
        <w:color w:val="1A1A2E"/>
        <w:sz w:val="22"/>
        <w:szCs w:val="22"/>
      </w:rPr>
      <w:fldChar w:fldCharType="separate"/>
    </w:r>
    <w:r>
      <w:rPr>
        <w:rFonts w:eastAsia="Arial" w:cs="Arial"/>
        <w:color w:val="1A1A2E"/>
        <w:sz w:val="22"/>
        <w:szCs w:val="22"/>
      </w:rPr>
      <w:t>6</w:t>
    </w:r>
    <w:r>
      <w:rPr>
        <w:rFonts w:eastAsia="Arial" w:cs="Arial"/>
        <w:color w:val="1A1A2E"/>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CCCCDD"/>
      </w:pBdr>
      <w:tabs>
        <w:tab w:val="clear" w:pos="720"/>
        <w:tab w:val="right" w:pos="9026" w:leader="none"/>
      </w:tabs>
      <w:rPr/>
    </w:pPr>
    <w:r>
      <w:rPr>
        <w:rFonts w:eastAsia="Arial" w:cs="Arial"/>
        <w:color w:val="5A5A6E"/>
        <w:sz w:val="18"/>
        <w:szCs w:val="18"/>
      </w:rPr>
      <w:t>Budget Flow  —  Functional Requirements Specification (FRS) v1.0</w:t>
    </w:r>
    <w:r>
      <w:rPr>
        <w:rFonts w:eastAsia="Arial" w:cs="Arial"/>
        <w:sz w:val="18"/>
        <w:szCs w:val="18"/>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CCCCDD"/>
      </w:pBdr>
      <w:tabs>
        <w:tab w:val="clear" w:pos="720"/>
        <w:tab w:val="right" w:pos="9026" w:leader="none"/>
      </w:tabs>
      <w:rPr/>
    </w:pPr>
    <w:r>
      <w:rPr>
        <w:rFonts w:eastAsia="Arial" w:cs="Arial"/>
        <w:color w:val="5A5A6E"/>
        <w:sz w:val="18"/>
        <w:szCs w:val="18"/>
      </w:rPr>
      <w:t>Budget Flow  —  Functional Requirements Specification (FRS) v1.0</w:t>
    </w:r>
    <w:r>
      <w:rPr>
        <w:rFonts w:eastAsia="Arial" w:cs="Arial"/>
        <w:sz w:val="18"/>
        <w:szCs w:val="18"/>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Arial" w:hAnsi="Arial" w:cs="Arial" w:hint="default"/>
        <w:color w:val="1A1A2E"/>
        <w:sz w:val="22"/>
        <w:szCs w:val="22"/>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2E"/>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2E"/>
      <w:kern w:val="0"/>
      <w:sz w:val="24"/>
      <w:szCs w:val="24"/>
      <w:lang w:val="en-US" w:eastAsia="zh-CN" w:bidi="hi-IN"/>
    </w:rPr>
  </w:style>
  <w:style w:type="paragraph" w:styleId="Heading1">
    <w:name w:val="heading 1"/>
    <w:basedOn w:val="Heading"/>
    <w:qFormat/>
    <w:pPr>
      <w:pBdr>
        <w:bottom w:val="single" w:sz="4" w:space="6" w:color="1B5E8C"/>
      </w:pBdr>
      <w:spacing w:before="400" w:after="140"/>
      <w:outlineLvl w:val="0"/>
    </w:pPr>
    <w:rPr>
      <w:rFonts w:ascii="Arial" w:hAnsi="Arial" w:eastAsia="Arial" w:cs="Arial"/>
      <w:b/>
      <w:bCs/>
      <w:color w:val="1B5E8C"/>
      <w:sz w:val="34"/>
      <w:szCs w:val="34"/>
    </w:rPr>
  </w:style>
  <w:style w:type="paragraph" w:styleId="Heading2">
    <w:name w:val="heading 2"/>
    <w:basedOn w:val="Heading"/>
    <w:qFormat/>
    <w:pPr>
      <w:spacing w:before="260" w:after="100"/>
      <w:outlineLvl w:val="1"/>
    </w:pPr>
    <w:rPr>
      <w:rFonts w:ascii="Arial" w:hAnsi="Arial" w:eastAsia="Arial" w:cs="Arial"/>
      <w:b/>
      <w:bCs/>
      <w:color w:val="1A1A2E"/>
      <w:sz w:val="26"/>
      <w:szCs w:val="26"/>
    </w:rPr>
  </w:style>
  <w:style w:type="paragraph" w:styleId="Heading3">
    <w:name w:val="heading 3"/>
    <w:basedOn w:val="Heading"/>
    <w:qFormat/>
    <w:pPr>
      <w:spacing w:before="200" w:after="80"/>
      <w:outlineLvl w:val="2"/>
    </w:pPr>
    <w:rPr>
      <w:rFonts w:ascii="Arial" w:hAnsi="Arial" w:eastAsia="Arial" w:cs="Arial"/>
      <w:b/>
      <w:bCs/>
      <w:color w:val="5A5A6E"/>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2E"/>
      <w:kern w:val="0"/>
      <w:sz w:val="24"/>
      <w:szCs w:val="24"/>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2E"/>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ages>6</Pages>
  <Words>1316</Words>
  <Characters>7876</Characters>
  <CharactersWithSpaces>9087</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2026-05-05T02:32:39Z</dcterms:created>
  <dc:creator>Un-named</dc:creator>
  <dc:description/>
  <dc:language>en-US</dc:language>
  <cp:lastModifiedBy/>
  <dcterms:modified xsi:type="dcterms:W3CDTF">2026-05-05T01:11:57Z</dcterms:modified>
  <cp:revision>2</cp:revision>
  <dc:subject/>
  <dc:title/>
</cp:coreProperties>
</file>