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101827"/>
        </w:rPr>
        <w:t>Flowdesk MM Funding — Return Analysis Report</w:t>
      </w:r>
    </w:p>
    <w:p>
      <w:r>
        <w:rPr>
          <w:b/>
          <w:i w:val="0"/>
        </w:rPr>
        <w:t xml:space="preserve">Prepared for: </w:t>
      </w:r>
      <w:r>
        <w:rPr>
          <w:b w:val="0"/>
          <w:i w:val="0"/>
        </w:rPr>
        <w:t>Internal review · 2026-05-03</w:t>
      </w:r>
    </w:p>
    <w:p>
      <w:r>
        <w:rPr>
          <w:b/>
          <w:i w:val="0"/>
        </w:rPr>
        <w:t xml:space="preserve">Subject: </w:t>
      </w:r>
      <w:r>
        <w:rPr>
          <w:b w:val="0"/>
          <w:i w:val="0"/>
        </w:rPr>
        <w:t>Did the $15M extended to Flowdesk for xStocks market-making activity earn its keep against the 3.5% risk-free alternative, and is it growing the AUM base?</w:t>
      </w:r>
    </w:p>
    <w:p>
      <w:pPr>
        <w:pBdr>
          <w:bottom w:val="single" w:sz="6" w:space="1" w:color="B7BCC2"/>
        </w:pBdr>
      </w:pPr>
    </w:p>
    <w:p>
      <w:pPr>
        <w:pStyle w:val="Heading1"/>
      </w:pPr>
      <w:r>
        <w:rPr>
          <w:color w:val="101827"/>
        </w:rPr>
        <w:t>TL;DR</w:t>
      </w:r>
    </w:p>
    <w:p>
      <w:r>
        <w:rPr>
          <w:b/>
          <w:i w:val="0"/>
        </w:rPr>
        <w:t xml:space="preserve">No, the loan has not yet recovered its opportunity cost. </w:t>
      </w:r>
      <w:r>
        <w:rPr>
          <w:b w:val="0"/>
          <w:i w:val="0"/>
        </w:rPr>
        <w:t>Through the first ~67 days of the facility (loan inception 2026-02-26 → 2026-05-03), the implied 1%-on-AUM management-fee income is materially below the 3.5%-MMF benchmark on $15M. The trend is improving as AUM scales, and the 1-year linear projection narrows or closes the gap, but the answer for the period observed is unambiguously negative.</w:t>
      </w:r>
    </w:p>
    <w:p>
      <w:r>
        <w:rPr>
          <w:b/>
          <w:i w:val="0"/>
        </w:rPr>
        <w:t xml:space="preserve">Yes, the loan is producing net new AUM. </w:t>
      </w:r>
      <w:r>
        <w:rPr>
          <w:b w:val="0"/>
          <w:i w:val="0"/>
        </w:rPr>
        <w:t>The Flows tab shows clearly positive cumulative net flow of xStocks into user wallets over the loan period, dominated by AMM pool flow and Tokka's JupZ rail. Flowdesk's own RFQ rails contribute near-zero directional signal (aggregator wash).</w:t>
      </w:r>
    </w:p>
    <w:p>
      <w:pPr>
        <w:pBdr>
          <w:bottom w:val="single" w:sz="6" w:space="1" w:color="B7BCC2"/>
        </w:pBdr>
      </w:pPr>
    </w:p>
    <w:p>
      <w:pPr>
        <w:pStyle w:val="Heading1"/>
      </w:pPr>
      <w:r>
        <w:rPr>
          <w:color w:val="101827"/>
        </w:rPr>
        <w:t>Setup &amp; Assumptions</w:t>
      </w:r>
    </w:p>
    <w:tbl>
      <w:tblPr>
        <w:tblStyle w:val="LightGrid-Accent1"/>
        <w:tblW w:type="auto" w:w="0"/>
        <w:tblLayout w:type="autofit"/>
        <w:tblLook w:firstColumn="1" w:firstRow="1" w:lastColumn="0" w:lastRow="0" w:noHBand="0" w:noVBand="1" w:val="04A0"/>
      </w:tblPr>
      <w:tblGrid>
        <w:gridCol w:w="3216"/>
        <w:gridCol w:w="3216"/>
        <w:gridCol w:w="3216"/>
      </w:tblGrid>
      <w:tr>
        <w:tc>
          <w:tcPr>
            <w:tcW w:type="dxa" w:w="3216"/>
            <w:shd w:fill="1F3864"/>
          </w:tcPr>
          <w:p>
            <w:r/>
            <w:r>
              <w:rPr>
                <w:b/>
                <w:color w:val="FFFFFF"/>
                <w:sz w:val="20"/>
              </w:rPr>
              <w:t>Variable</w:t>
            </w:r>
          </w:p>
        </w:tc>
        <w:tc>
          <w:tcPr>
            <w:tcW w:type="dxa" w:w="3216"/>
            <w:shd w:fill="1F3864"/>
          </w:tcPr>
          <w:p>
            <w:r/>
            <w:r>
              <w:rPr>
                <w:b/>
                <w:color w:val="FFFFFF"/>
                <w:sz w:val="20"/>
              </w:rPr>
              <w:t>Value</w:t>
            </w:r>
          </w:p>
        </w:tc>
        <w:tc>
          <w:tcPr>
            <w:tcW w:type="dxa" w:w="3216"/>
            <w:shd w:fill="1F3864"/>
          </w:tcPr>
          <w:p>
            <w:r/>
            <w:r>
              <w:rPr>
                <w:b/>
                <w:color w:val="FFFFFF"/>
                <w:sz w:val="20"/>
              </w:rPr>
              <w:t>Notes</w:t>
            </w:r>
          </w:p>
        </w:tc>
      </w:tr>
      <w:tr>
        <w:tc>
          <w:tcPr>
            <w:tcW w:type="dxa" w:w="3216"/>
          </w:tcPr>
          <w:p>
            <w:r/>
            <w:r>
              <w:rPr>
                <w:sz w:val="20"/>
              </w:rPr>
              <w:t>Loan principal</w:t>
            </w:r>
          </w:p>
        </w:tc>
        <w:tc>
          <w:tcPr>
            <w:tcW w:type="dxa" w:w="3216"/>
          </w:tcPr>
          <w:p>
            <w:r/>
            <w:r>
              <w:rPr>
                <w:sz w:val="20"/>
              </w:rPr>
              <w:t>$15M</w:t>
            </w:r>
          </w:p>
        </w:tc>
        <w:tc>
          <w:tcPr>
            <w:tcW w:type="dxa" w:w="3216"/>
          </w:tcPr>
          <w:p>
            <w:r/>
            <w:r>
              <w:rPr>
                <w:sz w:val="20"/>
              </w:rPr>
              <w:t>Capital extended to Flowdesk</w:t>
            </w:r>
          </w:p>
        </w:tc>
      </w:tr>
      <w:tr>
        <w:tc>
          <w:tcPr>
            <w:tcW w:type="dxa" w:w="3216"/>
          </w:tcPr>
          <w:p>
            <w:r/>
            <w:r>
              <w:rPr>
                <w:sz w:val="20"/>
              </w:rPr>
              <w:t>Loan inception</w:t>
            </w:r>
          </w:p>
        </w:tc>
        <w:tc>
          <w:tcPr>
            <w:tcW w:type="dxa" w:w="3216"/>
          </w:tcPr>
          <w:p>
            <w:r/>
            <w:r>
              <w:rPr>
                <w:sz w:val="20"/>
              </w:rPr>
              <w:t>2026-02-26</w:t>
            </w:r>
          </w:p>
        </w:tc>
        <w:tc>
          <w:tcPr>
            <w:tcW w:type="dxa" w:w="3216"/>
          </w:tcPr>
          <w:p>
            <w:r/>
            <w:r>
              <w:rPr>
                <w:sz w:val="20"/>
              </w:rPr>
              <w:t>Cost begins accruing here</w:t>
            </w:r>
          </w:p>
        </w:tc>
      </w:tr>
      <w:tr>
        <w:tc>
          <w:tcPr>
            <w:tcW w:type="dxa" w:w="3216"/>
          </w:tcPr>
          <w:p>
            <w:r/>
            <w:r>
              <w:rPr>
                <w:sz w:val="20"/>
              </w:rPr>
              <w:t>Risk-free benchmark</w:t>
            </w:r>
          </w:p>
        </w:tc>
        <w:tc>
          <w:tcPr>
            <w:tcW w:type="dxa" w:w="3216"/>
          </w:tcPr>
          <w:p>
            <w:r/>
            <w:r>
              <w:rPr>
                <w:sz w:val="20"/>
              </w:rPr>
              <w:t>3.5% MMF</w:t>
            </w:r>
          </w:p>
        </w:tc>
        <w:tc>
          <w:tcPr>
            <w:tcW w:type="dxa" w:w="3216"/>
          </w:tcPr>
          <w:p>
            <w:r/>
            <w:r>
              <w:rPr>
                <w:sz w:val="20"/>
              </w:rPr>
              <w:t>Opportunity cost of holding cash equivalents</w:t>
            </w:r>
          </w:p>
        </w:tc>
      </w:tr>
      <w:tr>
        <w:tc>
          <w:tcPr>
            <w:tcW w:type="dxa" w:w="3216"/>
          </w:tcPr>
          <w:p>
            <w:r/>
            <w:r>
              <w:rPr>
                <w:sz w:val="20"/>
              </w:rPr>
              <w:t>MM revenue proxy</w:t>
            </w:r>
          </w:p>
        </w:tc>
        <w:tc>
          <w:tcPr>
            <w:tcW w:type="dxa" w:w="3216"/>
          </w:tcPr>
          <w:p>
            <w:r/>
            <w:r>
              <w:rPr>
                <w:sz w:val="20"/>
              </w:rPr>
              <w:t>1% mgmt fee on net AUM</w:t>
            </w:r>
          </w:p>
        </w:tc>
        <w:tc>
          <w:tcPr>
            <w:tcW w:type="dxa" w:w="3216"/>
          </w:tcPr>
          <w:p>
            <w:r/>
            <w:r>
              <w:rPr>
                <w:sz w:val="20"/>
              </w:rPr>
              <w:t>Stand-in per the user — not structural; for reasoning only</w:t>
            </w:r>
          </w:p>
        </w:tc>
      </w:tr>
      <w:tr>
        <w:tc>
          <w:tcPr>
            <w:tcW w:type="dxa" w:w="3216"/>
          </w:tcPr>
          <w:p>
            <w:r/>
            <w:r>
              <w:rPr>
                <w:sz w:val="20"/>
              </w:rPr>
              <w:t>Day count</w:t>
            </w:r>
          </w:p>
        </w:tc>
        <w:tc>
          <w:tcPr>
            <w:tcW w:type="dxa" w:w="3216"/>
          </w:tcPr>
          <w:p>
            <w:r/>
            <w:r>
              <w:rPr>
                <w:sz w:val="20"/>
              </w:rPr>
              <w:t>365</w:t>
            </w:r>
          </w:p>
        </w:tc>
        <w:tc>
          <w:tcPr>
            <w:tcW w:type="dxa" w:w="3216"/>
          </w:tcPr>
          <w:p>
            <w:r/>
            <w:r>
              <w:rPr>
                <w:sz w:val="20"/>
              </w:rPr>
              <w:t>ACT/365 simple interest</w:t>
            </w:r>
          </w:p>
        </w:tc>
      </w:tr>
    </w:tbl>
    <w:p>
      <w:r>
        <w:rPr>
          <w:b/>
          <w:i w:val="0"/>
        </w:rPr>
        <w:t xml:space="preserve">Annualized opportunity cost: </w:t>
      </w:r>
      <w:r>
        <w:rPr>
          <w:b w:val="0"/>
          <w:i w:val="0"/>
        </w:rPr>
        <w:t xml:space="preserve">$15M × 3.5% = </w:t>
      </w:r>
      <w:r>
        <w:rPr>
          <w:b/>
          <w:i w:val="0"/>
        </w:rPr>
        <w:t>$525K / year ≈ $1,438 / day</w:t>
      </w:r>
      <w:r>
        <w:rPr>
          <w:b w:val="0"/>
          <w:i w:val="0"/>
        </w:rPr>
        <w:t>.</w:t>
      </w:r>
    </w:p>
    <w:p>
      <w:pPr>
        <w:pBdr>
          <w:bottom w:val="single" w:sz="6" w:space="1" w:color="B7BCC2"/>
        </w:pBdr>
      </w:pPr>
    </w:p>
    <w:p>
      <w:pPr>
        <w:pStyle w:val="Heading1"/>
      </w:pPr>
      <w:r>
        <w:rPr>
          <w:color w:val="101827"/>
        </w:rPr>
        <w:t>Question 1: Is the spend beating the risk-free rate?</w:t>
      </w:r>
    </w:p>
    <w:p>
      <w:pPr>
        <w:pStyle w:val="Heading2"/>
      </w:pPr>
      <w:r>
        <w:rPr>
          <w:color w:val="101827"/>
        </w:rPr>
        <w:t>To-date answer (loan inception → today, ~67 days)</w:t>
      </w:r>
    </w:p>
    <w:p>
      <w:pPr>
        <w:pStyle w:val="ListBullet"/>
      </w:pPr>
      <w:r>
        <w:rPr>
          <w:b/>
          <w:i w:val="0"/>
        </w:rPr>
        <w:t xml:space="preserve">Cumulative opportunity cost: </w:t>
      </w:r>
      <w:r>
        <w:rPr>
          <w:b w:val="0"/>
          <w:i w:val="0"/>
        </w:rPr>
        <w:t xml:space="preserve">~$15M × 3.5% × 67/365 ≈ </w:t>
      </w:r>
      <w:r>
        <w:rPr>
          <w:b/>
          <w:i w:val="0"/>
        </w:rPr>
        <w:t>$96K</w:t>
      </w:r>
      <w:r>
        <w:rPr>
          <w:b w:val="0"/>
          <w:i w:val="0"/>
        </w:rPr>
        <w:t>.</w:t>
      </w:r>
    </w:p>
    <w:p>
      <w:pPr>
        <w:pStyle w:val="ListBullet"/>
      </w:pPr>
      <w:r>
        <w:rPr>
          <w:b/>
          <w:i w:val="0"/>
        </w:rPr>
        <w:t xml:space="preserve">Cumulative implied management fee: </w:t>
      </w:r>
      <w:r>
        <w:rPr>
          <w:b w:val="0"/>
          <w:i w:val="0"/>
        </w:rPr>
        <w:t xml:space="preserve">integral of AUM(t) × 1% / 365 over the loan-live window. Since AUM at loan start was effectively zero (or close to it) and reached ~$30M today, the average AUM across the period is ≈ $15M, giving cumulative fee ≈ </w:t>
      </w:r>
      <w:r>
        <w:rPr>
          <w:b/>
          <w:i w:val="0"/>
        </w:rPr>
        <w:t>$28K</w:t>
      </w:r>
      <w:r>
        <w:rPr>
          <w:b w:val="0"/>
          <w:i w:val="0"/>
        </w:rPr>
        <w:t>.</w:t>
      </w:r>
    </w:p>
    <w:p>
      <w:pPr>
        <w:pStyle w:val="ListBullet"/>
      </w:pPr>
      <w:r>
        <w:rPr>
          <w:b/>
          <w:i w:val="0"/>
        </w:rPr>
        <w:t xml:space="preserve">Net to date: </w:t>
      </w:r>
      <w:r>
        <w:rPr>
          <w:b w:val="0"/>
          <w:i w:val="0"/>
        </w:rPr>
        <w:t xml:space="preserve">≈ </w:t>
      </w:r>
      <w:r>
        <w:rPr>
          <w:b/>
          <w:i w:val="0"/>
          <w:color w:val="C0392B"/>
        </w:rPr>
        <w:t>−$68K</w:t>
      </w:r>
      <w:r>
        <w:rPr>
          <w:b w:val="0"/>
          <w:i w:val="0"/>
        </w:rPr>
        <w:t>, recovering ~29% of cost.</w:t>
      </w:r>
    </w:p>
    <w:p>
      <w:r>
        <w:rPr>
          <w:b w:val="0"/>
          <w:i w:val="0"/>
        </w:rPr>
        <w:t xml:space="preserve">This is the bar in the chart's red </w:t>
      </w:r>
      <w:r>
        <w:rPr>
          <w:b w:val="0"/>
          <w:i/>
        </w:rPr>
        <w:t>to date</w:t>
      </w:r>
      <w:r>
        <w:rPr>
          <w:b w:val="0"/>
          <w:i w:val="0"/>
        </w:rPr>
        <w:t xml:space="preserve"> pill — 1% mgmt fee &lt; 3.5% MMF. </w:t>
      </w:r>
      <w:r>
        <w:rPr>
          <w:b/>
          <w:i w:val="0"/>
        </w:rPr>
        <w:t>The loan is currently dilutive vs. cash.</w:t>
      </w:r>
    </w:p>
    <w:p>
      <w:pPr>
        <w:pStyle w:val="Heading2"/>
      </w:pPr>
      <w:r>
        <w:rPr>
          <w:color w:val="101827"/>
        </w:rPr>
        <w:t>1-year projection (extrapolating today's flow rate)</w:t>
      </w:r>
    </w:p>
    <w:p>
      <w:r>
        <w:t>The cost chart projects forward by extending the observed average daily net flow (≈ $448K/day of xStocks moving into user circulation) through the loan anniversary (2027-02-26). Two reasonable interpretations:</w:t>
      </w:r>
    </w:p>
    <w:tbl>
      <w:tblPr>
        <w:tblStyle w:val="LightGrid-Accent1"/>
        <w:tblW w:type="auto" w:w="0"/>
        <w:tblLook w:firstColumn="1" w:firstRow="1" w:lastColumn="0" w:lastRow="0" w:noHBand="0" w:noVBand="1" w:val="04A0"/>
      </w:tblPr>
      <w:tblGrid>
        <w:gridCol w:w="2412"/>
        <w:gridCol w:w="2412"/>
        <w:gridCol w:w="2412"/>
        <w:gridCol w:w="2412"/>
      </w:tblGrid>
      <w:tr>
        <w:tc>
          <w:tcPr>
            <w:tcW w:type="dxa" w:w="2412"/>
            <w:shd w:fill="1F3864"/>
          </w:tcPr>
          <w:p>
            <w:r/>
            <w:r>
              <w:rPr>
                <w:b/>
                <w:color w:val="FFFFFF"/>
                <w:sz w:val="20"/>
              </w:rPr>
              <w:t>Method</w:t>
            </w:r>
          </w:p>
        </w:tc>
        <w:tc>
          <w:tcPr>
            <w:tcW w:type="dxa" w:w="2412"/>
            <w:shd w:fill="1F3864"/>
          </w:tcPr>
          <w:p>
            <w:r/>
            <w:r>
              <w:rPr>
                <w:b/>
                <w:color w:val="FFFFFF"/>
                <w:sz w:val="20"/>
              </w:rPr>
              <w:t>Annual mgmt fee</w:t>
            </w:r>
          </w:p>
        </w:tc>
        <w:tc>
          <w:tcPr>
            <w:tcW w:type="dxa" w:w="2412"/>
            <w:shd w:fill="1F3864"/>
          </w:tcPr>
          <w:p>
            <w:r/>
            <w:r>
              <w:rPr>
                <w:b/>
                <w:color w:val="FFFFFF"/>
                <w:sz w:val="20"/>
              </w:rPr>
              <w:t>Net vs $525K cost</w:t>
            </w:r>
          </w:p>
        </w:tc>
        <w:tc>
          <w:tcPr>
            <w:tcW w:type="dxa" w:w="2412"/>
            <w:shd w:fill="1F3864"/>
          </w:tcPr>
          <w:p>
            <w:r/>
            <w:r>
              <w:rPr>
                <w:b/>
                <w:color w:val="FFFFFF"/>
                <w:sz w:val="20"/>
              </w:rPr>
              <w:t>Verdict</w:t>
            </w:r>
          </w:p>
        </w:tc>
      </w:tr>
      <w:tr>
        <w:tc>
          <w:tcPr>
            <w:tcW w:type="dxa" w:w="2412"/>
          </w:tcPr>
          <w:p>
            <w:r/>
            <w:r>
              <w:rPr>
                <w:sz w:val="20"/>
              </w:rPr>
              <w:t>AUM holds at today's $30M</w:t>
            </w:r>
          </w:p>
        </w:tc>
        <w:tc>
          <w:tcPr>
            <w:tcW w:type="dxa" w:w="2412"/>
          </w:tcPr>
          <w:p>
            <w:r/>
            <w:r>
              <w:rPr>
                <w:sz w:val="20"/>
              </w:rPr>
              <w:t>$300K</w:t>
            </w:r>
          </w:p>
        </w:tc>
        <w:tc>
          <w:tcPr>
            <w:tcW w:type="dxa" w:w="2412"/>
          </w:tcPr>
          <w:p>
            <w:r/>
            <w:r>
              <w:rPr>
                <w:b/>
                <w:color w:val="C0392B"/>
                <w:sz w:val="20"/>
              </w:rPr>
              <w:t>−$225K</w:t>
            </w:r>
          </w:p>
        </w:tc>
        <w:tc>
          <w:tcPr>
            <w:tcW w:type="dxa" w:w="2412"/>
          </w:tcPr>
          <w:p>
            <w:r/>
            <w:r>
              <w:rPr>
                <w:sz w:val="20"/>
              </w:rPr>
              <w:t>Loan still dilutive</w:t>
            </w:r>
          </w:p>
        </w:tc>
      </w:tr>
      <w:tr>
        <w:tc>
          <w:tcPr>
            <w:tcW w:type="dxa" w:w="2412"/>
          </w:tcPr>
          <w:p>
            <w:r/>
            <w:r>
              <w:rPr>
                <w:sz w:val="20"/>
              </w:rPr>
              <w:t>AUM compounds at observed flow rate (~$163M by Feb '27)</w:t>
            </w:r>
          </w:p>
        </w:tc>
        <w:tc>
          <w:tcPr>
            <w:tcW w:type="dxa" w:w="2412"/>
          </w:tcPr>
          <w:p>
            <w:r/>
            <w:r>
              <w:rPr>
                <w:sz w:val="20"/>
              </w:rPr>
              <w:t>~$820K</w:t>
            </w:r>
          </w:p>
        </w:tc>
        <w:tc>
          <w:tcPr>
            <w:tcW w:type="dxa" w:w="2412"/>
          </w:tcPr>
          <w:p>
            <w:r/>
            <w:r>
              <w:rPr>
                <w:b/>
                <w:color w:val="1E884D"/>
                <w:sz w:val="20"/>
              </w:rPr>
              <w:t>+$295K</w:t>
            </w:r>
          </w:p>
        </w:tc>
        <w:tc>
          <w:tcPr>
            <w:tcW w:type="dxa" w:w="2412"/>
          </w:tcPr>
          <w:p>
            <w:r/>
            <w:r>
              <w:rPr>
                <w:sz w:val="20"/>
              </w:rPr>
              <w:t>Loan turns profitable</w:t>
            </w:r>
          </w:p>
        </w:tc>
      </w:tr>
    </w:tbl>
    <w:p>
      <w:r>
        <w:t>The chart renders the second method by default — that's what makes the green line eventually cross the red one in the projection segment.</w:t>
      </w:r>
    </w:p>
    <w:p>
      <w:r>
        <w:rPr>
          <w:b/>
          <w:i w:val="0"/>
        </w:rPr>
        <w:t xml:space="preserve">The honest answer: </w:t>
      </w:r>
      <w:r>
        <w:rPr>
          <w:b/>
          <w:i w:val="0"/>
        </w:rPr>
        <w:t xml:space="preserve">today, no — the loan has not earned the risk-free rate. </w:t>
      </w:r>
      <w:r>
        <w:rPr>
          <w:b w:val="0"/>
          <w:i w:val="0"/>
        </w:rPr>
        <w:t>Whether it does over the full year depends entirely on whether the current pace of AUM expansion holds. If issuance plateaus at current levels, the loan never crosses the 3.5% bar at a 1% fee rate.</w:t>
      </w:r>
    </w:p>
    <w:p>
      <w:pPr>
        <w:pStyle w:val="Heading2"/>
      </w:pPr>
      <w:r>
        <w:rPr>
          <w:color w:val="101827"/>
        </w:rPr>
        <w:t>What rate would close the gap?</w:t>
      </w:r>
    </w:p>
    <w:p>
      <w:r>
        <w:rPr>
          <w:b w:val="0"/>
          <w:i w:val="0"/>
        </w:rPr>
        <w:t xml:space="preserve">To break even with 3.5% on $15M at today's $30M AUM, the implied fee on AUM has to be </w:t>
      </w:r>
      <w:r>
        <w:rPr>
          <w:b/>
          <w:i w:val="0"/>
        </w:rPr>
        <w:t>≥1.75%, not 1%</w:t>
      </w:r>
      <w:r>
        <w:rPr>
          <w:b w:val="0"/>
          <w:i w:val="0"/>
        </w:rPr>
        <w:t xml:space="preserve">. At a 1% fee, AUM has to reach </w:t>
      </w:r>
      <w:r>
        <w:rPr>
          <w:b/>
          <w:i w:val="0"/>
        </w:rPr>
        <w:t>~$50M and stay there</w:t>
      </w:r>
      <w:r>
        <w:rPr>
          <w:b w:val="0"/>
          <w:i w:val="0"/>
        </w:rPr>
        <w:t xml:space="preserve"> for the year-1 mgmt fee to match $525K of cost.</w:t>
      </w:r>
    </w:p>
    <w:p>
      <w:pPr>
        <w:pBdr>
          <w:bottom w:val="single" w:sz="6" w:space="1" w:color="B7BCC2"/>
        </w:pBdr>
      </w:pPr>
    </w:p>
    <w:p>
      <w:pPr>
        <w:pStyle w:val="Heading1"/>
      </w:pPr>
      <w:r>
        <w:rPr>
          <w:color w:val="101827"/>
        </w:rPr>
        <w:t>Question 2: Is the loan bringing in net new AUM/flows?</w:t>
      </w:r>
    </w:p>
    <w:p>
      <w:r>
        <w:rPr>
          <w:b/>
          <w:i w:val="0"/>
        </w:rPr>
        <w:t>Yes — the Flows tab shows clearly positive net flow into user wallets over the loan period.</w:t>
      </w:r>
    </w:p>
    <w:p>
      <w:r>
        <w:t>From the chart's stacked bars + cumulative line over the loan-live window:</w:t>
      </w:r>
    </w:p>
    <w:p>
      <w:pPr>
        <w:pStyle w:val="ListBullet"/>
      </w:pPr>
      <w:r>
        <w:rPr>
          <w:b/>
          <w:i w:val="0"/>
        </w:rPr>
        <w:t xml:space="preserve">AMM pools (amber) — </w:t>
      </w:r>
      <w:r>
        <w:rPr>
          <w:b w:val="0"/>
          <w:i w:val="0"/>
        </w:rPr>
        <w:t>dominant magnitude, dominantly directional. LPs (effectively the MMs) net distributed xStocks to takers. This is where most of the user-acquired AUM came from.</w:t>
      </w:r>
    </w:p>
    <w:p>
      <w:pPr>
        <w:pStyle w:val="ListBullet"/>
      </w:pPr>
      <w:r>
        <w:rPr>
          <w:b/>
          <w:i w:val="0"/>
        </w:rPr>
        <w:t xml:space="preserve">RFQ · JupZ (Tokka, purple) — </w:t>
      </w:r>
      <w:r>
        <w:rPr>
          <w:b w:val="0"/>
          <w:i w:val="0"/>
        </w:rPr>
        <w:t>clearly directional, second-largest contributor. This is the cleanest MM-to-user signal because JupZ reports the actual MM maker_address.</w:t>
      </w:r>
    </w:p>
    <w:p>
      <w:pPr>
        <w:pStyle w:val="ListBullet"/>
      </w:pPr>
      <w:r>
        <w:rPr>
          <w:b/>
          <w:i w:val="0"/>
        </w:rPr>
        <w:t xml:space="preserve">RFQ · CoW (Tokka, green) — </w:t>
      </w:r>
      <w:r>
        <w:rPr>
          <w:b w:val="0"/>
          <w:i w:val="0"/>
        </w:rPr>
        <w:t>small magnitude, modest directionality.</w:t>
      </w:r>
    </w:p>
    <w:p>
      <w:pPr>
        <w:pStyle w:val="ListBullet"/>
      </w:pPr>
      <w:r>
        <w:rPr>
          <w:b/>
          <w:i w:val="0"/>
        </w:rPr>
        <w:t xml:space="preserve">RFQ · Flowdesk (blue) — </w:t>
      </w:r>
      <w:r>
        <w:rPr>
          <w:b w:val="0"/>
          <w:i w:val="0"/>
        </w:rPr>
        <w:t>structurally near-zero net by construction. Flowdesk routes through 0x / Bebop / 1inch settlement contracts, and the indexer reports both legs of every settlement on the same maker_address, which mathematically cancels to ~$0 directional flow regardless of how much real Flowdesk inventory moved.</w:t>
      </w:r>
    </w:p>
    <w:p>
      <w:r>
        <w:rPr>
          <w:b w:val="0"/>
          <w:i w:val="0"/>
        </w:rPr>
        <w:t xml:space="preserve">This last point matters for question 1: </w:t>
      </w:r>
      <w:r>
        <w:rPr>
          <w:b/>
          <w:i w:val="0"/>
        </w:rPr>
        <w:t>the income leg of the loan ROI is being measured on AUM that includes flow Flowdesk did not directly originate via its RFQ rails</w:t>
      </w:r>
      <w:r>
        <w:rPr>
          <w:b w:val="0"/>
          <w:i w:val="0"/>
        </w:rPr>
        <w:t>. The pool side and JupZ side are doing most of the AUM growth visible in the chart. Flowdesk's actual RFQ contribution is invisible in the directional view.</w:t>
      </w:r>
    </w:p>
    <w:p>
      <w:pPr>
        <w:pBdr>
          <w:bottom w:val="single" w:sz="6" w:space="1" w:color="B7BCC2"/>
        </w:pBdr>
      </w:pPr>
    </w:p>
    <w:p>
      <w:pPr>
        <w:pStyle w:val="Heading1"/>
      </w:pPr>
      <w:r>
        <w:rPr>
          <w:color w:val="101827"/>
        </w:rPr>
        <w:t>Caveats — read these before acting on the numbers</w:t>
      </w:r>
    </w:p>
    <w:p>
      <w:pPr>
        <w:pStyle w:val="ListNumber"/>
      </w:pPr>
      <w:r>
        <w:rPr>
          <w:b/>
          <w:i w:val="0"/>
        </w:rPr>
        <w:t xml:space="preserve">The 1% fee is hypothetical. </w:t>
      </w:r>
      <w:r>
        <w:rPr>
          <w:b w:val="0"/>
          <w:i w:val="0"/>
        </w:rPr>
        <w:t>The user explicitly noted Backed does not take a 100bps mgmt fee; this is just a placeholder revenue model so the comparison is tractable. Real Flowdesk economics depend on spread capture, rebates, and any contractual fee splits — none of which are visible here.</w:t>
      </w:r>
    </w:p>
    <w:p>
      <w:pPr>
        <w:pStyle w:val="ListNumber"/>
      </w:pPr>
      <w:r>
        <w:rPr>
          <w:b/>
          <w:i w:val="0"/>
        </w:rPr>
        <w:t xml:space="preserve">AUM ≠ MM inventory. </w:t>
      </w:r>
      <w:r>
        <w:rPr>
          <w:b w:val="0"/>
          <w:i w:val="0"/>
        </w:rPr>
        <w:t>The chart's “AUM” is xStocks in user circulation (cumulative net flow into users). That's the float Backed nominally manages, but the MM's own xStock book is a different thing. If the goal is “MM book size × fee,” we'd need on-chain wallet balances of Flowdesk's known LP addresses, not flow.</w:t>
      </w:r>
    </w:p>
    <w:p>
      <w:pPr>
        <w:pStyle w:val="ListNumber"/>
      </w:pPr>
      <w:r>
        <w:rPr>
          <w:b/>
          <w:i w:val="0"/>
        </w:rPr>
        <w:t xml:space="preserve">Aggregator wash is real. </w:t>
      </w:r>
      <w:r>
        <w:rPr>
          <w:b w:val="0"/>
          <w:i w:val="0"/>
        </w:rPr>
        <w:t>Don't read “Flowdesk RFQ ≈ $0 net” as “Flowdesk is doing nothing.” It means we can't see Flowdesk's net directional book through the indexer's maker_address view of 0x/Bebop. Their actual book delta could be large in either direction.</w:t>
      </w:r>
    </w:p>
    <w:p>
      <w:pPr>
        <w:pStyle w:val="ListNumber"/>
      </w:pPr>
      <w:r>
        <w:rPr>
          <w:b/>
          <w:i w:val="0"/>
        </w:rPr>
        <w:t xml:space="preserve">AMM pool flow attribution. </w:t>
      </w:r>
      <w:r>
        <w:rPr>
          <w:b w:val="0"/>
          <w:i w:val="0"/>
        </w:rPr>
        <w:t>The chart attributes the LP side of every Solana pool swap to “the MM”. In practice, pool LPs are a long tail — Flowdesk and Tokka are the dominant LPs but not the only ones. The AUM attribution is therefore an upper bound on MM-driven AUM.</w:t>
      </w:r>
    </w:p>
    <w:p>
      <w:pPr>
        <w:pStyle w:val="ListNumber"/>
      </w:pPr>
      <w:r>
        <w:rPr>
          <w:b/>
          <w:i w:val="0"/>
        </w:rPr>
        <w:t xml:space="preserve">Linear extrapolation is naive. </w:t>
      </w:r>
      <w:r>
        <w:rPr>
          <w:b w:val="0"/>
          <w:i w:val="0"/>
        </w:rPr>
        <w:t>AUM may decelerate as easy demand fills. Users may also liquidate xStocks back to cash (visible as negative bars in the flow chart), which shrinks AUM and starves the income leg.</w:t>
      </w:r>
    </w:p>
    <w:p>
      <w:pPr>
        <w:pStyle w:val="ListNumber"/>
      </w:pPr>
      <w:r>
        <w:rPr>
          <w:b/>
          <w:i w:val="0"/>
        </w:rPr>
        <w:t xml:space="preserve">No risk premium. </w:t>
      </w:r>
      <w:r>
        <w:rPr>
          <w:b w:val="0"/>
          <w:i w:val="0"/>
        </w:rPr>
        <w:t>A 3.5% MMF is risk-free; an MM loan carries credit and operational risk. A like-for-like comparison should price that risk in (typically +200–400 bps), making the bar even higher than 3.5%.</w:t>
      </w:r>
    </w:p>
    <w:p>
      <w:pPr>
        <w:pBdr>
          <w:bottom w:val="single" w:sz="6" w:space="1" w:color="B7BCC2"/>
        </w:pBdr>
      </w:pPr>
    </w:p>
    <w:p>
      <w:pPr>
        <w:pStyle w:val="Heading1"/>
      </w:pPr>
      <w:r>
        <w:rPr>
          <w:color w:val="101827"/>
        </w:rPr>
        <w:t>Recommended actions</w:t>
      </w:r>
    </w:p>
    <w:p>
      <w:pPr>
        <w:pStyle w:val="ListNumber"/>
      </w:pPr>
      <w:r>
        <w:rPr>
          <w:b/>
          <w:i w:val="0"/>
        </w:rPr>
        <w:t>Confirm the actual fee structure with Backed.</w:t>
      </w:r>
      <w:r>
        <w:rPr>
          <w:b w:val="0"/>
          <w:i w:val="0"/>
        </w:rPr>
        <w:t xml:space="preserve"> A real number replaces the 1% placeholder and changes the answer immediately.</w:t>
      </w:r>
    </w:p>
    <w:p>
      <w:pPr>
        <w:pStyle w:val="ListNumber"/>
      </w:pPr>
      <w:r>
        <w:rPr>
          <w:b/>
          <w:i w:val="0"/>
        </w:rPr>
        <w:t>Pull Flowdesk's on-chain wallet balances</w:t>
      </w:r>
      <w:r>
        <w:rPr>
          <w:b w:val="0"/>
          <w:i w:val="0"/>
        </w:rPr>
        <w:t xml:space="preserve"> so we can compute their AUM directly, not the proxy of cumulative user flow.</w:t>
      </w:r>
    </w:p>
    <w:p>
      <w:pPr>
        <w:pStyle w:val="ListNumber"/>
      </w:pPr>
      <w:r>
        <w:rPr>
          <w:b/>
          <w:i w:val="0"/>
        </w:rPr>
        <w:t>Re-run this comparison at 90 days and 180 days</w:t>
      </w:r>
      <w:r>
        <w:rPr>
          <w:b w:val="0"/>
          <w:i w:val="0"/>
        </w:rPr>
        <w:t xml:space="preserve"> before drawing conclusions. 67 days is a short observation window for a 1-year facility.</w:t>
      </w:r>
    </w:p>
    <w:p>
      <w:pPr>
        <w:pStyle w:val="ListNumber"/>
      </w:pPr>
      <w:r>
        <w:rPr>
          <w:b/>
          <w:i w:val="0"/>
        </w:rPr>
        <w:t>Decide the success criterion explicitly.</w:t>
      </w:r>
      <w:r>
        <w:rPr>
          <w:b w:val="0"/>
          <w:i w:val="0"/>
        </w:rPr>
        <w:t xml:space="preserve"> If the goal is “beat MMF + risk premium on $15M,” the loan needs ~$1M+/year in attributable revenue, not $525K. State this target so future reviews can be objective.</w:t>
      </w:r>
    </w:p>
    <w:p>
      <w:pPr>
        <w:pStyle w:val="ListNumber"/>
      </w:pPr>
      <w:r>
        <w:rPr>
          <w:b/>
          <w:i w:val="0"/>
        </w:rPr>
        <w:t>If the trend persists</w:t>
      </w:r>
      <w:r>
        <w:rPr>
          <w:b w:val="0"/>
          <w:i w:val="0"/>
        </w:rPr>
        <w:t xml:space="preserve"> (AUM growth at $448K/day), the loan crosses the 3.5% bar around month 9–10 of year 1. If trend slows or reverses, it never does.</w:t>
      </w:r>
    </w:p>
    <w:p>
      <w:pPr>
        <w:pBdr>
          <w:bottom w:val="single" w:sz="6" w:space="1" w:color="B7BCC2"/>
        </w:pBdr>
      </w:pPr>
    </w:p>
    <w:p>
      <w:r>
        <w:rPr>
          <w:b/>
          <w:i w:val="0"/>
        </w:rPr>
        <w:t xml:space="preserve">Bottom line for the file: </w:t>
      </w:r>
      <w:r>
        <w:rPr>
          <w:b w:val="0"/>
          <w:i w:val="0"/>
        </w:rPr>
        <w:t>at the 67-day mark, the $15M extended to Flowdesk is earning roughly 0.4% annualized vs. the 3.5% benchmark, and the green-vs-red gap on the cost chart visualizes that shortfall day by day. The loan is producing the AUM it was meant to produce — but the implied fee schedule, as constructed, doesn't yet pay for the capital cost.</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