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F87D21" w14:textId="4B7206EE" w:rsidR="00DA6D8A" w:rsidRPr="000225D4" w:rsidRDefault="000225D4" w:rsidP="000225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225D4">
        <w:rPr>
          <w:rFonts w:ascii="Times New Roman" w:hAnsi="Times New Roman" w:cs="Times New Roman"/>
          <w:b/>
          <w:bCs/>
          <w:sz w:val="28"/>
          <w:szCs w:val="28"/>
        </w:rPr>
        <w:t>SARS-CoV-2 Variant Risk Definition</w:t>
      </w:r>
    </w:p>
    <w:p w14:paraId="7080BC30" w14:textId="15C07494" w:rsidR="000225D4" w:rsidRDefault="000225D4" w:rsidP="000225D4">
      <w:pPr>
        <w:rPr>
          <w:rFonts w:ascii="Times New Roman" w:hAnsi="Times New Roman" w:cs="Times New Roman"/>
        </w:rPr>
      </w:pPr>
    </w:p>
    <w:p w14:paraId="0CA80920" w14:textId="1CE74B7A" w:rsidR="000225D4" w:rsidRPr="000225D4" w:rsidRDefault="000225D4" w:rsidP="000225D4">
      <w:pPr>
        <w:rPr>
          <w:rFonts w:ascii="Times New Roman" w:hAnsi="Times New Roman" w:cs="Times New Roman"/>
          <w:u w:val="single"/>
        </w:rPr>
      </w:pPr>
      <w:r w:rsidRPr="000225D4">
        <w:rPr>
          <w:rFonts w:ascii="Times New Roman" w:hAnsi="Times New Roman" w:cs="Times New Roman"/>
          <w:u w:val="single"/>
        </w:rPr>
        <w:t>Purpose of Variant Risk Classification</w:t>
      </w:r>
    </w:p>
    <w:p w14:paraId="70474549" w14:textId="77777777" w:rsidR="000225D4" w:rsidRDefault="000225D4" w:rsidP="000225D4">
      <w:pPr>
        <w:rPr>
          <w:rFonts w:ascii="Times New Roman" w:hAnsi="Times New Roman" w:cs="Times New Roman"/>
        </w:rPr>
      </w:pPr>
    </w:p>
    <w:p w14:paraId="1344FE0D" w14:textId="18C9B16B" w:rsidR="000225D4" w:rsidRDefault="000225D4" w:rsidP="000225D4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goal of variant risk classification is to translate genomic change into biological and public-health relevance. Not all mutations are meaningful. This framework defines:</w:t>
      </w:r>
    </w:p>
    <w:p w14:paraId="51B97861" w14:textId="77777777" w:rsidR="000225D4" w:rsidRDefault="000225D4" w:rsidP="000225D4">
      <w:pPr>
        <w:ind w:firstLine="720"/>
        <w:rPr>
          <w:rFonts w:ascii="Times New Roman" w:hAnsi="Times New Roman" w:cs="Times New Roman"/>
        </w:rPr>
      </w:pPr>
    </w:p>
    <w:p w14:paraId="485AEE06" w14:textId="4194400C" w:rsidR="000225D4" w:rsidRDefault="000225D4" w:rsidP="000225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mutations matter</w:t>
      </w:r>
    </w:p>
    <w:p w14:paraId="6F69DE67" w14:textId="3A487C31" w:rsidR="000225D4" w:rsidRDefault="000225D4" w:rsidP="000225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they matter</w:t>
      </w:r>
    </w:p>
    <w:p w14:paraId="09D13494" w14:textId="7505F6CC" w:rsidR="000225D4" w:rsidRDefault="000225D4" w:rsidP="000225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combinations of mutations increase concern</w:t>
      </w:r>
    </w:p>
    <w:p w14:paraId="00D9EBF8" w14:textId="42FAF579" w:rsidR="000225D4" w:rsidRDefault="000225D4" w:rsidP="000225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“risk” will be assigned in a consistent, explainable way</w:t>
      </w:r>
    </w:p>
    <w:p w14:paraId="3CE03BE4" w14:textId="77777777" w:rsidR="000225D4" w:rsidRDefault="000225D4" w:rsidP="000225D4">
      <w:pPr>
        <w:rPr>
          <w:rFonts w:ascii="Times New Roman" w:hAnsi="Times New Roman" w:cs="Times New Roman"/>
        </w:rPr>
      </w:pPr>
    </w:p>
    <w:p w14:paraId="0889EAF2" w14:textId="7939E3AC" w:rsidR="000225D4" w:rsidRDefault="000225D4" w:rsidP="00022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system is designed to support:</w:t>
      </w:r>
    </w:p>
    <w:p w14:paraId="279B0108" w14:textId="77777777" w:rsidR="000225D4" w:rsidRDefault="000225D4" w:rsidP="000225D4">
      <w:pPr>
        <w:rPr>
          <w:rFonts w:ascii="Times New Roman" w:hAnsi="Times New Roman" w:cs="Times New Roman"/>
        </w:rPr>
      </w:pPr>
    </w:p>
    <w:p w14:paraId="61821BC8" w14:textId="79382A75" w:rsidR="000225D4" w:rsidRDefault="000225D4" w:rsidP="000225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Variant surveillance</w:t>
      </w:r>
    </w:p>
    <w:p w14:paraId="7AC1BD11" w14:textId="755C7252" w:rsidR="000225D4" w:rsidRDefault="000225D4" w:rsidP="000225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Early warning of emerging lineages</w:t>
      </w:r>
    </w:p>
    <w:p w14:paraId="769A975E" w14:textId="01665DCB" w:rsidR="000225D4" w:rsidRDefault="000225D4" w:rsidP="000225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Downstream modeling and forecasting</w:t>
      </w:r>
    </w:p>
    <w:p w14:paraId="4F28DE8E" w14:textId="175BA371" w:rsidR="000225D4" w:rsidRDefault="000225D4" w:rsidP="000225D4">
      <w:pPr>
        <w:rPr>
          <w:rFonts w:ascii="Times New Roman" w:hAnsi="Times New Roman" w:cs="Times New Roman"/>
        </w:rPr>
      </w:pPr>
    </w:p>
    <w:p w14:paraId="3199D256" w14:textId="59212EA9" w:rsidR="000225D4" w:rsidRPr="000225D4" w:rsidRDefault="000225D4" w:rsidP="000225D4">
      <w:pPr>
        <w:rPr>
          <w:rFonts w:ascii="Times New Roman" w:hAnsi="Times New Roman" w:cs="Times New Roman"/>
          <w:u w:val="single"/>
        </w:rPr>
      </w:pPr>
      <w:r w:rsidRPr="000225D4">
        <w:rPr>
          <w:rFonts w:ascii="Times New Roman" w:hAnsi="Times New Roman" w:cs="Times New Roman"/>
          <w:u w:val="single"/>
        </w:rPr>
        <w:t>What “Variant Risk” Means in This Project</w:t>
      </w:r>
    </w:p>
    <w:p w14:paraId="1DCDB60B" w14:textId="003159C6" w:rsidR="000225D4" w:rsidRDefault="000225D4" w:rsidP="000225D4">
      <w:pPr>
        <w:rPr>
          <w:rFonts w:ascii="Times New Roman" w:hAnsi="Times New Roman" w:cs="Times New Roman"/>
        </w:rPr>
      </w:pPr>
    </w:p>
    <w:p w14:paraId="004DB1B6" w14:textId="00834F73" w:rsidR="000225D4" w:rsidRDefault="000225D4" w:rsidP="00022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Variant risk is defined as the potential of a viral lineage to increase public-health impact through one or more of the following mechanisms:</w:t>
      </w:r>
    </w:p>
    <w:p w14:paraId="488BA374" w14:textId="77777777" w:rsidR="000225D4" w:rsidRDefault="000225D4" w:rsidP="000225D4">
      <w:pPr>
        <w:rPr>
          <w:rFonts w:ascii="Times New Roman" w:hAnsi="Times New Roman" w:cs="Times New Roman"/>
        </w:rPr>
      </w:pPr>
    </w:p>
    <w:p w14:paraId="1314C584" w14:textId="7AB9343F" w:rsidR="000225D4" w:rsidRDefault="000225D4" w:rsidP="000225D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Increased transmissibility</w:t>
      </w:r>
    </w:p>
    <w:p w14:paraId="2E164AFA" w14:textId="15D62ACB" w:rsidR="000225D4" w:rsidRDefault="000225D4" w:rsidP="000225D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Immune escape</w:t>
      </w:r>
    </w:p>
    <w:p w14:paraId="54346AD0" w14:textId="200E1514" w:rsidR="000225D4" w:rsidRDefault="000225D4" w:rsidP="000225D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Increased replication efficiency or viral load</w:t>
      </w:r>
    </w:p>
    <w:p w14:paraId="574B601B" w14:textId="300A6738" w:rsidR="000225D4" w:rsidRDefault="000225D4" w:rsidP="000225D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Accelerated evolutionary capacity</w:t>
      </w:r>
    </w:p>
    <w:p w14:paraId="1A2698A0" w14:textId="3B90DBC7" w:rsidR="000225D4" w:rsidRDefault="000225D4" w:rsidP="000225D4">
      <w:pPr>
        <w:rPr>
          <w:rFonts w:ascii="Times New Roman" w:hAnsi="Times New Roman" w:cs="Times New Roman"/>
        </w:rPr>
      </w:pPr>
    </w:p>
    <w:p w14:paraId="72769A7F" w14:textId="225559EE" w:rsidR="000225D4" w:rsidRPr="000225D4" w:rsidRDefault="000225D4" w:rsidP="000225D4">
      <w:pPr>
        <w:rPr>
          <w:rFonts w:ascii="Times New Roman" w:hAnsi="Times New Roman" w:cs="Times New Roman"/>
          <w:u w:val="single"/>
        </w:rPr>
      </w:pPr>
      <w:r w:rsidRPr="000225D4">
        <w:rPr>
          <w:rFonts w:ascii="Times New Roman" w:hAnsi="Times New Roman" w:cs="Times New Roman"/>
          <w:u w:val="single"/>
        </w:rPr>
        <w:t>Genes Considered in Risk Assessment</w:t>
      </w:r>
    </w:p>
    <w:p w14:paraId="08AA10CB" w14:textId="77777777" w:rsidR="000225D4" w:rsidRDefault="000225D4" w:rsidP="000225D4">
      <w:pPr>
        <w:rPr>
          <w:rFonts w:ascii="Times New Roman" w:hAnsi="Times New Roman" w:cs="Times New Roman"/>
        </w:rPr>
      </w:pPr>
    </w:p>
    <w:p w14:paraId="3F4C2720" w14:textId="4B11E5CF" w:rsidR="000225D4" w:rsidRDefault="000225D4" w:rsidP="00022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Variant risk is evaluated across multiple genes, weighted by biological importance.</w:t>
      </w:r>
    </w:p>
    <w:p w14:paraId="281EE03D" w14:textId="438D3D2E" w:rsidR="000225D4" w:rsidRDefault="000225D4" w:rsidP="000225D4">
      <w:pPr>
        <w:rPr>
          <w:rFonts w:ascii="Times New Roman" w:hAnsi="Times New Roman" w:cs="Times New Roman"/>
        </w:rPr>
      </w:pPr>
    </w:p>
    <w:p w14:paraId="1C70F052" w14:textId="46D3922B" w:rsidR="000225D4" w:rsidRDefault="000225D4" w:rsidP="000225D4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Primary Risk Gene</w:t>
      </w:r>
    </w:p>
    <w:p w14:paraId="3D9B547D" w14:textId="30BB67DF" w:rsidR="000225D4" w:rsidRDefault="000225D4" w:rsidP="000225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Spike (S)</w:t>
      </w:r>
    </w:p>
    <w:p w14:paraId="208CA55D" w14:textId="66808E0A" w:rsidR="000225D4" w:rsidRDefault="000225D4" w:rsidP="000225D4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Direct host interaction</w:t>
      </w:r>
    </w:p>
    <w:p w14:paraId="6CD5F1CB" w14:textId="2BAA4A8B" w:rsidR="000225D4" w:rsidRDefault="000225D4" w:rsidP="000225D4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Vaccine and antibody target</w:t>
      </w:r>
    </w:p>
    <w:p w14:paraId="3EFA8579" w14:textId="5C7261C7" w:rsidR="000225D4" w:rsidRPr="000225D4" w:rsidRDefault="000225D4" w:rsidP="000225D4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Primary driver of transmissibility changes</w:t>
      </w:r>
    </w:p>
    <w:p w14:paraId="60A9BE78" w14:textId="6AFCFD86" w:rsidR="000225D4" w:rsidRDefault="000225D4" w:rsidP="000225D4">
      <w:pPr>
        <w:rPr>
          <w:rFonts w:ascii="Times New Roman" w:hAnsi="Times New Roman" w:cs="Times New Roman"/>
        </w:rPr>
      </w:pPr>
    </w:p>
    <w:p w14:paraId="0696E828" w14:textId="4B73FF3E" w:rsidR="000225D4" w:rsidRDefault="000225D4" w:rsidP="000225D4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Secondary Risk Genes</w:t>
      </w:r>
    </w:p>
    <w:p w14:paraId="3C13D0E1" w14:textId="7D516476" w:rsidR="000225D4" w:rsidRDefault="000225D4" w:rsidP="000225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ORF1ab</w:t>
      </w:r>
    </w:p>
    <w:p w14:paraId="36880DA3" w14:textId="1F53E3FC" w:rsidR="000225D4" w:rsidRDefault="000225D4" w:rsidP="000225D4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Replication speed and fidelity</w:t>
      </w:r>
    </w:p>
    <w:p w14:paraId="705E0745" w14:textId="29EAF86A" w:rsidR="000225D4" w:rsidRDefault="000225D4" w:rsidP="000225D4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Evolutionary rate</w:t>
      </w:r>
    </w:p>
    <w:p w14:paraId="3648D552" w14:textId="13921176" w:rsidR="000225D4" w:rsidRDefault="000225D4" w:rsidP="000225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Nucleocapsid (N)</w:t>
      </w:r>
    </w:p>
    <w:p w14:paraId="65B49E2D" w14:textId="7E2650BC" w:rsidR="000225D4" w:rsidRDefault="000225D4" w:rsidP="000225D4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Viral load</w:t>
      </w:r>
    </w:p>
    <w:p w14:paraId="1EF42C8B" w14:textId="67C91D80" w:rsidR="000225D4" w:rsidRDefault="000225D4" w:rsidP="000225D4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Replication support</w:t>
      </w:r>
    </w:p>
    <w:p w14:paraId="297DAB7E" w14:textId="1446DF11" w:rsidR="000225D4" w:rsidRDefault="000225D4" w:rsidP="000225D4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Diagnostic relevance</w:t>
      </w:r>
    </w:p>
    <w:p w14:paraId="7DE84678" w14:textId="6E2F59F3" w:rsidR="000225D4" w:rsidRDefault="000225D4" w:rsidP="000225D4">
      <w:pPr>
        <w:rPr>
          <w:rFonts w:ascii="Times New Roman" w:hAnsi="Times New Roman" w:cs="Times New Roman"/>
        </w:rPr>
      </w:pPr>
    </w:p>
    <w:p w14:paraId="299AA3D5" w14:textId="0A43D85B" w:rsidR="000225D4" w:rsidRDefault="000225D4" w:rsidP="000225D4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Modifying Genes</w:t>
      </w:r>
    </w:p>
    <w:p w14:paraId="67CFD2CE" w14:textId="4D2BE1B0" w:rsidR="000225D4" w:rsidRDefault="000225D4" w:rsidP="000225D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ORF3a</w:t>
      </w:r>
    </w:p>
    <w:p w14:paraId="277DF3EE" w14:textId="77BF761C" w:rsidR="000225D4" w:rsidRDefault="000225D4" w:rsidP="000225D4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Host interaction</w:t>
      </w:r>
    </w:p>
    <w:p w14:paraId="0722FCD2" w14:textId="702D38EB" w:rsidR="000225D4" w:rsidRDefault="000225D4" w:rsidP="000225D4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Virulence modulation</w:t>
      </w:r>
    </w:p>
    <w:p w14:paraId="11ED83BD" w14:textId="2C27603F" w:rsidR="000225D4" w:rsidRDefault="000225D4" w:rsidP="000225D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ORF8</w:t>
      </w:r>
    </w:p>
    <w:p w14:paraId="7DA4281A" w14:textId="2DFE7DA5" w:rsidR="000225D4" w:rsidRDefault="000225D4" w:rsidP="000225D4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Immune evasion</w:t>
      </w:r>
    </w:p>
    <w:p w14:paraId="1726FCC9" w14:textId="28C1AAAF" w:rsidR="000225D4" w:rsidRDefault="000225D4" w:rsidP="000225D4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Rapid adaptation</w:t>
      </w:r>
    </w:p>
    <w:p w14:paraId="28BDBD96" w14:textId="580E4E7B" w:rsidR="000225D4" w:rsidRDefault="000225D4" w:rsidP="000225D4">
      <w:pPr>
        <w:rPr>
          <w:rFonts w:ascii="Times New Roman" w:hAnsi="Times New Roman" w:cs="Times New Roman"/>
        </w:rPr>
      </w:pPr>
    </w:p>
    <w:p w14:paraId="0C8CC1B8" w14:textId="36E26AC9" w:rsidR="000225D4" w:rsidRPr="000225D4" w:rsidRDefault="000225D4" w:rsidP="000225D4">
      <w:pPr>
        <w:rPr>
          <w:rFonts w:ascii="Times New Roman" w:hAnsi="Times New Roman" w:cs="Times New Roman"/>
          <w:u w:val="single"/>
        </w:rPr>
      </w:pPr>
      <w:r w:rsidRPr="000225D4">
        <w:rPr>
          <w:rFonts w:ascii="Times New Roman" w:hAnsi="Times New Roman" w:cs="Times New Roman"/>
          <w:u w:val="single"/>
        </w:rPr>
        <w:t>Mutation Classification Framework</w:t>
      </w:r>
    </w:p>
    <w:p w14:paraId="38164757" w14:textId="77777777" w:rsidR="000225D4" w:rsidRDefault="000225D4" w:rsidP="000225D4">
      <w:pPr>
        <w:rPr>
          <w:rFonts w:ascii="Times New Roman" w:hAnsi="Times New Roman" w:cs="Times New Roman"/>
        </w:rPr>
      </w:pPr>
    </w:p>
    <w:p w14:paraId="37E5978E" w14:textId="0EF069C4" w:rsidR="000225D4" w:rsidRDefault="000225D4" w:rsidP="00022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Mutations are classified based on functional impact, not just frequency.</w:t>
      </w:r>
    </w:p>
    <w:p w14:paraId="20C0D04F" w14:textId="20041FCC" w:rsidR="000225D4" w:rsidRDefault="000225D4" w:rsidP="000225D4">
      <w:pPr>
        <w:rPr>
          <w:rFonts w:ascii="Times New Roman" w:hAnsi="Times New Roman" w:cs="Times New Roman"/>
        </w:rPr>
      </w:pPr>
    </w:p>
    <w:p w14:paraId="59449852" w14:textId="7361D529" w:rsidR="000225D4" w:rsidRDefault="000225D4" w:rsidP="000225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Normal Drift</w:t>
      </w:r>
    </w:p>
    <w:p w14:paraId="0B3B6BA7" w14:textId="08C809E8" w:rsidR="000225D4" w:rsidRDefault="000225D4" w:rsidP="000225D4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Mutations that:</w:t>
      </w:r>
    </w:p>
    <w:p w14:paraId="7D30B39D" w14:textId="7AABA63A" w:rsidR="000225D4" w:rsidRDefault="000225D4" w:rsidP="000225D4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 synonymous or conservative amino-acid changes</w:t>
      </w:r>
    </w:p>
    <w:p w14:paraId="2614EA5F" w14:textId="52EE7BD1" w:rsidR="000225D4" w:rsidRDefault="000225D4" w:rsidP="000225D4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Occur outside key functional domains</w:t>
      </w:r>
    </w:p>
    <w:p w14:paraId="2210E9FA" w14:textId="0DA37BE0" w:rsidR="000225D4" w:rsidRDefault="000225D4" w:rsidP="000225D4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Show no evidence of altered viral behavior</w:t>
      </w:r>
    </w:p>
    <w:p w14:paraId="53D3EE61" w14:textId="4358B2E7" w:rsidR="000225D4" w:rsidRDefault="000225D4" w:rsidP="000225D4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Examples:</w:t>
      </w:r>
    </w:p>
    <w:p w14:paraId="3CD42FB2" w14:textId="5965891C" w:rsidR="000225D4" w:rsidRDefault="000225D4" w:rsidP="000225D4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Silent mutations</w:t>
      </w:r>
    </w:p>
    <w:p w14:paraId="2749D309" w14:textId="28307D86" w:rsidR="000225D4" w:rsidRDefault="000225D4" w:rsidP="000225D4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Non-RBD spike mutations with no functional signal</w:t>
      </w:r>
    </w:p>
    <w:p w14:paraId="674C343A" w14:textId="129A838E" w:rsidR="000225D4" w:rsidRDefault="000225D4" w:rsidP="000225D4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mutations are expected background evolution</w:t>
      </w:r>
    </w:p>
    <w:p w14:paraId="4CB5992E" w14:textId="07D1AB89" w:rsidR="000225D4" w:rsidRDefault="000225D4" w:rsidP="000225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Concerning Mutations</w:t>
      </w:r>
    </w:p>
    <w:p w14:paraId="11AE6A0F" w14:textId="1762F773" w:rsidR="000225D4" w:rsidRDefault="000225D4" w:rsidP="000225D4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Mutations that:</w:t>
      </w:r>
    </w:p>
    <w:p w14:paraId="4ABBA4EF" w14:textId="3CA484D8" w:rsidR="000225D4" w:rsidRDefault="000225D4" w:rsidP="000225D4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Occur in functionally important regions</w:t>
      </w:r>
    </w:p>
    <w:p w14:paraId="0E8923B2" w14:textId="029E18A3" w:rsidR="000225D4" w:rsidRDefault="000225D4" w:rsidP="000225D4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Have evidence of altering viral behavior</w:t>
      </w:r>
    </w:p>
    <w:p w14:paraId="0623D732" w14:textId="335C3920" w:rsidR="000225D4" w:rsidRDefault="000225D4" w:rsidP="000225D4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Appear repeatedly across lineages</w:t>
      </w:r>
    </w:p>
    <w:p w14:paraId="74085F1B" w14:textId="214B28FB" w:rsidR="000225D4" w:rsidRDefault="000225D4" w:rsidP="000225D4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Examples:</w:t>
      </w:r>
    </w:p>
    <w:p w14:paraId="5B6FDD01" w14:textId="5CC15C16" w:rsidR="000225D4" w:rsidRDefault="000225D4" w:rsidP="000225D4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Spike RBD substitutions affecting antibody binding</w:t>
      </w:r>
    </w:p>
    <w:p w14:paraId="00F694E8" w14:textId="3308D97C" w:rsidR="000225D4" w:rsidRDefault="000225D4" w:rsidP="000225D4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Furin cleavage site mutations</w:t>
      </w:r>
    </w:p>
    <w:p w14:paraId="758C3A4B" w14:textId="5D080C49" w:rsidR="000225D4" w:rsidRDefault="000225D4" w:rsidP="000225D4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ORF1ab mutations linked to replication efficiency</w:t>
      </w:r>
    </w:p>
    <w:p w14:paraId="18CC325A" w14:textId="70E65BCE" w:rsidR="000225D4" w:rsidRDefault="000225D4" w:rsidP="000225D4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mutations warrant monitoring</w:t>
      </w:r>
    </w:p>
    <w:p w14:paraId="505CD217" w14:textId="1D8C5DDC" w:rsidR="000225D4" w:rsidRDefault="000225D4" w:rsidP="000225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High-Risk Mutations</w:t>
      </w:r>
    </w:p>
    <w:p w14:paraId="2CF97898" w14:textId="4BF8BB9A" w:rsidR="000225D4" w:rsidRDefault="000225D4" w:rsidP="000225D4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Mutations that:</w:t>
      </w:r>
    </w:p>
    <w:p w14:paraId="2041E8DA" w14:textId="0DD68019" w:rsidR="000225D4" w:rsidRDefault="000225D4" w:rsidP="000225D4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Have strong experimental or epidemiological evidence</w:t>
      </w:r>
    </w:p>
    <w:p w14:paraId="78FD01D7" w14:textId="40265004" w:rsidR="000225D4" w:rsidRDefault="000225D4" w:rsidP="000225D4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 associated with increased spread, immune escape, or viral fitness</w:t>
      </w:r>
    </w:p>
    <w:p w14:paraId="18D87189" w14:textId="66AEB9C6" w:rsidR="000225D4" w:rsidRDefault="000225D4" w:rsidP="000225D4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Appear in rapidly expanding lineages</w:t>
      </w:r>
    </w:p>
    <w:p w14:paraId="5819C2C9" w14:textId="6D60B750" w:rsidR="000225D4" w:rsidRDefault="000225D4" w:rsidP="000225D4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Examples</w:t>
      </w:r>
    </w:p>
    <w:p w14:paraId="05E8184C" w14:textId="157BFDA6" w:rsidR="000225D4" w:rsidRDefault="000225D4" w:rsidP="000225D4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Spike RBD mutations reducing neutralization</w:t>
      </w:r>
    </w:p>
    <w:p w14:paraId="50BE8C24" w14:textId="5CED482E" w:rsidR="000225D4" w:rsidRDefault="000225D4" w:rsidP="000225D4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Mutations enhancing ACE2 binding</w:t>
      </w:r>
    </w:p>
    <w:p w14:paraId="15F6FAC9" w14:textId="72FA6090" w:rsidR="000225D4" w:rsidRDefault="000225D4" w:rsidP="000225D4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Replication machinery changes affecting fidelity</w:t>
      </w:r>
    </w:p>
    <w:p w14:paraId="0A575978" w14:textId="0A69BEAA" w:rsidR="000225D4" w:rsidRDefault="000225D4" w:rsidP="000225D4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mutations significantly elevate variant risk</w:t>
      </w:r>
    </w:p>
    <w:p w14:paraId="15C433E9" w14:textId="77838A7E" w:rsidR="000225D4" w:rsidRDefault="000225D4" w:rsidP="000225D4">
      <w:pPr>
        <w:rPr>
          <w:rFonts w:ascii="Times New Roman" w:hAnsi="Times New Roman" w:cs="Times New Roman"/>
        </w:rPr>
      </w:pPr>
    </w:p>
    <w:p w14:paraId="0C64F9A4" w14:textId="77777777" w:rsidR="000225D4" w:rsidRPr="000225D4" w:rsidRDefault="000225D4" w:rsidP="000225D4">
      <w:pPr>
        <w:rPr>
          <w:rFonts w:ascii="Times New Roman" w:hAnsi="Times New Roman" w:cs="Times New Roman"/>
        </w:rPr>
      </w:pPr>
    </w:p>
    <w:p w14:paraId="5FDD4602" w14:textId="6E360D83" w:rsidR="000225D4" w:rsidRPr="000225D4" w:rsidRDefault="000225D4" w:rsidP="000225D4">
      <w:pPr>
        <w:rPr>
          <w:rFonts w:ascii="Times New Roman" w:hAnsi="Times New Roman" w:cs="Times New Roman"/>
          <w:u w:val="single"/>
        </w:rPr>
      </w:pPr>
      <w:r w:rsidRPr="000225D4">
        <w:rPr>
          <w:rFonts w:ascii="Times New Roman" w:hAnsi="Times New Roman" w:cs="Times New Roman"/>
          <w:u w:val="single"/>
        </w:rPr>
        <w:t>Mutation Combination Effects</w:t>
      </w:r>
    </w:p>
    <w:p w14:paraId="2AB14CA2" w14:textId="20B12A73" w:rsidR="000225D4" w:rsidRDefault="000225D4" w:rsidP="00022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Risk is not additive by default; it is often synergistic.</w:t>
      </w:r>
    </w:p>
    <w:p w14:paraId="04AF1999" w14:textId="4C75C50B" w:rsidR="000225D4" w:rsidRDefault="000225D4" w:rsidP="000225D4">
      <w:pPr>
        <w:rPr>
          <w:rFonts w:ascii="Times New Roman" w:hAnsi="Times New Roman" w:cs="Times New Roman"/>
        </w:rPr>
      </w:pPr>
    </w:p>
    <w:p w14:paraId="5D151541" w14:textId="7EE4CFBB" w:rsidR="000225D4" w:rsidRDefault="000225D4" w:rsidP="000225D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principles</w:t>
      </w:r>
    </w:p>
    <w:p w14:paraId="2B0235B1" w14:textId="41BD604A" w:rsidR="000225D4" w:rsidRDefault="000225D4" w:rsidP="000225D4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Single mutations may be concerning</w:t>
      </w:r>
    </w:p>
    <w:p w14:paraId="1923D0F3" w14:textId="03EA48D3" w:rsidR="000225D4" w:rsidRDefault="000225D4" w:rsidP="000225D4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Combinations can create disproportionate effects</w:t>
      </w:r>
    </w:p>
    <w:p w14:paraId="4DF87867" w14:textId="56895C4E" w:rsidR="000225D4" w:rsidRDefault="000225D4" w:rsidP="000225D4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Recurrent mutation patterns indicate selection</w:t>
      </w:r>
    </w:p>
    <w:p w14:paraId="6EA6FA5E" w14:textId="37E253B7" w:rsidR="000225D4" w:rsidRDefault="000225D4" w:rsidP="000225D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</w:t>
      </w:r>
    </w:p>
    <w:p w14:paraId="00B2551F" w14:textId="6EC5A5DE" w:rsidR="000225D4" w:rsidRDefault="000225D4" w:rsidP="000225D4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N501Y + E484K + K417N</w:t>
      </w:r>
    </w:p>
    <w:p w14:paraId="2F791DA6" w14:textId="030EE07E" w:rsidR="000225D4" w:rsidRDefault="000225D4" w:rsidP="000225D4">
      <w:pPr>
        <w:pStyle w:val="ListParagraph"/>
        <w:numPr>
          <w:ilvl w:val="2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Increased ACE2 binding + immune escape</w:t>
      </w:r>
    </w:p>
    <w:p w14:paraId="6CC6E224" w14:textId="07E27B48" w:rsidR="000225D4" w:rsidRDefault="000225D4" w:rsidP="000225D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Variant risk increases sharply when:</w:t>
      </w:r>
    </w:p>
    <w:p w14:paraId="16A02943" w14:textId="705666E9" w:rsidR="000225D4" w:rsidRDefault="000225D4" w:rsidP="000225D4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Multiple spike mutations co-occur</w:t>
      </w:r>
    </w:p>
    <w:p w14:paraId="3DB6E54B" w14:textId="0042A299" w:rsidR="000225D4" w:rsidRDefault="000225D4" w:rsidP="000225D4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Spike mutations combine with ORF1ab replication advantages</w:t>
      </w:r>
    </w:p>
    <w:p w14:paraId="176479DD" w14:textId="01184337" w:rsidR="000225D4" w:rsidRDefault="000225D4" w:rsidP="000225D4">
      <w:pPr>
        <w:rPr>
          <w:rFonts w:ascii="Times New Roman" w:hAnsi="Times New Roman" w:cs="Times New Roman"/>
        </w:rPr>
      </w:pPr>
    </w:p>
    <w:p w14:paraId="1AD74FA7" w14:textId="6A34026D" w:rsidR="000225D4" w:rsidRPr="000225D4" w:rsidRDefault="000225D4" w:rsidP="000225D4">
      <w:pPr>
        <w:rPr>
          <w:rFonts w:ascii="Times New Roman" w:hAnsi="Times New Roman" w:cs="Times New Roman"/>
          <w:u w:val="single"/>
        </w:rPr>
      </w:pPr>
      <w:r w:rsidRPr="000225D4">
        <w:rPr>
          <w:rFonts w:ascii="Times New Roman" w:hAnsi="Times New Roman" w:cs="Times New Roman"/>
          <w:u w:val="single"/>
        </w:rPr>
        <w:t>Variant-Level Risk Categories</w:t>
      </w:r>
    </w:p>
    <w:p w14:paraId="684DECBB" w14:textId="107FB9AC" w:rsidR="000225D4" w:rsidRDefault="000225D4" w:rsidP="000225D4">
      <w:pPr>
        <w:rPr>
          <w:rFonts w:ascii="Times New Roman" w:hAnsi="Times New Roman" w:cs="Times New Roman"/>
        </w:rPr>
      </w:pPr>
    </w:p>
    <w:p w14:paraId="0F02B901" w14:textId="0DA16E6A" w:rsidR="000225D4" w:rsidRDefault="000225D4" w:rsidP="00022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Variants are classified based on aggregated mutation profiles, not individual changes alone.</w:t>
      </w:r>
    </w:p>
    <w:p w14:paraId="0515992D" w14:textId="28A1FD76" w:rsidR="000225D4" w:rsidRDefault="000225D4" w:rsidP="000225D4">
      <w:pPr>
        <w:rPr>
          <w:rFonts w:ascii="Times New Roman" w:hAnsi="Times New Roman" w:cs="Times New Roman"/>
        </w:rPr>
      </w:pPr>
    </w:p>
    <w:p w14:paraId="69854E7D" w14:textId="105C45D6" w:rsidR="000225D4" w:rsidRDefault="000225D4" w:rsidP="000225D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Low risk</w:t>
      </w:r>
    </w:p>
    <w:p w14:paraId="3EEFCF06" w14:textId="34188C3F" w:rsidR="000225D4" w:rsidRDefault="000225D4" w:rsidP="000225D4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Mostly normal drift mutations</w:t>
      </w:r>
    </w:p>
    <w:p w14:paraId="2CC9212F" w14:textId="17E279C5" w:rsidR="000225D4" w:rsidRDefault="000225D4" w:rsidP="000225D4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functional clustering</w:t>
      </w:r>
    </w:p>
    <w:p w14:paraId="6666311D" w14:textId="0B847941" w:rsidR="000225D4" w:rsidRDefault="000225D4" w:rsidP="000225D4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rapid geographic expansion</w:t>
      </w:r>
    </w:p>
    <w:p w14:paraId="742C6D47" w14:textId="17D7DB4E" w:rsidR="000225D4" w:rsidRDefault="000225D4" w:rsidP="000225D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Moderate risk</w:t>
      </w:r>
    </w:p>
    <w:p w14:paraId="4F050B9D" w14:textId="623E317A" w:rsidR="000225D4" w:rsidRDefault="000225D4" w:rsidP="000225D4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more concerning mutations</w:t>
      </w:r>
    </w:p>
    <w:p w14:paraId="06FCEEA3" w14:textId="640D7DC8" w:rsidR="000225D4" w:rsidRDefault="000225D4" w:rsidP="000225D4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Limited or regional growth</w:t>
      </w:r>
    </w:p>
    <w:p w14:paraId="749F407A" w14:textId="6F2754DD" w:rsidR="000225D4" w:rsidRDefault="000225D4" w:rsidP="000225D4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Biological plausibility but incomplete evidence</w:t>
      </w:r>
    </w:p>
    <w:p w14:paraId="52EF9380" w14:textId="1ABAE6CE" w:rsidR="000225D4" w:rsidRDefault="000225D4" w:rsidP="000225D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 risk</w:t>
      </w:r>
    </w:p>
    <w:p w14:paraId="0F351AEC" w14:textId="7B6E6760" w:rsidR="000225D4" w:rsidRDefault="000225D4" w:rsidP="000225D4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Multiple high-impact mutations</w:t>
      </w:r>
    </w:p>
    <w:p w14:paraId="5580CA2E" w14:textId="78C82658" w:rsidR="000225D4" w:rsidRDefault="000225D4" w:rsidP="000225D4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Rapid expansion across region</w:t>
      </w:r>
    </w:p>
    <w:p w14:paraId="3173F45B" w14:textId="7056EBF8" w:rsidR="000225D4" w:rsidRDefault="000225D4" w:rsidP="000225D4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Strong functional or epidemiological support</w:t>
      </w:r>
    </w:p>
    <w:p w14:paraId="51A77B22" w14:textId="5BB3D949" w:rsidR="000225D4" w:rsidRDefault="000225D4" w:rsidP="000225D4">
      <w:pPr>
        <w:rPr>
          <w:rFonts w:ascii="Times New Roman" w:hAnsi="Times New Roman" w:cs="Times New Roman"/>
        </w:rPr>
      </w:pPr>
    </w:p>
    <w:p w14:paraId="1DA3BA7C" w14:textId="111ABFA5" w:rsidR="000225D4" w:rsidRPr="000225D4" w:rsidRDefault="000225D4" w:rsidP="000225D4">
      <w:pPr>
        <w:rPr>
          <w:rFonts w:ascii="Times New Roman" w:hAnsi="Times New Roman" w:cs="Times New Roman"/>
          <w:u w:val="single"/>
        </w:rPr>
      </w:pPr>
      <w:r w:rsidRPr="000225D4">
        <w:rPr>
          <w:rFonts w:ascii="Times New Roman" w:hAnsi="Times New Roman" w:cs="Times New Roman"/>
          <w:u w:val="single"/>
        </w:rPr>
        <w:t>Explain-ability and Transparency</w:t>
      </w:r>
    </w:p>
    <w:p w14:paraId="4A36E180" w14:textId="3675CD0F" w:rsidR="000225D4" w:rsidRDefault="000225D4" w:rsidP="000225D4">
      <w:pPr>
        <w:rPr>
          <w:rFonts w:ascii="Times New Roman" w:hAnsi="Times New Roman" w:cs="Times New Roman"/>
        </w:rPr>
      </w:pPr>
    </w:p>
    <w:p w14:paraId="60487EF5" w14:textId="225360F3" w:rsidR="000225D4" w:rsidRDefault="000225D4" w:rsidP="00022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variant risk classification must be explainable.</w:t>
      </w:r>
    </w:p>
    <w:p w14:paraId="73BB0851" w14:textId="693AF48C" w:rsidR="000225D4" w:rsidRDefault="000225D4" w:rsidP="000225D4">
      <w:pPr>
        <w:rPr>
          <w:rFonts w:ascii="Times New Roman" w:hAnsi="Times New Roman" w:cs="Times New Roman"/>
        </w:rPr>
      </w:pPr>
    </w:p>
    <w:p w14:paraId="15C49912" w14:textId="40317230" w:rsidR="000225D4" w:rsidRDefault="000225D4" w:rsidP="00022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every risk score, the system should be able to answer:</w:t>
      </w:r>
    </w:p>
    <w:p w14:paraId="43F6658B" w14:textId="77777777" w:rsidR="000225D4" w:rsidRDefault="000225D4" w:rsidP="000225D4">
      <w:pPr>
        <w:rPr>
          <w:rFonts w:ascii="Times New Roman" w:hAnsi="Times New Roman" w:cs="Times New Roman"/>
        </w:rPr>
      </w:pPr>
    </w:p>
    <w:p w14:paraId="7A298940" w14:textId="48A811ED" w:rsidR="000225D4" w:rsidRDefault="000225D4" w:rsidP="000225D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genes contributed most?</w:t>
      </w:r>
    </w:p>
    <w:p w14:paraId="72C48012" w14:textId="7F4F251B" w:rsidR="000225D4" w:rsidRDefault="000225D4" w:rsidP="000225D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mutations drove classification?</w:t>
      </w:r>
    </w:p>
    <w:p w14:paraId="1A4F88A1" w14:textId="7BB220DE" w:rsidR="000225D4" w:rsidRDefault="000225D4" w:rsidP="000225D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Was risk driven by spike, replication, or immune evasion?</w:t>
      </w:r>
    </w:p>
    <w:p w14:paraId="4A28F32C" w14:textId="77777777" w:rsidR="000225D4" w:rsidRDefault="000225D4" w:rsidP="000225D4">
      <w:pPr>
        <w:rPr>
          <w:rFonts w:ascii="Times New Roman" w:hAnsi="Times New Roman" w:cs="Times New Roman"/>
        </w:rPr>
      </w:pPr>
    </w:p>
    <w:p w14:paraId="7BA3EB11" w14:textId="7E883367" w:rsidR="000225D4" w:rsidRDefault="000225D4" w:rsidP="000225D4">
      <w:pPr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w:t>This allows:</w:t>
      </w:r>
    </w:p>
    <w:p w14:paraId="14222F95" w14:textId="77777777" w:rsidR="000225D4" w:rsidRDefault="000225D4" w:rsidP="000225D4">
      <w:pPr>
        <w:rPr>
          <w:rFonts w:ascii="Times New Roman" w:hAnsi="Times New Roman" w:cs="Times New Roman"/>
        </w:rPr>
      </w:pPr>
    </w:p>
    <w:p w14:paraId="0FBE82E4" w14:textId="6C1FFB04" w:rsidR="000225D4" w:rsidRDefault="000225D4" w:rsidP="000225D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Scientific auditability</w:t>
      </w:r>
    </w:p>
    <w:p w14:paraId="21EDC80F" w14:textId="059150A9" w:rsidR="000225D4" w:rsidRDefault="000225D4" w:rsidP="000225D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 interpretability</w:t>
      </w:r>
    </w:p>
    <w:p w14:paraId="32D010BA" w14:textId="053793E5" w:rsidR="000225D4" w:rsidRPr="000225D4" w:rsidRDefault="000225D4" w:rsidP="000225D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Responsible communication of risk</w:t>
      </w:r>
    </w:p>
    <w:sectPr w:rsidR="000225D4" w:rsidRPr="000225D4" w:rsidSect="00FB7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045A58"/>
    <w:multiLevelType w:val="hybridMultilevel"/>
    <w:tmpl w:val="563A6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91583"/>
    <w:multiLevelType w:val="hybridMultilevel"/>
    <w:tmpl w:val="FBCA0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1760AE"/>
    <w:multiLevelType w:val="hybridMultilevel"/>
    <w:tmpl w:val="9E2A5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8215B8"/>
    <w:multiLevelType w:val="hybridMultilevel"/>
    <w:tmpl w:val="CDA85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D6165D"/>
    <w:multiLevelType w:val="hybridMultilevel"/>
    <w:tmpl w:val="32FEC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935126"/>
    <w:multiLevelType w:val="hybridMultilevel"/>
    <w:tmpl w:val="DEE8E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201E51"/>
    <w:multiLevelType w:val="hybridMultilevel"/>
    <w:tmpl w:val="9962A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6F172F"/>
    <w:multiLevelType w:val="hybridMultilevel"/>
    <w:tmpl w:val="2E98C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697F94"/>
    <w:multiLevelType w:val="hybridMultilevel"/>
    <w:tmpl w:val="453EC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0B7E8C"/>
    <w:multiLevelType w:val="hybridMultilevel"/>
    <w:tmpl w:val="3A2E7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0"/>
  </w:num>
  <w:num w:numId="5">
    <w:abstractNumId w:val="4"/>
  </w:num>
  <w:num w:numId="6">
    <w:abstractNumId w:val="5"/>
  </w:num>
  <w:num w:numId="7">
    <w:abstractNumId w:val="9"/>
  </w:num>
  <w:num w:numId="8">
    <w:abstractNumId w:val="6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5D4"/>
    <w:rsid w:val="000225D4"/>
    <w:rsid w:val="004204C5"/>
    <w:rsid w:val="00C54B70"/>
    <w:rsid w:val="00FB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5061DC"/>
  <w15:chartTrackingRefBased/>
  <w15:docId w15:val="{5B593BC9-BC55-5148-A721-AA4D49CF4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25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552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Giguere, Laura</dc:creator>
  <cp:keywords/>
  <dc:description/>
  <cp:lastModifiedBy>Giguere, Laura</cp:lastModifiedBy>
  <cp:revision>2</cp:revision>
  <dcterms:created xsi:type="dcterms:W3CDTF">2026-01-14T02:28:00Z</dcterms:created>
  <dcterms:modified xsi:type="dcterms:W3CDTF">2026-01-14T02:28:00Z</dcterms:modified>
</cp:coreProperties>
</file>