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3A5C"/>
          <w:sz w:val="52"/>
          <w:szCs w:val="52"/>
        </w:rPr>
        <w:t xml:space="preserve">GLOBAL FRESHWATER INTELLIGENCE PROJECT</w:t>
      </w:r>
    </w:p>
    <w:p>
      <w:pPr>
        <w:pBdr>
          <w:bottom w:val="single" w:color="2E75B6" w:sz="12" w:space="6"/>
        </w:pBdr>
        <w:spacing w:after="200" w:before="0"/>
        <w:jc w:val="center"/>
      </w:pPr>
      <w:r>
        <w:rPr>
          <w:rFonts w:ascii="Arial" w:cs="Arial" w:eastAsia="Arial" w:hAnsi="Arial"/>
          <w:color w:val="2E75B6"/>
          <w:sz w:val="36"/>
          <w:szCs w:val="36"/>
        </w:rPr>
        <w:t xml:space="preserve">Project Master Documentation</w:t>
      </w:r>
    </w:p>
    <w:p>
      <w:pPr>
        <w:spacing w:after="0" w:before="400"/>
      </w:pPr>
    </w:p>
    <w:p>
      <w:pPr>
        <w:spacing w:after="160" w:before="0"/>
        <w:jc w:val="center"/>
      </w:pPr>
      <w:r>
        <w:rPr>
          <w:rFonts w:ascii="Arial" w:cs="Arial" w:eastAsia="Arial" w:hAnsi="Arial"/>
          <w:i/>
          <w:iCs/>
          <w:color w:val="444444"/>
          <w:sz w:val="28"/>
          <w:szCs w:val="28"/>
        </w:rPr>
        <w:t xml:space="preserve">From Raw Data to Predictive Intelligence</w:t>
      </w:r>
    </w:p>
    <w:p>
      <w:pPr>
        <w:spacing w:after="0" w:before="600"/>
      </w:pPr>
    </w:p>
    <w:p>
      <w:pPr>
        <w:spacing w:after="120" w:before="0"/>
        <w:jc w:val="center"/>
      </w:pPr>
      <w:r>
        <w:rPr>
          <w:rFonts w:ascii="Arial" w:cs="Arial" w:eastAsia="Arial" w:hAnsi="Arial"/>
          <w:color w:val="888888"/>
          <w:sz w:val="20"/>
          <w:szCs w:val="20"/>
        </w:rPr>
        <w:t xml:space="preserve">Version 1.0  ·  June 2026</w:t>
      </w:r>
    </w:p>
    <w:p>
      <w:pPr>
        <w:spacing w:after="120" w:before="0"/>
        <w:jc w:val="center"/>
      </w:pPr>
      <w:r>
        <w:rPr>
          <w:rFonts w:ascii="Arial" w:cs="Arial" w:eastAsia="Arial" w:hAnsi="Arial"/>
          <w:color w:val="888888"/>
          <w:sz w:val="20"/>
          <w:szCs w:val="20"/>
        </w:rPr>
        <w:t xml:space="preserve">Classification: Working Draft</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1. Executive Summary</w:t>
      </w:r>
    </w:p>
    <w:p>
      <w:pPr>
        <w:spacing w:after="120" w:before="80"/>
      </w:pPr>
      <w:r>
        <w:rPr>
          <w:rFonts w:ascii="Arial" w:cs="Arial" w:eastAsia="Arial" w:hAnsi="Arial"/>
          <w:color w:val="444444"/>
          <w:sz w:val="22"/>
          <w:szCs w:val="22"/>
        </w:rPr>
        <w:t xml:space="preserve">The Global Freshwater Intelligence Project (GFIP) is a multi-phase research and engineering initiative designed to understand, quantify, and predict the relationship between freshwater availability and human outcomes across the globe. The project spans data engineering, statistical hypothesis testing, machine learning modelling, and an interactive public-facing dashboard.</w:t>
      </w:r>
    </w:p>
    <w:p>
      <w:pPr>
        <w:spacing w:after="120" w:before="80"/>
      </w:pPr>
      <w:r>
        <w:rPr>
          <w:rFonts w:ascii="Arial" w:cs="Arial" w:eastAsia="Arial" w:hAnsi="Arial"/>
          <w:color w:val="444444"/>
          <w:sz w:val="22"/>
          <w:szCs w:val="22"/>
        </w:rPr>
        <w:t xml:space="preserve">Freshwater — the foundation of agriculture, industry, public health, and political stability — is unevenly distributed and increasingly stressed by climate change, population growth, and poor governance. This project treats freshwater availability not merely as an environmental metric, but as a </w:t>
      </w:r>
      <w:r>
        <w:rPr>
          <w:rFonts w:ascii="Arial" w:cs="Arial" w:eastAsia="Arial" w:hAnsi="Arial"/>
          <w:b/>
          <w:bCs/>
          <w:color w:val="444444"/>
          <w:sz w:val="22"/>
          <w:szCs w:val="22"/>
        </w:rPr>
        <w:t xml:space="preserve">root-cause variable</w:t>
      </w:r>
      <w:r>
        <w:rPr>
          <w:rFonts w:ascii="Arial" w:cs="Arial" w:eastAsia="Arial" w:hAnsi="Arial"/>
          <w:color w:val="444444"/>
          <w:sz w:val="22"/>
          <w:szCs w:val="22"/>
        </w:rPr>
        <w:t xml:space="preserve"> that drives economic performance, government stability, conflict, migration, and human longevity.</w:t>
      </w:r>
    </w:p>
    <w:p>
      <w:pPr>
        <w:spacing w:after="0" w:before="120"/>
      </w:pPr>
    </w:p>
    <w:p>
      <w:pPr>
        <w:pStyle w:val="Heading2"/>
        <w:spacing w:after="120" w:before="320"/>
      </w:pPr>
      <w:r>
        <w:rPr>
          <w:rFonts w:ascii="Arial" w:cs="Arial" w:eastAsia="Arial" w:hAnsi="Arial"/>
          <w:b/>
          <w:bCs/>
          <w:color w:val="2E75B6"/>
          <w:sz w:val="28"/>
          <w:szCs w:val="28"/>
        </w:rPr>
        <w:t xml:space="preserve">1.1 Core Hypotheses</w:t>
      </w:r>
    </w:p>
    <w:p>
      <w:pPr>
        <w:spacing w:after="120" w:before="80"/>
      </w:pPr>
      <w:r>
        <w:rPr>
          <w:rFonts w:ascii="Arial" w:cs="Arial" w:eastAsia="Arial" w:hAnsi="Arial"/>
          <w:b/>
          <w:bCs/>
          <w:color w:val="444444"/>
          <w:sz w:val="22"/>
          <w:szCs w:val="22"/>
        </w:rPr>
        <w:t xml:space="preserve">H1 — Economic Outcomes:</w:t>
      </w:r>
      <w:r>
        <w:rPr>
          <w:rFonts w:ascii="Arial" w:cs="Arial" w:eastAsia="Arial" w:hAnsi="Arial"/>
          <w:color w:val="444444"/>
          <w:sz w:val="22"/>
          <w:szCs w:val="22"/>
        </w:rPr>
        <w:t xml:space="preserve">  Freshwater availability positively correlates with and causally contributes to GDP per capita, agricultural productivity, and HDI.</w:t>
      </w:r>
    </w:p>
    <w:p>
      <w:pPr>
        <w:spacing w:after="120" w:before="80"/>
      </w:pPr>
      <w:r>
        <w:rPr>
          <w:rFonts w:ascii="Arial" w:cs="Arial" w:eastAsia="Arial" w:hAnsi="Arial"/>
          <w:b/>
          <w:bCs/>
          <w:color w:val="444444"/>
          <w:sz w:val="22"/>
          <w:szCs w:val="22"/>
        </w:rPr>
        <w:t xml:space="preserve">H2 — Government Stability:</w:t>
      </w:r>
      <w:r>
        <w:rPr>
          <w:rFonts w:ascii="Arial" w:cs="Arial" w:eastAsia="Arial" w:hAnsi="Arial"/>
          <w:color w:val="444444"/>
          <w:sz w:val="22"/>
          <w:szCs w:val="22"/>
        </w:rPr>
        <w:t xml:space="preserve">  Water scarcity increases the probability of state fragility, protest activity, and regime instability.</w:t>
      </w:r>
    </w:p>
    <w:p>
      <w:pPr>
        <w:spacing w:after="120" w:before="80"/>
      </w:pPr>
      <w:r>
        <w:rPr>
          <w:rFonts w:ascii="Arial" w:cs="Arial" w:eastAsia="Arial" w:hAnsi="Arial"/>
          <w:b/>
          <w:bCs/>
          <w:color w:val="444444"/>
          <w:sz w:val="22"/>
          <w:szCs w:val="22"/>
        </w:rPr>
        <w:t xml:space="preserve">H3 — War &amp; Crime:</w:t>
      </w:r>
      <w:r>
        <w:rPr>
          <w:rFonts w:ascii="Arial" w:cs="Arial" w:eastAsia="Arial" w:hAnsi="Arial"/>
          <w:color w:val="444444"/>
          <w:sz w:val="22"/>
          <w:szCs w:val="22"/>
        </w:rPr>
        <w:t xml:space="preserve">  Freshwater stress increases intra-state conflict, organised crime, and violence — particularly in arid and semi-arid transition zones.</w:t>
      </w:r>
    </w:p>
    <w:p>
      <w:pPr>
        <w:spacing w:after="120" w:before="80"/>
      </w:pPr>
      <w:r>
        <w:rPr>
          <w:rFonts w:ascii="Arial" w:cs="Arial" w:eastAsia="Arial" w:hAnsi="Arial"/>
          <w:b/>
          <w:bCs/>
          <w:color w:val="444444"/>
          <w:sz w:val="22"/>
          <w:szCs w:val="22"/>
        </w:rPr>
        <w:t xml:space="preserve">H4 — Human Longevity:</w:t>
      </w:r>
      <w:r>
        <w:rPr>
          <w:rFonts w:ascii="Arial" w:cs="Arial" w:eastAsia="Arial" w:hAnsi="Arial"/>
          <w:color w:val="444444"/>
          <w:sz w:val="22"/>
          <w:szCs w:val="22"/>
        </w:rPr>
        <w:t xml:space="preserve">  Access to safe freshwater reduces child mortality, disease burden, and increases life expectancy.</w:t>
      </w:r>
    </w:p>
    <w:p>
      <w:pPr>
        <w:spacing w:after="120" w:before="80"/>
      </w:pPr>
      <w:r>
        <w:rPr>
          <w:rFonts w:ascii="Arial" w:cs="Arial" w:eastAsia="Arial" w:hAnsi="Arial"/>
          <w:b/>
          <w:bCs/>
          <w:color w:val="444444"/>
          <w:sz w:val="22"/>
          <w:szCs w:val="22"/>
        </w:rPr>
        <w:t xml:space="preserve">H5 — Migration Pressure:</w:t>
      </w:r>
      <w:r>
        <w:rPr>
          <w:rFonts w:ascii="Arial" w:cs="Arial" w:eastAsia="Arial" w:hAnsi="Arial"/>
          <w:color w:val="444444"/>
          <w:sz w:val="22"/>
          <w:szCs w:val="22"/>
        </w:rPr>
        <w:t xml:space="preserve">  Freshwater scarcity is a primary driver of forced displacement, both internal and cross-border.</w:t>
      </w:r>
    </w:p>
    <w:p>
      <w:pPr>
        <w:spacing w:after="120" w:before="80"/>
      </w:pPr>
      <w:r>
        <w:rPr>
          <w:rFonts w:ascii="Arial" w:cs="Arial" w:eastAsia="Arial" w:hAnsi="Arial"/>
          <w:b/>
          <w:bCs/>
          <w:color w:val="444444"/>
          <w:sz w:val="22"/>
          <w:szCs w:val="22"/>
        </w:rPr>
        <w:t xml:space="preserve">H6 — Within-Country Inequality:</w:t>
      </w:r>
      <w:r>
        <w:rPr>
          <w:rFonts w:ascii="Arial" w:cs="Arial" w:eastAsia="Arial" w:hAnsi="Arial"/>
          <w:color w:val="444444"/>
          <w:sz w:val="22"/>
          <w:szCs w:val="22"/>
        </w:rPr>
        <w:t xml:space="preserve">  Unequal distribution of water access within a country predicts unequal economic and health outcomes across regions and income groups.</w:t>
      </w:r>
    </w:p>
    <w:p>
      <w:pPr>
        <w:spacing w:after="120" w:before="80"/>
      </w:pPr>
      <w:r>
        <w:rPr>
          <w:rFonts w:ascii="Arial" w:cs="Arial" w:eastAsia="Arial" w:hAnsi="Arial"/>
          <w:b/>
          <w:bCs/>
          <w:color w:val="444444"/>
          <w:sz w:val="22"/>
          <w:szCs w:val="22"/>
        </w:rPr>
        <w:t xml:space="preserve">H7 — Groundwater as Hidden Accelerant:</w:t>
      </w:r>
      <w:r>
        <w:rPr>
          <w:rFonts w:ascii="Arial" w:cs="Arial" w:eastAsia="Arial" w:hAnsi="Arial"/>
          <w:color w:val="444444"/>
          <w:sz w:val="22"/>
          <w:szCs w:val="22"/>
        </w:rPr>
        <w:t xml:space="preserve">  Aquifer depletion — largely invisible in surface water statistics — is the key accelerant of all above outcomes over 10–30 year horizons.</w:t>
      </w:r>
    </w:p>
    <w:p>
      <w:pPr>
        <w:spacing w:after="0" w:before="120"/>
      </w:pPr>
    </w:p>
    <w:p>
      <w:pPr>
        <w:pStyle w:val="Heading2"/>
        <w:spacing w:after="120" w:before="320"/>
      </w:pPr>
      <w:r>
        <w:rPr>
          <w:rFonts w:ascii="Arial" w:cs="Arial" w:eastAsia="Arial" w:hAnsi="Arial"/>
          <w:b/>
          <w:bCs/>
          <w:color w:val="2E75B6"/>
          <w:sz w:val="28"/>
          <w:szCs w:val="28"/>
        </w:rPr>
        <w:t xml:space="preserve">1.2 Project Philosophy</w:t>
      </w:r>
    </w:p>
    <w:p>
      <w:pPr>
        <w:spacing w:after="120" w:before="80"/>
      </w:pPr>
      <w:r>
        <w:rPr>
          <w:rFonts w:ascii="Arial" w:cs="Arial" w:eastAsia="Arial" w:hAnsi="Arial"/>
          <w:color w:val="444444"/>
          <w:sz w:val="22"/>
          <w:szCs w:val="22"/>
        </w:rPr>
        <w:t xml:space="preserve">The project is built </w:t>
      </w:r>
      <w:r>
        <w:rPr>
          <w:rFonts w:ascii="Arial" w:cs="Arial" w:eastAsia="Arial" w:hAnsi="Arial"/>
          <w:b/>
          <w:bCs/>
          <w:color w:val="444444"/>
          <w:sz w:val="22"/>
          <w:szCs w:val="22"/>
        </w:rPr>
        <w:t xml:space="preserve">ground-up</w:t>
      </w:r>
      <w:r>
        <w:rPr>
          <w:rFonts w:ascii="Arial" w:cs="Arial" w:eastAsia="Arial" w:hAnsi="Arial"/>
          <w:color w:val="444444"/>
          <w:sz w:val="22"/>
          <w:szCs w:val="22"/>
        </w:rPr>
        <w:t xml:space="preserve">: nothing works without clean, validated data. Machine learning models are only as good as the data they ingest. The dashboard is only as trustworthy as the models beneath it. Every phase is a prerequisite for the next. This document reflects that philosophy — it is structured to walk from raw sources to finished product.</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2. Project Architecture Overview</w:t>
      </w:r>
    </w:p>
    <w:p>
      <w:pPr>
        <w:spacing w:after="120" w:before="80"/>
      </w:pPr>
      <w:r>
        <w:rPr>
          <w:rFonts w:ascii="Arial" w:cs="Arial" w:eastAsia="Arial" w:hAnsi="Arial"/>
          <w:color w:val="444444"/>
          <w:sz w:val="22"/>
          <w:szCs w:val="22"/>
        </w:rPr>
        <w:t xml:space="preserve">The project is organised into five sequential phases. Each phase produces validated artefacts that serve as inputs to the next.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Phase</w:t>
            </w:r>
          </w:p>
        </w:tc>
        <w:tc>
          <w:tcPr>
            <w:tcW w:type="dxa" w:w="7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1</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Data Acquisition &amp; Engineering — collect, clean, and unify all source datasets into a master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Phase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Exploratory Data Analysis — understand distributions, missingness, correlations, and anomalies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3</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Hypothesis Testing — statistical testing and causal inference for H1–H7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Phase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Machine Learning Modelling — scarcity forecaster, instability predictor, migration pressure model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5</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Interactive Dashboard — global-to-regional visual interface with ML prediction panels</w:t>
            </w:r>
          </w:p>
        </w:tc>
      </w:tr>
    </w:tbl>
    <w:p>
      <w:pPr>
        <w:spacing w:after="0" w:before="200"/>
      </w:pPr>
    </w:p>
    <w:p>
      <w:pPr>
        <w:pStyle w:val="Heading2"/>
        <w:spacing w:after="120" w:before="320"/>
      </w:pPr>
      <w:r>
        <w:rPr>
          <w:rFonts w:ascii="Arial" w:cs="Arial" w:eastAsia="Arial" w:hAnsi="Arial"/>
          <w:b/>
          <w:bCs/>
          <w:color w:val="2E75B6"/>
          <w:sz w:val="28"/>
          <w:szCs w:val="28"/>
        </w:rPr>
        <w:t xml:space="preserve">2.1 Data Flow Diagram</w:t>
      </w:r>
    </w:p>
    <w:p>
      <w:pPr>
        <w:spacing w:after="120" w:before="80"/>
      </w:pPr>
      <w:r>
        <w:rPr>
          <w:rFonts w:ascii="Arial" w:cs="Arial" w:eastAsia="Arial" w:hAnsi="Arial"/>
          <w:color w:val="444444"/>
          <w:sz w:val="22"/>
          <w:szCs w:val="22"/>
        </w:rPr>
        <w:t xml:space="preserve">The flow below describes how raw source data becomes dashboard output:</w:t>
      </w:r>
    </w:p>
    <w:p>
      <w:pPr>
        <w:spacing w:after="0" w:before="80"/>
      </w:pPr>
    </w:p>
    <w:p>
      <w:pPr>
        <w:spacing w:after="120" w:before="80"/>
      </w:pPr>
      <w:r>
        <w:rPr>
          <w:rFonts w:ascii="Arial" w:cs="Arial" w:eastAsia="Arial" w:hAnsi="Arial"/>
          <w:b/>
          <w:bCs/>
          <w:color w:val="1E6B44"/>
          <w:sz w:val="22"/>
          <w:szCs w:val="22"/>
        </w:rPr>
        <w:t xml:space="preserve">Raw Sources</w:t>
      </w:r>
      <w:r>
        <w:rPr>
          <w:rFonts w:ascii="Arial" w:cs="Arial" w:eastAsia="Arial" w:hAnsi="Arial"/>
          <w:color w:val="444444"/>
          <w:sz w:val="22"/>
          <w:szCs w:val="22"/>
        </w:rPr>
        <w:t xml:space="preserve">  →  Ingest &amp; Validate  →  Master Panel  →  EDA  →  Statistical Tests  →  ML Models  →  Prediction API  →  Dashboard UI</w:t>
      </w:r>
    </w:p>
    <w:p>
      <w:pPr>
        <w:spacing w:after="0" w:before="80"/>
      </w:pPr>
    </w:p>
    <w:p>
      <w:pPr>
        <w:spacing w:after="120" w:before="80"/>
      </w:pPr>
      <w:r>
        <w:rPr>
          <w:rFonts w:ascii="Arial" w:cs="Arial" w:eastAsia="Arial" w:hAnsi="Arial"/>
          <w:color w:val="444444"/>
          <w:sz w:val="22"/>
          <w:szCs w:val="22"/>
        </w:rPr>
        <w:t xml:space="preserve">All intermediate artefacts (cleaned datasets, model weights, API endpoints) are version-controlled and reproducible from scratch using documented scripts.</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3. Phase 1 — Data Acquisition &amp; Engineering</w:t>
      </w:r>
    </w:p>
    <w:p>
      <w:pPr>
        <w:spacing w:after="120" w:before="80"/>
      </w:pPr>
      <w:r>
        <w:rPr>
          <w:rFonts w:ascii="Arial" w:cs="Arial" w:eastAsia="Arial" w:hAnsi="Arial"/>
          <w:color w:val="444444"/>
          <w:sz w:val="22"/>
          <w:szCs w:val="22"/>
        </w:rPr>
        <w:t xml:space="preserve">Phase 1 is the foundation of the entire project. No analysis, model, or visualisation is trustworthy without high-quality, consistently formatted, well-documented source data. This phase ends when a single </w:t>
      </w:r>
      <w:r>
        <w:rPr>
          <w:rFonts w:ascii="Arial" w:cs="Arial" w:eastAsia="Arial" w:hAnsi="Arial"/>
          <w:b/>
          <w:bCs/>
          <w:color w:val="444444"/>
          <w:sz w:val="22"/>
          <w:szCs w:val="22"/>
        </w:rPr>
        <w:t xml:space="preserve">Master Panel dataset</w:t>
      </w:r>
      <w:r>
        <w:rPr>
          <w:rFonts w:ascii="Arial" w:cs="Arial" w:eastAsia="Arial" w:hAnsi="Arial"/>
          <w:color w:val="444444"/>
          <w:sz w:val="22"/>
          <w:szCs w:val="22"/>
        </w:rPr>
        <w:t xml:space="preserve"> is available: one row per country-year, with all variables aligned, documented, and validated.</w:t>
      </w:r>
    </w:p>
    <w:p>
      <w:pPr>
        <w:pStyle w:val="Heading2"/>
        <w:spacing w:after="120" w:before="320"/>
      </w:pPr>
      <w:r>
        <w:rPr>
          <w:rFonts w:ascii="Arial" w:cs="Arial" w:eastAsia="Arial" w:hAnsi="Arial"/>
          <w:b/>
          <w:bCs/>
          <w:color w:val="2E75B6"/>
          <w:sz w:val="28"/>
          <w:szCs w:val="28"/>
        </w:rPr>
        <w:t xml:space="preserve">3.1 Data Source Registry</w:t>
      </w:r>
    </w:p>
    <w:p>
      <w:pPr>
        <w:spacing w:after="120" w:before="80"/>
      </w:pPr>
      <w:r>
        <w:rPr>
          <w:rFonts w:ascii="Arial" w:cs="Arial" w:eastAsia="Arial" w:hAnsi="Arial"/>
          <w:color w:val="444444"/>
          <w:sz w:val="22"/>
          <w:szCs w:val="22"/>
        </w:rPr>
        <w:t xml:space="preserve">The following datasets are required. Each entry includes the source, variable(s) provided, temporal coverage, geographic granularity, and access method.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1400"/>
        <w:gridCol w:w="1600"/>
      </w:tblGrid>
      <w:t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Dataset / Source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Variables</w:t>
            </w:r>
          </w:p>
        </w:tc>
        <w:tc>
          <w:tcPr>
            <w:tcW w:type="dxa" w:w="1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Coverage</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Granularity</w:t>
            </w:r>
          </w:p>
        </w:tc>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Access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FAO AQUASTAT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Renewable internal freshwater per capita; total withdrawal by sector; irrigation share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1960–present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REST API / CSV bulk download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NASA GRACE / GRACE-FO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Groundwater storage anomaly (cm equivalent water thickness); aquifer depletion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2002–present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0.5° grid (~55km)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NASA Earthdata portal; netCDF4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World Bank Open Data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GDP per capita (PPP); GNI; agricultural value added; Gini coefficient; access to safe water (%)</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1960–present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REST API / WDI bulk 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UNDP Human Development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Human Development Index (HDI); Gender Inequality Index; MPI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1990–present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CSV bulk download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Fund for Peace — Fragile States Index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FSI composite score; sub-indicators (P1 State Legitimacy, C3 Human Rights, etc.)</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2006–present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CSV (free registration)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UCDP — Uppsala Conflict Data Program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Armed conflict events; fatalities; conflict type (interstate, intrastate, non-state)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1946–present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Country-year &amp; event-level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CSV bulk /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ACLED — Armed Conflict Location &amp; Event Data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Political violence events; protests; riots; fatalities (higher resolution than UCDP)</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1997–present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Event-level (lat/lon)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API (free academic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UNODC — Crime Statistics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Homicide rates; robbery; organised crime indicators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2000–present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Excel/CSV download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WHO / Global Health Data Exchange (GHDx)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Life expectancy; child mortality (U5MR); diarrhoeal disease burden; DALY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1990–present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GHDx API; WHO bulk 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UNHCR / IOM Displacement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Refugee outflows; IDP counts; asylum applications by origin country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2000–present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Country-year &amp;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CSV /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UN DESA — World Population Prospects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Population by country; projections to 2100; urban/rural split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1950–2100 (proj.)</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Country-year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CSV bulk download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CMIP6 / WorldClim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Projected precipitation; temperature; drought index (SPEI) under SSP2-4.5 and SSP5-8.5 scenarios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2025–2100 (proj.)</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0.5°–2° grid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Copernicus CDS; WorldClim.org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HydroSHEDS / HydroATLAS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River basin boundaries; runoff; river discharge; basin-level statistics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Static + 1990–present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Basin / sub-basin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GIS download (GeoTIFF/SHP)</w:t>
            </w:r>
          </w:p>
        </w:tc>
      </w:tr>
    </w:tbl>
    <w:p>
      <w:pPr>
        <w:spacing w:after="0" w:before="200"/>
      </w:pPr>
    </w:p>
    <w:p>
      <w:pPr>
        <w:pStyle w:val="Heading2"/>
        <w:spacing w:after="120" w:before="320"/>
      </w:pPr>
      <w:r>
        <w:rPr>
          <w:rFonts w:ascii="Arial" w:cs="Arial" w:eastAsia="Arial" w:hAnsi="Arial"/>
          <w:b/>
          <w:bCs/>
          <w:color w:val="2E75B6"/>
          <w:sz w:val="28"/>
          <w:szCs w:val="28"/>
        </w:rPr>
        <w:t xml:space="preserve">3.2 Data Engineering Pipeline</w:t>
      </w:r>
    </w:p>
    <w:p>
      <w:pPr>
        <w:spacing w:after="120" w:before="80"/>
      </w:pPr>
      <w:r>
        <w:rPr>
          <w:rFonts w:ascii="Arial" w:cs="Arial" w:eastAsia="Arial" w:hAnsi="Arial"/>
          <w:color w:val="444444"/>
          <w:sz w:val="22"/>
          <w:szCs w:val="22"/>
        </w:rPr>
        <w:t xml:space="preserve">Each dataset passes through a five-step pipeline before entering the Master Panel.</w:t>
      </w:r>
    </w:p>
    <w:p>
      <w:pPr>
        <w:spacing w:after="0" w:before="80"/>
      </w:pPr>
    </w:p>
    <w:p>
      <w:pPr>
        <w:pStyle w:val="ListParagraph"/>
        <w:numPr>
          <w:ilvl w:val="0"/>
          <w:numId w:val="2"/>
        </w:numPr>
        <w:spacing w:after="60" w:before="60"/>
      </w:pPr>
      <w:r>
        <w:rPr>
          <w:rFonts w:ascii="Arial" w:cs="Arial" w:eastAsia="Arial" w:hAnsi="Arial"/>
          <w:color w:val="444444"/>
          <w:sz w:val="22"/>
          <w:szCs w:val="22"/>
        </w:rPr>
        <w:t xml:space="preserve">Ingest — download raw files programmatically (Python scripts per source); store original files immutably in /data/raw/ with SHA-256 hash verification.</w:t>
      </w:r>
    </w:p>
    <w:p>
      <w:pPr>
        <w:pStyle w:val="ListParagraph"/>
        <w:numPr>
          <w:ilvl w:val="0"/>
          <w:numId w:val="2"/>
        </w:numPr>
        <w:spacing w:after="60" w:before="60"/>
      </w:pPr>
      <w:r>
        <w:rPr>
          <w:rFonts w:ascii="Arial" w:cs="Arial" w:eastAsia="Arial" w:hAnsi="Arial"/>
          <w:color w:val="444444"/>
          <w:sz w:val="22"/>
          <w:szCs w:val="22"/>
        </w:rPr>
        <w:t xml:space="preserve">Schema Validation — enforce expected column names, dtypes, and value ranges; flag anomalies; reject corrupted files.</w:t>
      </w:r>
    </w:p>
    <w:p>
      <w:pPr>
        <w:pStyle w:val="ListParagraph"/>
        <w:numPr>
          <w:ilvl w:val="0"/>
          <w:numId w:val="2"/>
        </w:numPr>
        <w:spacing w:after="60" w:before="60"/>
      </w:pPr>
      <w:r>
        <w:rPr>
          <w:rFonts w:ascii="Arial" w:cs="Arial" w:eastAsia="Arial" w:hAnsi="Arial"/>
          <w:color w:val="444444"/>
          <w:sz w:val="22"/>
          <w:szCs w:val="22"/>
        </w:rPr>
        <w:t xml:space="preserve">Standardisation — align country identifiers to ISO 3166-1 alpha-3; align year columns; convert units (e.g. m³ to km³ per capita); handle currency deflation (constant 2015 USD).</w:t>
      </w:r>
    </w:p>
    <w:p>
      <w:pPr>
        <w:pStyle w:val="ListParagraph"/>
        <w:numPr>
          <w:ilvl w:val="0"/>
          <w:numId w:val="2"/>
        </w:numPr>
        <w:spacing w:after="60" w:before="60"/>
      </w:pPr>
      <w:r>
        <w:rPr>
          <w:rFonts w:ascii="Arial" w:cs="Arial" w:eastAsia="Arial" w:hAnsi="Arial"/>
          <w:color w:val="444444"/>
          <w:sz w:val="22"/>
          <w:szCs w:val="22"/>
        </w:rPr>
        <w:t xml:space="preserve">Cleaning — handle missing values (document missingness patterns; impute cautiously or flag as NaN); remove duplicates; resolve conflicting values between sources.</w:t>
      </w:r>
    </w:p>
    <w:p>
      <w:pPr>
        <w:pStyle w:val="ListParagraph"/>
        <w:numPr>
          <w:ilvl w:val="0"/>
          <w:numId w:val="2"/>
        </w:numPr>
        <w:spacing w:after="60" w:before="60"/>
      </w:pPr>
      <w:r>
        <w:rPr>
          <w:rFonts w:ascii="Arial" w:cs="Arial" w:eastAsia="Arial" w:hAnsi="Arial"/>
          <w:color w:val="444444"/>
          <w:sz w:val="22"/>
          <w:szCs w:val="22"/>
        </w:rPr>
        <w:t xml:space="preserve">Join to Master Panel — merge all cleaned datasets on [iso3, year]; produce one wide panel; document every join decision.</w:t>
      </w:r>
    </w:p>
    <w:p>
      <w:pPr>
        <w:spacing w:after="0" w:before="120"/>
      </w:pPr>
    </w:p>
    <w:p>
      <w:pPr>
        <w:pStyle w:val="Heading2"/>
        <w:spacing w:after="120" w:before="320"/>
      </w:pPr>
      <w:r>
        <w:rPr>
          <w:rFonts w:ascii="Arial" w:cs="Arial" w:eastAsia="Arial" w:hAnsi="Arial"/>
          <w:b/>
          <w:bCs/>
          <w:color w:val="2E75B6"/>
          <w:sz w:val="28"/>
          <w:szCs w:val="28"/>
        </w:rPr>
        <w:t xml:space="preserve">3.3 Master Panel Schema</w:t>
      </w:r>
    </w:p>
    <w:p>
      <w:pPr>
        <w:spacing w:after="120" w:before="80"/>
      </w:pPr>
      <w:r>
        <w:rPr>
          <w:rFonts w:ascii="Arial" w:cs="Arial" w:eastAsia="Arial" w:hAnsi="Arial"/>
          <w:color w:val="444444"/>
          <w:sz w:val="22"/>
          <w:szCs w:val="22"/>
        </w:rPr>
        <w:t xml:space="preserve">The Master Panel is a country-year panel. Below are the key variable groups: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Variable Group</w:t>
            </w:r>
          </w:p>
        </w:tc>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Key Variables</w:t>
            </w:r>
          </w:p>
        </w:tc>
        <w:tc>
          <w:tcPr>
            <w:tcW w:type="dxa" w:w="3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Water — Surface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renewable_freshwater_percap, total_withdrawal_km3, agri_withdrawal_pct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Primary exposure variable; log-transform before modelling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Water — Groundwater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grace_groundwater_anomaly_cm, aquifer_depletion_rate_km3yr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Gridded data aggregated to country-level (area-weighted mean); critical for H7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Economic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gdp_pc_ppp, hdi, gini, agri_value_added_pct_gdp</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Outcome variables for H1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Governance &amp; Stability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fsi_score, fsi_p1_legitimacy, wgi_political_stability, polity5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Outcome variables for H2; use multiple indices to capture different dimensions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Conflict &amp; Crime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ucdp_conflict_binary, acled_events_count, acled_fatalities, homicide_rate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Outcome variables for H3; separate inter-state vs intra-state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Health &amp; Longevity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life_expectancy, u5mr, diarrhoeal_daly, safe_water_access_pct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Outcome variables for H4; safe_water_access is both exposure and outcome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Migration &amp; Displacement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refugee_outflow, idp_count, asylum_applications_origin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Outcome variables for H5; differentiate economic vs forced migration where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Climate &amp; Projections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precip_mm, temp_c, spei_12mo, proj_precip_2030_ssp245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ML feature inputs; include both historical and projected values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Geography &amp; Controls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iso3, country_name, region_wb, income_group, landlocked, population, year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Panel identifiers and key confounders for regression models</w:t>
            </w:r>
          </w:p>
        </w:tc>
      </w:tr>
    </w:tbl>
    <w:p>
      <w:pPr>
        <w:spacing w:after="0" w:before="200"/>
      </w:pPr>
    </w:p>
    <w:p>
      <w:pPr>
        <w:pStyle w:val="Heading2"/>
        <w:spacing w:after="120" w:before="320"/>
      </w:pPr>
      <w:r>
        <w:rPr>
          <w:rFonts w:ascii="Arial" w:cs="Arial" w:eastAsia="Arial" w:hAnsi="Arial"/>
          <w:b/>
          <w:bCs/>
          <w:color w:val="2E75B6"/>
          <w:sz w:val="28"/>
          <w:szCs w:val="28"/>
        </w:rPr>
        <w:t xml:space="preserve">3.4 Data Quality Standards</w:t>
      </w:r>
    </w:p>
    <w:p>
      <w:pPr>
        <w:spacing w:after="120" w:before="80"/>
      </w:pPr>
      <w:r>
        <w:rPr>
          <w:rFonts w:ascii="Arial" w:cs="Arial" w:eastAsia="Arial" w:hAnsi="Arial"/>
          <w:color w:val="444444"/>
          <w:sz w:val="22"/>
          <w:szCs w:val="22"/>
        </w:rPr>
        <w:t xml:space="preserve">The following minimum standards must be met before Phase 2 begins:</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Primary exposure variable (renewable_freshwater_percap) available for ≥ 90% of country-years from 1990 onwards.</w:t>
      </w:r>
    </w:p>
    <w:p>
      <w:pPr>
        <w:pStyle w:val="ListParagraph"/>
        <w:numPr>
          <w:ilvl w:val="0"/>
          <w:numId w:val="3"/>
        </w:numPr>
        <w:spacing w:after="60" w:before="60"/>
      </w:pPr>
      <w:r>
        <w:rPr>
          <w:rFonts w:ascii="Arial" w:cs="Arial" w:eastAsia="Arial" w:hAnsi="Arial"/>
          <w:color w:val="444444"/>
          <w:sz w:val="22"/>
          <w:szCs w:val="22"/>
        </w:rPr>
        <w:t xml:space="preserve">All outcome variables available for ≥ 70% of country-years; missingness documented by region and income group.</w:t>
      </w:r>
    </w:p>
    <w:p>
      <w:pPr>
        <w:pStyle w:val="ListParagraph"/>
        <w:numPr>
          <w:ilvl w:val="0"/>
          <w:numId w:val="3"/>
        </w:numPr>
        <w:spacing w:after="60" w:before="60"/>
      </w:pPr>
      <w:r>
        <w:rPr>
          <w:rFonts w:ascii="Arial" w:cs="Arial" w:eastAsia="Arial" w:hAnsi="Arial"/>
          <w:color w:val="444444"/>
          <w:sz w:val="22"/>
          <w:szCs w:val="22"/>
        </w:rPr>
        <w:t xml:space="preserve">Country identifier cross-walk validated: all ISO codes mapped correctly, including historical states (USSR, Yugoslavia, Sudan/South Sudan splits).</w:t>
      </w:r>
    </w:p>
    <w:p>
      <w:pPr>
        <w:pStyle w:val="ListParagraph"/>
        <w:numPr>
          <w:ilvl w:val="0"/>
          <w:numId w:val="3"/>
        </w:numPr>
        <w:spacing w:after="60" w:before="60"/>
      </w:pPr>
      <w:r>
        <w:rPr>
          <w:rFonts w:ascii="Arial" w:cs="Arial" w:eastAsia="Arial" w:hAnsi="Arial"/>
          <w:color w:val="444444"/>
          <w:sz w:val="22"/>
          <w:szCs w:val="22"/>
        </w:rPr>
        <w:t xml:space="preserve">All monetary values deflated to constant 2015 USD using World Bank GDP deflator.</w:t>
      </w:r>
    </w:p>
    <w:p>
      <w:pPr>
        <w:pStyle w:val="ListParagraph"/>
        <w:numPr>
          <w:ilvl w:val="0"/>
          <w:numId w:val="3"/>
        </w:numPr>
        <w:spacing w:after="60" w:before="60"/>
      </w:pPr>
      <w:r>
        <w:rPr>
          <w:rFonts w:ascii="Arial" w:cs="Arial" w:eastAsia="Arial" w:hAnsi="Arial"/>
          <w:color w:val="444444"/>
          <w:sz w:val="22"/>
          <w:szCs w:val="22"/>
        </w:rPr>
        <w:t xml:space="preserve">Gridded data (GRACE, CMIP6) aggregated to country-level with documented spatial join methodology.</w:t>
      </w:r>
    </w:p>
    <w:p>
      <w:pPr>
        <w:pStyle w:val="ListParagraph"/>
        <w:numPr>
          <w:ilvl w:val="0"/>
          <w:numId w:val="3"/>
        </w:numPr>
        <w:spacing w:after="60" w:before="60"/>
      </w:pPr>
      <w:r>
        <w:rPr>
          <w:rFonts w:ascii="Arial" w:cs="Arial" w:eastAsia="Arial" w:hAnsi="Arial"/>
          <w:color w:val="444444"/>
          <w:sz w:val="22"/>
          <w:szCs w:val="22"/>
        </w:rPr>
        <w:t xml:space="preserve">Version control: every dataset version recorded with download date and source URL.</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4. Phase 2 — Exploratory Data Analysis</w:t>
      </w:r>
    </w:p>
    <w:p>
      <w:pPr>
        <w:spacing w:after="120" w:before="80"/>
      </w:pPr>
      <w:r>
        <w:rPr>
          <w:rFonts w:ascii="Arial" w:cs="Arial" w:eastAsia="Arial" w:hAnsi="Arial"/>
          <w:color w:val="444444"/>
          <w:sz w:val="22"/>
          <w:szCs w:val="22"/>
        </w:rPr>
        <w:t xml:space="preserve">Before any hypothesis is tested or model is trained, the data must be deeply understood. EDA surfaces data quality issues that schema validation cannot catch, reveals the distributions that will determine which statistical tests are appropriate, and generates the descriptive evidence base that contextualises later findings.</w:t>
      </w:r>
    </w:p>
    <w:p>
      <w:pPr>
        <w:pStyle w:val="Heading2"/>
        <w:spacing w:after="120" w:before="320"/>
      </w:pPr>
      <w:r>
        <w:rPr>
          <w:rFonts w:ascii="Arial" w:cs="Arial" w:eastAsia="Arial" w:hAnsi="Arial"/>
          <w:b/>
          <w:bCs/>
          <w:color w:val="2E75B6"/>
          <w:sz w:val="28"/>
          <w:szCs w:val="28"/>
        </w:rPr>
        <w:t xml:space="preserve">4.1 EDA Workplan</w:t>
      </w:r>
    </w:p>
    <w:p>
      <w:pPr>
        <w:spacing w:after="0" w:before="80"/>
      </w:pPr>
    </w:p>
    <w:p>
      <w:pPr>
        <w:pStyle w:val="ListParagraph"/>
        <w:numPr>
          <w:ilvl w:val="0"/>
          <w:numId w:val="2"/>
        </w:numPr>
        <w:spacing w:after="60" w:before="60"/>
      </w:pPr>
      <w:r>
        <w:rPr>
          <w:rFonts w:ascii="Arial" w:cs="Arial" w:eastAsia="Arial" w:hAnsi="Arial"/>
          <w:color w:val="444444"/>
          <w:sz w:val="22"/>
          <w:szCs w:val="22"/>
        </w:rPr>
        <w:t xml:space="preserve">Global distributions — histogram and box plot for all continuous variables; note skewness (freshwater is log-normally distributed).</w:t>
      </w:r>
    </w:p>
    <w:p>
      <w:pPr>
        <w:pStyle w:val="ListParagraph"/>
        <w:numPr>
          <w:ilvl w:val="0"/>
          <w:numId w:val="2"/>
        </w:numPr>
        <w:spacing w:after="60" w:before="60"/>
      </w:pPr>
      <w:r>
        <w:rPr>
          <w:rFonts w:ascii="Arial" w:cs="Arial" w:eastAsia="Arial" w:hAnsi="Arial"/>
          <w:color w:val="444444"/>
          <w:sz w:val="22"/>
          <w:szCs w:val="22"/>
        </w:rPr>
        <w:t xml:space="preserve">Temporal trends — line plots of global means and medians for key variables by decade; identify structural breaks (e.g. post-1990 data quality improvement).</w:t>
      </w:r>
    </w:p>
    <w:p>
      <w:pPr>
        <w:pStyle w:val="ListParagraph"/>
        <w:numPr>
          <w:ilvl w:val="0"/>
          <w:numId w:val="2"/>
        </w:numPr>
        <w:spacing w:after="60" w:before="60"/>
      </w:pPr>
      <w:r>
        <w:rPr>
          <w:rFonts w:ascii="Arial" w:cs="Arial" w:eastAsia="Arial" w:hAnsi="Arial"/>
          <w:color w:val="444444"/>
          <w:sz w:val="22"/>
          <w:szCs w:val="22"/>
        </w:rPr>
        <w:t xml:space="preserve">Regional profiles — compare water stress, outcomes, and trajectories across World Bank regions and FAO sub-regions.</w:t>
      </w:r>
    </w:p>
    <w:p>
      <w:pPr>
        <w:pStyle w:val="ListParagraph"/>
        <w:numPr>
          <w:ilvl w:val="0"/>
          <w:numId w:val="2"/>
        </w:numPr>
        <w:spacing w:after="60" w:before="60"/>
      </w:pPr>
      <w:r>
        <w:rPr>
          <w:rFonts w:ascii="Arial" w:cs="Arial" w:eastAsia="Arial" w:hAnsi="Arial"/>
          <w:color w:val="444444"/>
          <w:sz w:val="22"/>
          <w:szCs w:val="22"/>
        </w:rPr>
        <w:t xml:space="preserve">Bivariate correlations — scatter matrix of all H1–H7 exposure-outcome pairs; Pearson and Spearman; highlight non-linear relationships.</w:t>
      </w:r>
    </w:p>
    <w:p>
      <w:pPr>
        <w:pStyle w:val="ListParagraph"/>
        <w:numPr>
          <w:ilvl w:val="0"/>
          <w:numId w:val="2"/>
        </w:numPr>
        <w:spacing w:after="60" w:before="60"/>
      </w:pPr>
      <w:r>
        <w:rPr>
          <w:rFonts w:ascii="Arial" w:cs="Arial" w:eastAsia="Arial" w:hAnsi="Arial"/>
          <w:color w:val="444444"/>
          <w:sz w:val="22"/>
          <w:szCs w:val="22"/>
        </w:rPr>
        <w:t xml:space="preserve">Missingness analysis — heatmap of missingness by variable × year and by variable × region; identify whether missingness is random or systematic.</w:t>
      </w:r>
    </w:p>
    <w:p>
      <w:pPr>
        <w:pStyle w:val="ListParagraph"/>
        <w:numPr>
          <w:ilvl w:val="0"/>
          <w:numId w:val="2"/>
        </w:numPr>
        <w:spacing w:after="60" w:before="60"/>
      </w:pPr>
      <w:r>
        <w:rPr>
          <w:rFonts w:ascii="Arial" w:cs="Arial" w:eastAsia="Arial" w:hAnsi="Arial"/>
          <w:color w:val="444444"/>
          <w:sz w:val="22"/>
          <w:szCs w:val="22"/>
        </w:rPr>
        <w:t xml:space="preserve">Outlier investigation — flag extreme values; determine if they represent data errors or genuine phenomena (e.g. Iceland, Greenland for water; Qatar, Luxembourg for GDP).</w:t>
      </w:r>
    </w:p>
    <w:p>
      <w:pPr>
        <w:pStyle w:val="ListParagraph"/>
        <w:numPr>
          <w:ilvl w:val="0"/>
          <w:numId w:val="2"/>
        </w:numPr>
        <w:spacing w:after="60" w:before="60"/>
      </w:pPr>
      <w:r>
        <w:rPr>
          <w:rFonts w:ascii="Arial" w:cs="Arial" w:eastAsia="Arial" w:hAnsi="Arial"/>
          <w:color w:val="444444"/>
          <w:sz w:val="22"/>
          <w:szCs w:val="22"/>
        </w:rPr>
        <w:t xml:space="preserve">Groundwater deep-dive — spatial maps of GRACE anomaly trends; compare countries with rapid depletion vs stable aquifers.</w:t>
      </w:r>
    </w:p>
    <w:p>
      <w:pPr>
        <w:pStyle w:val="ListParagraph"/>
        <w:numPr>
          <w:ilvl w:val="0"/>
          <w:numId w:val="2"/>
        </w:numPr>
        <w:spacing w:after="60" w:before="60"/>
      </w:pPr>
      <w:r>
        <w:rPr>
          <w:rFonts w:ascii="Arial" w:cs="Arial" w:eastAsia="Arial" w:hAnsi="Arial"/>
          <w:color w:val="444444"/>
          <w:sz w:val="22"/>
          <w:szCs w:val="22"/>
        </w:rPr>
        <w:t xml:space="preserve">Case study selection — based on EDA findings, select 6–10 countries for deep regional analysis in the dashboard (representing different stress typologies).</w:t>
      </w:r>
    </w:p>
    <w:p>
      <w:pPr>
        <w:pStyle w:val="Heading2"/>
        <w:spacing w:after="120" w:before="320"/>
      </w:pPr>
      <w:r>
        <w:rPr>
          <w:rFonts w:ascii="Arial" w:cs="Arial" w:eastAsia="Arial" w:hAnsi="Arial"/>
          <w:b/>
          <w:bCs/>
          <w:color w:val="2E75B6"/>
          <w:sz w:val="28"/>
          <w:szCs w:val="28"/>
        </w:rPr>
        <w:t xml:space="preserve">4.2 Key EDA Outputs</w:t>
      </w:r>
    </w:p>
    <w:p>
      <w:pPr>
        <w:pStyle w:val="ListParagraph"/>
        <w:numPr>
          <w:ilvl w:val="0"/>
          <w:numId w:val="3"/>
        </w:numPr>
        <w:spacing w:after="60" w:before="60"/>
      </w:pPr>
      <w:r>
        <w:rPr>
          <w:rFonts w:ascii="Arial" w:cs="Arial" w:eastAsia="Arial" w:hAnsi="Arial"/>
          <w:color w:val="444444"/>
          <w:sz w:val="22"/>
          <w:szCs w:val="22"/>
        </w:rPr>
        <w:t xml:space="preserve">EDA report notebook (Jupyter) with all plots inline and interpretive commentary.</w:t>
      </w:r>
    </w:p>
    <w:p>
      <w:pPr>
        <w:pStyle w:val="ListParagraph"/>
        <w:numPr>
          <w:ilvl w:val="0"/>
          <w:numId w:val="3"/>
        </w:numPr>
        <w:spacing w:after="60" w:before="60"/>
      </w:pPr>
      <w:r>
        <w:rPr>
          <w:rFonts w:ascii="Arial" w:cs="Arial" w:eastAsia="Arial" w:hAnsi="Arial"/>
          <w:color w:val="444444"/>
          <w:sz w:val="22"/>
          <w:szCs w:val="22"/>
        </w:rPr>
        <w:t xml:space="preserve">List of data quality issues requiring remediation before Phase 3.</w:t>
      </w:r>
    </w:p>
    <w:p>
      <w:pPr>
        <w:pStyle w:val="ListParagraph"/>
        <w:numPr>
          <w:ilvl w:val="0"/>
          <w:numId w:val="3"/>
        </w:numPr>
        <w:spacing w:after="60" w:before="60"/>
      </w:pPr>
      <w:r>
        <w:rPr>
          <w:rFonts w:ascii="Arial" w:cs="Arial" w:eastAsia="Arial" w:hAnsi="Arial"/>
          <w:color w:val="444444"/>
          <w:sz w:val="22"/>
          <w:szCs w:val="22"/>
        </w:rPr>
        <w:t xml:space="preserve">Recommended statistical approach for each hypothesis (based on observed distributions and panel structure).</w:t>
      </w:r>
    </w:p>
    <w:p>
      <w:pPr>
        <w:pStyle w:val="ListParagraph"/>
        <w:numPr>
          <w:ilvl w:val="0"/>
          <w:numId w:val="3"/>
        </w:numPr>
        <w:spacing w:after="60" w:before="60"/>
      </w:pPr>
      <w:r>
        <w:rPr>
          <w:rFonts w:ascii="Arial" w:cs="Arial" w:eastAsia="Arial" w:hAnsi="Arial"/>
          <w:color w:val="444444"/>
          <w:sz w:val="22"/>
          <w:szCs w:val="22"/>
        </w:rPr>
        <w:t xml:space="preserve">Preliminary correlation findings to guide hypothesis testing priorities.</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5. Phase 3 — Hypothesis Testing &amp; Causal Inference</w:t>
      </w:r>
    </w:p>
    <w:p>
      <w:pPr>
        <w:spacing w:after="120" w:before="80"/>
      </w:pPr>
      <w:r>
        <w:rPr>
          <w:rFonts w:ascii="Arial" w:cs="Arial" w:eastAsia="Arial" w:hAnsi="Arial"/>
          <w:color w:val="444444"/>
          <w:sz w:val="22"/>
          <w:szCs w:val="22"/>
        </w:rPr>
        <w:t xml:space="preserve">Statistical testing follows EDA. The goal is not merely to show correlation — the literature already supports that — but to establish the strength and direction of the relationship, control for confounders, and where possible make causal inferences. All tests use the Master Panel in panel data format (country-year observations, 1990–2023).</w:t>
      </w:r>
    </w:p>
    <w:p>
      <w:pPr>
        <w:pStyle w:val="Heading2"/>
        <w:spacing w:after="120" w:before="320"/>
      </w:pPr>
      <w:r>
        <w:rPr>
          <w:rFonts w:ascii="Arial" w:cs="Arial" w:eastAsia="Arial" w:hAnsi="Arial"/>
          <w:b/>
          <w:bCs/>
          <w:color w:val="2E75B6"/>
          <w:sz w:val="28"/>
          <w:szCs w:val="28"/>
        </w:rPr>
        <w:t xml:space="preserve">5.1 Analytical Framework</w:t>
      </w:r>
    </w:p>
    <w:p>
      <w:pPr>
        <w:spacing w:after="120" w:before="80"/>
      </w:pPr>
      <w:r>
        <w:rPr>
          <w:rFonts w:ascii="Arial" w:cs="Arial" w:eastAsia="Arial" w:hAnsi="Arial"/>
          <w:color w:val="444444"/>
          <w:sz w:val="22"/>
          <w:szCs w:val="22"/>
        </w:rPr>
        <w:t xml:space="preserve">The primary analytical unit is the </w:t>
      </w:r>
      <w:r>
        <w:rPr>
          <w:rFonts w:ascii="Arial" w:cs="Arial" w:eastAsia="Arial" w:hAnsi="Arial"/>
          <w:b/>
          <w:bCs/>
          <w:color w:val="444444"/>
          <w:sz w:val="22"/>
          <w:szCs w:val="22"/>
        </w:rPr>
        <w:t xml:space="preserve">country-year</w:t>
      </w:r>
      <w:r>
        <w:rPr>
          <w:rFonts w:ascii="Arial" w:cs="Arial" w:eastAsia="Arial" w:hAnsi="Arial"/>
          <w:color w:val="444444"/>
          <w:sz w:val="22"/>
          <w:szCs w:val="22"/>
        </w:rPr>
        <w:t xml:space="preserve">. For each hypothesis, the general model form is:</w:t>
      </w:r>
    </w:p>
    <w:p>
      <w:pPr>
        <w:spacing w:after="0" w:before="80"/>
      </w:pPr>
    </w:p>
    <w:p>
      <w:pPr>
        <w:spacing w:after="120" w:before="80"/>
        <w:jc w:val="center"/>
      </w:pPr>
      <w:r>
        <w:rPr>
          <w:rFonts w:ascii="Arial" w:cs="Arial" w:eastAsia="Arial" w:hAnsi="Arial"/>
          <w:b/>
          <w:bCs/>
          <w:color w:val="444444"/>
          <w:sz w:val="22"/>
          <w:szCs w:val="22"/>
        </w:rPr>
        <w:t xml:space="preserve">Outcome</w:t>
      </w:r>
      <w:r>
        <w:rPr>
          <w:rFonts w:ascii="Arial" w:cs="Arial" w:eastAsia="Arial" w:hAnsi="Arial"/>
          <w:color w:val="444444"/>
          <w:sz w:val="22"/>
          <w:szCs w:val="22"/>
        </w:rPr>
        <w:t xml:space="preserve"> = f(Freshwater Exposure, Controls, Country FE, Year FE, ε) </w:t>
      </w:r>
    </w:p>
    <w:p>
      <w:pPr>
        <w:spacing w:after="0" w:before="80"/>
      </w:pPr>
    </w:p>
    <w:p>
      <w:pPr>
        <w:spacing w:after="120" w:before="80"/>
      </w:pPr>
      <w:r>
        <w:rPr>
          <w:rFonts w:ascii="Arial" w:cs="Arial" w:eastAsia="Arial" w:hAnsi="Arial"/>
          <w:color w:val="444444"/>
          <w:sz w:val="22"/>
          <w:szCs w:val="22"/>
        </w:rPr>
        <w:t xml:space="preserve">Fixed effects (FE) panel regression is the primary method, controlling for time-invariant country characteristics (geography, history, culture) and global year shocks (recessions, pandemics). Instrumental variable (IV) approaches will be explored where endogeneity is a concern.</w:t>
      </w:r>
    </w:p>
    <w:p>
      <w:pPr>
        <w:pStyle w:val="Heading2"/>
        <w:spacing w:after="120" w:before="320"/>
      </w:pPr>
      <w:r>
        <w:rPr>
          <w:rFonts w:ascii="Arial" w:cs="Arial" w:eastAsia="Arial" w:hAnsi="Arial"/>
          <w:b/>
          <w:bCs/>
          <w:color w:val="2E75B6"/>
          <w:sz w:val="28"/>
          <w:szCs w:val="28"/>
        </w:rPr>
        <w:t xml:space="preserve">5.2 Hypothesis-by-Hypothesis Methodology</w:t>
      </w:r>
    </w:p>
    <w:p>
      <w:pPr>
        <w:spacing w:after="0" w:before="80"/>
      </w:pPr>
    </w:p>
    <w:p>
      <w:pPr>
        <w:pStyle w:val="Heading3"/>
        <w:spacing w:after="100" w:before="240"/>
      </w:pPr>
      <w:r>
        <w:rPr>
          <w:rFonts w:ascii="Arial" w:cs="Arial" w:eastAsia="Arial" w:hAnsi="Arial"/>
          <w:b/>
          <w:bCs/>
          <w:color w:val="1E6B44"/>
          <w:sz w:val="24"/>
          <w:szCs w:val="24"/>
        </w:rPr>
        <w:t xml:space="preserve">H1 — Freshwater &amp; Economic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Outcome Variables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GDP per capita (PPP); HDI; agricultural value added % GDP; labour productivity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Exposure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log(renewable freshwater per capita); water stress index (withdrawal / availability ratio)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Controls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Income group; landlocked dummy; institutional quality (WGI); trade openness; population density; year FE; country 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Primary 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Two-way FE panel regression (within estimator); Hausman test to choose FE vs 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Robustness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IV using upstream precipitation as instrument for water availability; Driscoll-Kraay standard errors for spatial/temporal correlation; sub-group analysis by income group and region</w:t>
            </w:r>
          </w:p>
        </w:tc>
      </w:tr>
    </w:tbl>
    <w:p>
      <w:pPr>
        <w:spacing w:after="0" w:before="160"/>
      </w:pPr>
    </w:p>
    <w:p>
      <w:pPr>
        <w:pStyle w:val="Heading3"/>
        <w:spacing w:after="100" w:before="240"/>
      </w:pPr>
      <w:r>
        <w:rPr>
          <w:rFonts w:ascii="Arial" w:cs="Arial" w:eastAsia="Arial" w:hAnsi="Arial"/>
          <w:b/>
          <w:bCs/>
          <w:color w:val="1E6B44"/>
          <w:sz w:val="24"/>
          <w:szCs w:val="24"/>
        </w:rPr>
        <w:t xml:space="preserve">H2 — Freshwater &amp; Government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Outcome Variables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Fragile States Index; World Governance Indicators (Political Stability); Polity5 score; protest events (ACLED)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Exposure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Water stress; GRACE groundwater anomaly trend (5-year); sudden drought onset (SPEI-12 &lt; -1.5)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Key Insight</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Acute shocks (drought onset) may matter more than chronic scarcity for instability — test both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Primary 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FE panel regression; logit for binary instability events; Granger causality tests to assess temporal precedence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Case Studies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Syria 2006–2011 (drought-protest-conflict pathway); Yemen; Sahel states; Central Asia (Aral Sea basin)</w:t>
            </w:r>
          </w:p>
        </w:tc>
      </w:tr>
    </w:tbl>
    <w:p>
      <w:pPr>
        <w:spacing w:after="0" w:before="160"/>
      </w:pPr>
    </w:p>
    <w:p>
      <w:pPr>
        <w:pStyle w:val="Heading3"/>
        <w:spacing w:after="100" w:before="240"/>
      </w:pPr>
      <w:r>
        <w:rPr>
          <w:rFonts w:ascii="Arial" w:cs="Arial" w:eastAsia="Arial" w:hAnsi="Arial"/>
          <w:b/>
          <w:bCs/>
          <w:color w:val="1E6B44"/>
          <w:sz w:val="24"/>
          <w:szCs w:val="24"/>
        </w:rPr>
        <w:t xml:space="preserve">H3 — Freshwater, War &amp; Crime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Outcome Variables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UCDP intrastate conflict binary; ACLED violence events; homicide rate (UNODC); organised crime index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Key Distinction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Separate analysis for inter-state water conflict (rare) vs intra-state violence (water as accelerant). Do NOT conflate. Interstate water wars are almost non-existent; resource competition within states is well-evidenced.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Mediators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Test whether the water→violence pathway runs through economic stress, food insecurity, or displacement — mediation analysis (Baron-Kenny or structural equation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Primary 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FE logit for conflict binary; negative binomial for event counts; spatial lag models for geographic spillovers</w:t>
            </w:r>
          </w:p>
        </w:tc>
      </w:tr>
    </w:tbl>
    <w:p>
      <w:pPr>
        <w:spacing w:after="0" w:before="160"/>
      </w:pPr>
    </w:p>
    <w:p>
      <w:pPr>
        <w:pStyle w:val="Heading3"/>
        <w:spacing w:after="100" w:before="240"/>
      </w:pPr>
      <w:r>
        <w:rPr>
          <w:rFonts w:ascii="Arial" w:cs="Arial" w:eastAsia="Arial" w:hAnsi="Arial"/>
          <w:b/>
          <w:bCs/>
          <w:color w:val="1E6B44"/>
          <w:sz w:val="24"/>
          <w:szCs w:val="24"/>
        </w:rPr>
        <w:t xml:space="preserve">H4 — Freshwater &amp; Human Longevity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Outcome Variables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Life expectancy at birth; under-5 mortality rate; diarrhoeal disease DALYs; stunting prevalence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Exposure Split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Distinguish water QUANTITY (renewable per capita) vs water QUALITY (safe access %). Both matter; their relative contribution is a key finding.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Primary Method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FE regression; quantile regression to assess whether effects are concentrated among lowest-access countries; distributed lag models for long-run effects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Expected Finding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Strongest relationship likely at very low access levels (non-linear threshold effect). Test for this explicitly.</w:t>
            </w:r>
          </w:p>
        </w:tc>
      </w:tr>
    </w:tbl>
    <w:p>
      <w:pPr>
        <w:spacing w:after="0" w:before="160"/>
      </w:pPr>
    </w:p>
    <w:p>
      <w:pPr>
        <w:pStyle w:val="Heading3"/>
        <w:spacing w:after="100" w:before="240"/>
      </w:pPr>
      <w:r>
        <w:rPr>
          <w:rFonts w:ascii="Arial" w:cs="Arial" w:eastAsia="Arial" w:hAnsi="Arial"/>
          <w:b/>
          <w:bCs/>
          <w:color w:val="1E6B44"/>
          <w:sz w:val="24"/>
          <w:szCs w:val="24"/>
        </w:rPr>
        <w:t xml:space="preserve">H5 — Freshwater &amp;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Outcome Variables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UNHCR refugee outflow rate; IDP counts; net migration rate (World Bank)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Challenge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Isolating climate/water-driven migration from conflict-driven or economic migration is methodologically difficult. Use interaction terms and case study triangulation.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Primary Method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Gravity model augmented with water stress variables; origin-destination pair panel; cross-validation with qualitative case studies</w:t>
            </w:r>
          </w:p>
        </w:tc>
      </w:tr>
    </w:tbl>
    <w:p>
      <w:pPr>
        <w:spacing w:after="0" w:before="160"/>
      </w:pPr>
    </w:p>
    <w:p>
      <w:pPr>
        <w:pStyle w:val="Heading3"/>
        <w:spacing w:after="100" w:before="240"/>
      </w:pPr>
      <w:r>
        <w:rPr>
          <w:rFonts w:ascii="Arial" w:cs="Arial" w:eastAsia="Arial" w:hAnsi="Arial"/>
          <w:b/>
          <w:bCs/>
          <w:color w:val="1E6B44"/>
          <w:sz w:val="24"/>
          <w:szCs w:val="24"/>
        </w:rPr>
        <w:t xml:space="preserve">H6 — Within-Country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Data Challenge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Country-level data masks subnational variation. Requires sub-national data: GRACE at basin level; DHS survey data for health/access; gridded GDP (DMSP lights, G-Econ).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Approach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For countries with subnational data: regression of regional health/economic outcomes on regional water access, controlling for national income. Gini as national-level mediator.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Coverage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Full subnational analysis feasible for ~40–60 countries. Global analysis uses country-level Gini as proxy.</w:t>
            </w:r>
          </w:p>
        </w:tc>
      </w:tr>
    </w:tbl>
    <w:p>
      <w:pPr>
        <w:spacing w:after="0" w:before="160"/>
      </w:pPr>
    </w:p>
    <w:p>
      <w:pPr>
        <w:pStyle w:val="Heading3"/>
        <w:spacing w:after="100" w:before="240"/>
      </w:pPr>
      <w:r>
        <w:rPr>
          <w:rFonts w:ascii="Arial" w:cs="Arial" w:eastAsia="Arial" w:hAnsi="Arial"/>
          <w:b/>
          <w:bCs/>
          <w:color w:val="1E6B44"/>
          <w:sz w:val="24"/>
          <w:szCs w:val="24"/>
        </w:rPr>
        <w:t xml:space="preserve">H7 — Groundwater as Hidden Accelerant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Item</w:t>
            </w:r>
          </w:p>
        </w:tc>
        <w:tc>
          <w:tcPr>
            <w:tcW w:type="dxa" w:w="7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Insight</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Surface water statistics (AQUASTAT) miss the accelerating depletion of fossil aquifers in North Africa, the Middle East, South Asia, and the US High Plains. GRACE data is the key differentiator.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Test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Does adding GRACE groundwater trend to models of H1–H6 improve explanatory power? Do countries with stable surface water but declining groundwater show trajectory divergence vs. those with both stable?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Long-run Focus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Groundwater effects operate on 10–30 year lags. Use distributed lag models and compare short-run vs long-run coefficients.</w:t>
            </w:r>
          </w:p>
        </w:tc>
      </w:tr>
    </w:tbl>
    <w:p>
      <w:pPr>
        <w:spacing w:after="0" w:before="200"/>
      </w:pPr>
    </w:p>
    <w:p>
      <w:pPr>
        <w:pStyle w:val="Heading2"/>
        <w:spacing w:after="120" w:before="320"/>
      </w:pPr>
      <w:r>
        <w:rPr>
          <w:rFonts w:ascii="Arial" w:cs="Arial" w:eastAsia="Arial" w:hAnsi="Arial"/>
          <w:b/>
          <w:bCs/>
          <w:color w:val="2E75B6"/>
          <w:sz w:val="28"/>
          <w:szCs w:val="28"/>
        </w:rPr>
        <w:t xml:space="preserve">5.3 Outputs from Phase 3</w:t>
      </w:r>
    </w:p>
    <w:p>
      <w:pPr>
        <w:pStyle w:val="ListParagraph"/>
        <w:numPr>
          <w:ilvl w:val="0"/>
          <w:numId w:val="3"/>
        </w:numPr>
        <w:spacing w:after="60" w:before="60"/>
      </w:pPr>
      <w:r>
        <w:rPr>
          <w:rFonts w:ascii="Arial" w:cs="Arial" w:eastAsia="Arial" w:hAnsi="Arial"/>
          <w:color w:val="444444"/>
          <w:sz w:val="22"/>
          <w:szCs w:val="22"/>
        </w:rPr>
        <w:t xml:space="preserve">Regression result tables for all seven hypotheses (formatted for report and dashboard).</w:t>
      </w:r>
    </w:p>
    <w:p>
      <w:pPr>
        <w:pStyle w:val="ListParagraph"/>
        <w:numPr>
          <w:ilvl w:val="0"/>
          <w:numId w:val="3"/>
        </w:numPr>
        <w:spacing w:after="60" w:before="60"/>
      </w:pPr>
      <w:r>
        <w:rPr>
          <w:rFonts w:ascii="Arial" w:cs="Arial" w:eastAsia="Arial" w:hAnsi="Arial"/>
          <w:color w:val="444444"/>
          <w:sz w:val="22"/>
          <w:szCs w:val="22"/>
        </w:rPr>
        <w:t xml:space="preserve">Causal diagrams (DAGs) documenting assumed causal structure for each hypothesis.</w:t>
      </w:r>
    </w:p>
    <w:p>
      <w:pPr>
        <w:pStyle w:val="ListParagraph"/>
        <w:numPr>
          <w:ilvl w:val="0"/>
          <w:numId w:val="3"/>
        </w:numPr>
        <w:spacing w:after="60" w:before="60"/>
      </w:pPr>
      <w:r>
        <w:rPr>
          <w:rFonts w:ascii="Arial" w:cs="Arial" w:eastAsia="Arial" w:hAnsi="Arial"/>
          <w:color w:val="444444"/>
          <w:sz w:val="22"/>
          <w:szCs w:val="22"/>
        </w:rPr>
        <w:t xml:space="preserve">Effect size estimates with confidence intervals — the headline numbers for the dashboard.</w:t>
      </w:r>
    </w:p>
    <w:p>
      <w:pPr>
        <w:pStyle w:val="ListParagraph"/>
        <w:numPr>
          <w:ilvl w:val="0"/>
          <w:numId w:val="3"/>
        </w:numPr>
        <w:spacing w:after="60" w:before="60"/>
      </w:pPr>
      <w:r>
        <w:rPr>
          <w:rFonts w:ascii="Arial" w:cs="Arial" w:eastAsia="Arial" w:hAnsi="Arial"/>
          <w:color w:val="444444"/>
          <w:sz w:val="22"/>
          <w:szCs w:val="22"/>
        </w:rPr>
        <w:t xml:space="preserve">Identified mediators and moderators for inclusion in ML feature engineering.</w:t>
      </w:r>
    </w:p>
    <w:p>
      <w:pPr>
        <w:pStyle w:val="ListParagraph"/>
        <w:numPr>
          <w:ilvl w:val="0"/>
          <w:numId w:val="3"/>
        </w:numPr>
        <w:spacing w:after="60" w:before="60"/>
      </w:pPr>
      <w:r>
        <w:rPr>
          <w:rFonts w:ascii="Arial" w:cs="Arial" w:eastAsia="Arial" w:hAnsi="Arial"/>
          <w:color w:val="444444"/>
          <w:sz w:val="22"/>
          <w:szCs w:val="22"/>
        </w:rPr>
        <w:t xml:space="preserve">Academic-style write-up of findings suitable for later publication.</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6. Phase 4 — Machine Learning Modelling</w:t>
      </w:r>
    </w:p>
    <w:p>
      <w:pPr>
        <w:spacing w:after="120" w:before="80"/>
      </w:pPr>
      <w:r>
        <w:rPr>
          <w:rFonts w:ascii="Arial" w:cs="Arial" w:eastAsia="Arial" w:hAnsi="Arial"/>
          <w:color w:val="444444"/>
          <w:sz w:val="22"/>
          <w:szCs w:val="22"/>
        </w:rPr>
        <w:t xml:space="preserve">Phase 4 builds three predictive models that operationalise the findings from hypothesis testing. Together they produce a </w:t>
      </w:r>
      <w:r>
        <w:rPr>
          <w:rFonts w:ascii="Arial" w:cs="Arial" w:eastAsia="Arial" w:hAnsi="Arial"/>
          <w:b/>
          <w:bCs/>
          <w:color w:val="444444"/>
          <w:sz w:val="22"/>
          <w:szCs w:val="22"/>
        </w:rPr>
        <w:t xml:space="preserve">Compound Risk Score</w:t>
      </w:r>
      <w:r>
        <w:rPr>
          <w:rFonts w:ascii="Arial" w:cs="Arial" w:eastAsia="Arial" w:hAnsi="Arial"/>
          <w:color w:val="444444"/>
          <w:sz w:val="22"/>
          <w:szCs w:val="22"/>
        </w:rPr>
        <w:t xml:space="preserve"> — a single forward-looking index per country/region that the dashboard displays. All models are trained on historical data and validated before deployment.</w:t>
      </w:r>
    </w:p>
    <w:p>
      <w:pPr>
        <w:pStyle w:val="Heading2"/>
        <w:spacing w:after="120" w:before="320"/>
      </w:pPr>
      <w:r>
        <w:rPr>
          <w:rFonts w:ascii="Arial" w:cs="Arial" w:eastAsia="Arial" w:hAnsi="Arial"/>
          <w:b/>
          <w:bCs/>
          <w:color w:val="2E75B6"/>
          <w:sz w:val="28"/>
          <w:szCs w:val="28"/>
        </w:rPr>
        <w:t xml:space="preserve">6.1 Model 1 — Water Scarcity Forecaster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Attribute</w:t>
            </w:r>
          </w:p>
        </w:tc>
        <w:tc>
          <w:tcPr>
            <w:tcW w:type="dxa" w:w="6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Predict water stress index at country and river-basin level for 2025–2050 under multiple climate 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LSTM (Long Short-Term Memory) neural network trained on historical time series (1990–2023). Accepts climate projection inputs (CMIP6 SSP2-4.5 and SSP5-8.5) for forward projection.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Input Features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Historical precipitation; temperature; population growth rate; irrigation expansion rate; GDP growth (demand proxy); GRACE groundwater trend; lagged water stress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Predicted water stress index for years 2025, 2030, 2035, 2040, 2050 with 80% and 95% prediction intervals. Two scenario bands (optimistic SSP2 / pessimistic SSP5).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Validation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Walk-forward cross-validation: train on 1990–2010, predict 2011–2015; train on 1990–2015, predict 2016–2020; evaluate RMSE, MAE, directional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Benchmark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Compare against naive persistence model, linear trend extrapolation, and FAO projection data where available.</w:t>
            </w:r>
          </w:p>
        </w:tc>
      </w:tr>
    </w:tbl>
    <w:p>
      <w:pPr>
        <w:spacing w:after="0" w:before="200"/>
      </w:pPr>
    </w:p>
    <w:p>
      <w:pPr>
        <w:pStyle w:val="Heading2"/>
        <w:spacing w:after="120" w:before="320"/>
      </w:pPr>
      <w:r>
        <w:rPr>
          <w:rFonts w:ascii="Arial" w:cs="Arial" w:eastAsia="Arial" w:hAnsi="Arial"/>
          <w:b/>
          <w:bCs/>
          <w:color w:val="2E75B6"/>
          <w:sz w:val="28"/>
          <w:szCs w:val="28"/>
        </w:rPr>
        <w:t xml:space="preserve">6.2 Model 2 — Instability Risk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Attribute</w:t>
            </w:r>
          </w:p>
        </w:tc>
        <w:tc>
          <w:tcPr>
            <w:tcW w:type="dxa" w:w="6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Predict probability of significant political instability or conflict onset within 3 years, given current and projected water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Gradient boosting classifier (XGBoost). Chosen for interpretability (SHAP values), handling of missing data, and strong performance on tabular classification tasks.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Input Features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Water stress (current + Model 1 forecast); GRACE trend; economic growth; food price index; income inequality; ethnic fractionalisation; prior conflict history; institutional quality; drought onset dummy (SPEI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P(instability onset within 3 years) per country; SHAP feature importance showing contribution of water vs. other factors for each prediction.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Label Definition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Binary: FSI score increase &gt; 5 points OR new UCDP conflict onset within 3-year window. Tested with alternative thresholds for robustness.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Temporal holdout (train 1990–2015, test 2016–2023); ROC-AUC, precision-recall, Brier score; compare against EWS benchmarks (PITF, UNHCR).</w:t>
            </w:r>
          </w:p>
        </w:tc>
      </w:tr>
    </w:tbl>
    <w:p>
      <w:pPr>
        <w:spacing w:after="0" w:before="200"/>
      </w:pPr>
    </w:p>
    <w:p>
      <w:pPr>
        <w:pStyle w:val="Heading2"/>
        <w:spacing w:after="120" w:before="320"/>
      </w:pPr>
      <w:r>
        <w:rPr>
          <w:rFonts w:ascii="Arial" w:cs="Arial" w:eastAsia="Arial" w:hAnsi="Arial"/>
          <w:b/>
          <w:bCs/>
          <w:color w:val="2E75B6"/>
          <w:sz w:val="28"/>
          <w:szCs w:val="28"/>
        </w:rPr>
        <w:t xml:space="preserve">6.3 Model 3 — Migration Pressure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Attribute</w:t>
            </w:r>
          </w:p>
        </w:tc>
        <w:tc>
          <w:tcPr>
            <w:tcW w:type="dxa" w:w="6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Estimate magnitude and direction of climate/water-driven displacement flows for 2025–2040.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Augmented gravity model + Random Forest ensemble. Gravity model captures bilateral flow structure (origin-destination pairs); RF adds non-linear interaction effects from water/climate features.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Input Features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Origin: water stress forecast, conflict risk score (Model 2 output), GDP trajectory, population growth; Destination: economic attractiveness, policy openness; Dyadic: distance, shared language, colonial ties, existing diaspora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Estimated outflow volume by origin country; primary destination probabilities; breakdown of climate-attributable vs conflict-attributable share.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Validation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Compare predicted flows against UNHCR actuals for 2016–2023 holdout; correlation of flow rankings; directional accuracy for top-20 origin countries.</w:t>
            </w:r>
          </w:p>
        </w:tc>
      </w:tr>
    </w:tbl>
    <w:p>
      <w:pPr>
        <w:spacing w:after="0" w:before="200"/>
      </w:pPr>
    </w:p>
    <w:p>
      <w:pPr>
        <w:pStyle w:val="Heading2"/>
        <w:spacing w:after="120" w:before="320"/>
      </w:pPr>
      <w:r>
        <w:rPr>
          <w:rFonts w:ascii="Arial" w:cs="Arial" w:eastAsia="Arial" w:hAnsi="Arial"/>
          <w:b/>
          <w:bCs/>
          <w:color w:val="2E75B6"/>
          <w:sz w:val="28"/>
          <w:szCs w:val="28"/>
        </w:rPr>
        <w:t xml:space="preserve">6.4 Compound Risk Score</w:t>
      </w:r>
    </w:p>
    <w:p>
      <w:pPr>
        <w:spacing w:after="120" w:before="80"/>
      </w:pPr>
      <w:r>
        <w:rPr>
          <w:rFonts w:ascii="Arial" w:cs="Arial" w:eastAsia="Arial" w:hAnsi="Arial"/>
          <w:color w:val="444444"/>
          <w:sz w:val="22"/>
          <w:szCs w:val="22"/>
        </w:rPr>
        <w:t xml:space="preserve">The three model outputs are combined into a single </w:t>
      </w:r>
      <w:r>
        <w:rPr>
          <w:rFonts w:ascii="Arial" w:cs="Arial" w:eastAsia="Arial" w:hAnsi="Arial"/>
          <w:b/>
          <w:bCs/>
          <w:color w:val="444444"/>
          <w:sz w:val="22"/>
          <w:szCs w:val="22"/>
        </w:rPr>
        <w:t xml:space="preserve">Compound Risk Score (CRS)</w:t>
      </w:r>
      <w:r>
        <w:rPr>
          <w:rFonts w:ascii="Arial" w:cs="Arial" w:eastAsia="Arial" w:hAnsi="Arial"/>
          <w:color w:val="444444"/>
          <w:sz w:val="22"/>
          <w:szCs w:val="22"/>
        </w:rPr>
        <w:t xml:space="preserve"> per country, updated annually as new data arrives. The CRS is designed to be the dashboard's headline indicator.</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Components: Water Scarcity Index (30%) + Instability Risk Probability (35%) + Migration Pressure Index (35%)</w:t>
      </w:r>
    </w:p>
    <w:p>
      <w:pPr>
        <w:pStyle w:val="ListParagraph"/>
        <w:numPr>
          <w:ilvl w:val="0"/>
          <w:numId w:val="3"/>
        </w:numPr>
        <w:spacing w:after="60" w:before="60"/>
      </w:pPr>
      <w:r>
        <w:rPr>
          <w:rFonts w:ascii="Arial" w:cs="Arial" w:eastAsia="Arial" w:hAnsi="Arial"/>
          <w:color w:val="444444"/>
          <w:sz w:val="22"/>
          <w:szCs w:val="22"/>
        </w:rPr>
        <w:t xml:space="preserve">Scale: 0–100; ≥70 = Critical, 50–70 = High, 30–50 = Elevated, &lt;30 = Low</w:t>
      </w:r>
    </w:p>
    <w:p>
      <w:pPr>
        <w:pStyle w:val="ListParagraph"/>
        <w:numPr>
          <w:ilvl w:val="0"/>
          <w:numId w:val="3"/>
        </w:numPr>
        <w:spacing w:after="60" w:before="60"/>
      </w:pPr>
      <w:r>
        <w:rPr>
          <w:rFonts w:ascii="Arial" w:cs="Arial" w:eastAsia="Arial" w:hAnsi="Arial"/>
          <w:color w:val="444444"/>
          <w:sz w:val="22"/>
          <w:szCs w:val="22"/>
        </w:rPr>
        <w:t xml:space="preserve">Uncertainty bands displayed alongside point estimate; scenario comparison (SSP2 vs SSP5) for 2030/2040</w:t>
      </w:r>
    </w:p>
    <w:p>
      <w:pPr>
        <w:pStyle w:val="ListParagraph"/>
        <w:numPr>
          <w:ilvl w:val="0"/>
          <w:numId w:val="3"/>
        </w:numPr>
        <w:spacing w:after="60" w:before="60"/>
      </w:pPr>
      <w:r>
        <w:rPr>
          <w:rFonts w:ascii="Arial" w:cs="Arial" w:eastAsia="Arial" w:hAnsi="Arial"/>
          <w:color w:val="444444"/>
          <w:sz w:val="22"/>
          <w:szCs w:val="22"/>
        </w:rPr>
        <w:t xml:space="preserve">SHAP decomposition shown for each country: how much of the CRS is water-driven vs. conflict-driven vs. economic</w:t>
      </w:r>
    </w:p>
    <w:p>
      <w:pPr>
        <w:spacing w:after="0" w:before="200"/>
      </w:pPr>
    </w:p>
    <w:p>
      <w:pPr>
        <w:pStyle w:val="Heading2"/>
        <w:spacing w:after="120" w:before="320"/>
      </w:pPr>
      <w:r>
        <w:rPr>
          <w:rFonts w:ascii="Arial" w:cs="Arial" w:eastAsia="Arial" w:hAnsi="Arial"/>
          <w:b/>
          <w:bCs/>
          <w:color w:val="2E75B6"/>
          <w:sz w:val="28"/>
          <w:szCs w:val="28"/>
        </w:rPr>
        <w:t xml:space="preserve">6.5 ML Engineering Standards</w:t>
      </w:r>
    </w:p>
    <w:p>
      <w:pPr>
        <w:pStyle w:val="ListParagraph"/>
        <w:numPr>
          <w:ilvl w:val="0"/>
          <w:numId w:val="3"/>
        </w:numPr>
        <w:spacing w:after="60" w:before="60"/>
      </w:pPr>
      <w:r>
        <w:rPr>
          <w:rFonts w:ascii="Arial" w:cs="Arial" w:eastAsia="Arial" w:hAnsi="Arial"/>
          <w:color w:val="444444"/>
          <w:sz w:val="22"/>
          <w:szCs w:val="22"/>
        </w:rPr>
        <w:t xml:space="preserve">All models versioned with MLflow; training scripts fully reproducible from seed to output.</w:t>
      </w:r>
    </w:p>
    <w:p>
      <w:pPr>
        <w:pStyle w:val="ListParagraph"/>
        <w:numPr>
          <w:ilvl w:val="0"/>
          <w:numId w:val="3"/>
        </w:numPr>
        <w:spacing w:after="60" w:before="60"/>
      </w:pPr>
      <w:r>
        <w:rPr>
          <w:rFonts w:ascii="Arial" w:cs="Arial" w:eastAsia="Arial" w:hAnsi="Arial"/>
          <w:color w:val="444444"/>
          <w:sz w:val="22"/>
          <w:szCs w:val="22"/>
        </w:rPr>
        <w:t xml:space="preserve">Model cards produced for each model: training data, performance metrics, known limitations, intended use.</w:t>
      </w:r>
    </w:p>
    <w:p>
      <w:pPr>
        <w:pStyle w:val="ListParagraph"/>
        <w:numPr>
          <w:ilvl w:val="0"/>
          <w:numId w:val="3"/>
        </w:numPr>
        <w:spacing w:after="60" w:before="60"/>
      </w:pPr>
      <w:r>
        <w:rPr>
          <w:rFonts w:ascii="Arial" w:cs="Arial" w:eastAsia="Arial" w:hAnsi="Arial"/>
          <w:color w:val="444444"/>
          <w:sz w:val="22"/>
          <w:szCs w:val="22"/>
        </w:rPr>
        <w:t xml:space="preserve">No data leakage: temporal splits strictly enforced; no future information in training features.</w:t>
      </w:r>
    </w:p>
    <w:p>
      <w:pPr>
        <w:pStyle w:val="ListParagraph"/>
        <w:numPr>
          <w:ilvl w:val="0"/>
          <w:numId w:val="3"/>
        </w:numPr>
        <w:spacing w:after="60" w:before="60"/>
      </w:pPr>
      <w:r>
        <w:rPr>
          <w:rFonts w:ascii="Arial" w:cs="Arial" w:eastAsia="Arial" w:hAnsi="Arial"/>
          <w:color w:val="444444"/>
          <w:sz w:val="22"/>
          <w:szCs w:val="22"/>
        </w:rPr>
        <w:t xml:space="preserve">Fairness audit: examine whether models perform differently across income groups, regions, or colonial history proxies.</w:t>
      </w:r>
    </w:p>
    <w:p>
      <w:pPr>
        <w:pStyle w:val="ListParagraph"/>
        <w:numPr>
          <w:ilvl w:val="0"/>
          <w:numId w:val="3"/>
        </w:numPr>
        <w:spacing w:after="60" w:before="60"/>
      </w:pPr>
      <w:r>
        <w:rPr>
          <w:rFonts w:ascii="Arial" w:cs="Arial" w:eastAsia="Arial" w:hAnsi="Arial"/>
          <w:color w:val="444444"/>
          <w:sz w:val="22"/>
          <w:szCs w:val="22"/>
        </w:rPr>
        <w:t xml:space="preserve">Deployed as REST API endpoints (FastAPI); inputs validated with Pydantic; outputs include model version metadata.</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7. Phase 5 — Interactive Dashboard</w:t>
      </w:r>
    </w:p>
    <w:p>
      <w:pPr>
        <w:spacing w:after="120" w:before="80"/>
      </w:pPr>
      <w:r>
        <w:rPr>
          <w:rFonts w:ascii="Arial" w:cs="Arial" w:eastAsia="Arial" w:hAnsi="Arial"/>
          <w:color w:val="444444"/>
          <w:sz w:val="22"/>
          <w:szCs w:val="22"/>
        </w:rPr>
        <w:t xml:space="preserve">The dashboard is the public face of the project. It translates five phases of rigorous work into an accessible, exploratory interface for policymakers, researchers, journalists, and the public. It is built global-to-regional: users begin with a world view and drill down to country and basin level.</w:t>
      </w:r>
    </w:p>
    <w:p>
      <w:pPr>
        <w:pStyle w:val="Heading2"/>
        <w:spacing w:after="120" w:before="320"/>
      </w:pPr>
      <w:r>
        <w:rPr>
          <w:rFonts w:ascii="Arial" w:cs="Arial" w:eastAsia="Arial" w:hAnsi="Arial"/>
          <w:b/>
          <w:bCs/>
          <w:color w:val="2E75B6"/>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Layer</w:t>
            </w:r>
          </w:p>
        </w:tc>
        <w:tc>
          <w:tcPr>
            <w:tcW w:type="dxa" w:w="6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Frontend Framework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React 18 with TypeScript; Vite build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Maps &amp; Geospatial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Deck.gl (WebGL-powered; handles global gridded data efficiently) + Mapbox GL JS for base tiles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Charts &amp; Data Viz</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Recharts for statistical plots; D3.js for custom visualisations (Sankey for migration flows, radial for compound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ML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Python FastAPI serving model endpoints; Pydantic validation; async prediction with confidence intervals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Data API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Pre-built static JSON tiles for historical data (fast loads); live FastAPI calls for ML predictions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Vercel (frontend); Hugging Face Spaces or Render (ML API); Cloudflare CDN for geospatial tiles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State Management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Zustand (lightweight global state for selected country, year, scenario)</w:t>
            </w:r>
          </w:p>
        </w:tc>
      </w:tr>
    </w:tbl>
    <w:p>
      <w:pPr>
        <w:spacing w:after="0" w:before="200"/>
      </w:pPr>
    </w:p>
    <w:p>
      <w:pPr>
        <w:pStyle w:val="Heading2"/>
        <w:spacing w:after="120" w:before="320"/>
      </w:pPr>
      <w:r>
        <w:rPr>
          <w:rFonts w:ascii="Arial" w:cs="Arial" w:eastAsia="Arial" w:hAnsi="Arial"/>
          <w:b/>
          <w:bCs/>
          <w:color w:val="2E75B6"/>
          <w:sz w:val="28"/>
          <w:szCs w:val="28"/>
        </w:rPr>
        <w:t xml:space="preserve">7.2 Dashboard Panels</w:t>
      </w:r>
    </w:p>
    <w:p>
      <w:pPr>
        <w:spacing w:after="0" w:before="80"/>
      </w:pPr>
    </w:p>
    <w:p>
      <w:pPr>
        <w:pStyle w:val="Heading3"/>
        <w:spacing w:after="100" w:before="240"/>
      </w:pPr>
      <w:r>
        <w:rPr>
          <w:rFonts w:ascii="Arial" w:cs="Arial" w:eastAsia="Arial" w:hAnsi="Arial"/>
          <w:b/>
          <w:bCs/>
          <w:color w:val="1E6B44"/>
          <w:sz w:val="24"/>
          <w:szCs w:val="24"/>
        </w:rPr>
        <w:t xml:space="preserve">Panel 1 — Global Water Atlas (Landing View)</w:t>
      </w:r>
    </w:p>
    <w:p>
      <w:pPr>
        <w:pStyle w:val="ListParagraph"/>
        <w:numPr>
          <w:ilvl w:val="0"/>
          <w:numId w:val="3"/>
        </w:numPr>
        <w:spacing w:after="60" w:before="60"/>
      </w:pPr>
      <w:r>
        <w:rPr>
          <w:rFonts w:ascii="Arial" w:cs="Arial" w:eastAsia="Arial" w:hAnsi="Arial"/>
          <w:color w:val="444444"/>
          <w:sz w:val="22"/>
          <w:szCs w:val="22"/>
        </w:rPr>
        <w:t xml:space="preserve">Full-screen globe/map showing renewable freshwater per capita by country, coloured by stress level.</w:t>
      </w:r>
    </w:p>
    <w:p>
      <w:pPr>
        <w:pStyle w:val="ListParagraph"/>
        <w:numPr>
          <w:ilvl w:val="0"/>
          <w:numId w:val="3"/>
        </w:numPr>
        <w:spacing w:after="60" w:before="60"/>
      </w:pPr>
      <w:r>
        <w:rPr>
          <w:rFonts w:ascii="Arial" w:cs="Arial" w:eastAsia="Arial" w:hAnsi="Arial"/>
          <w:color w:val="444444"/>
          <w:sz w:val="22"/>
          <w:szCs w:val="22"/>
        </w:rPr>
        <w:t xml:space="preserve">Toggle layer: surface water stress vs. groundwater depletion trend (GRACE).</w:t>
      </w:r>
    </w:p>
    <w:p>
      <w:pPr>
        <w:pStyle w:val="ListParagraph"/>
        <w:numPr>
          <w:ilvl w:val="0"/>
          <w:numId w:val="3"/>
        </w:numPr>
        <w:spacing w:after="60" w:before="60"/>
      </w:pPr>
      <w:r>
        <w:rPr>
          <w:rFonts w:ascii="Arial" w:cs="Arial" w:eastAsia="Arial" w:hAnsi="Arial"/>
          <w:color w:val="444444"/>
          <w:sz w:val="22"/>
          <w:szCs w:val="22"/>
        </w:rPr>
        <w:t xml:space="preserve">Time slider: animate 1990–2023 showing how stress zones have expanded.</w:t>
      </w:r>
    </w:p>
    <w:p>
      <w:pPr>
        <w:pStyle w:val="ListParagraph"/>
        <w:numPr>
          <w:ilvl w:val="0"/>
          <w:numId w:val="3"/>
        </w:numPr>
        <w:spacing w:after="60" w:before="60"/>
      </w:pPr>
      <w:r>
        <w:rPr>
          <w:rFonts w:ascii="Arial" w:cs="Arial" w:eastAsia="Arial" w:hAnsi="Arial"/>
          <w:color w:val="444444"/>
          <w:sz w:val="22"/>
          <w:szCs w:val="22"/>
        </w:rPr>
        <w:t xml:space="preserve">Click any country → transitions to country detail view.</w:t>
      </w:r>
    </w:p>
    <w:p>
      <w:pPr>
        <w:spacing w:after="0" w:before="120"/>
      </w:pPr>
    </w:p>
    <w:p>
      <w:pPr>
        <w:pStyle w:val="Heading3"/>
        <w:spacing w:after="100" w:before="240"/>
      </w:pPr>
      <w:r>
        <w:rPr>
          <w:rFonts w:ascii="Arial" w:cs="Arial" w:eastAsia="Arial" w:hAnsi="Arial"/>
          <w:b/>
          <w:bCs/>
          <w:color w:val="1E6B44"/>
          <w:sz w:val="24"/>
          <w:szCs w:val="24"/>
        </w:rPr>
        <w:t xml:space="preserve">Panel 2 — Outcomes Explorer</w:t>
      </w:r>
    </w:p>
    <w:p>
      <w:pPr>
        <w:pStyle w:val="ListParagraph"/>
        <w:numPr>
          <w:ilvl w:val="0"/>
          <w:numId w:val="3"/>
        </w:numPr>
        <w:spacing w:after="60" w:before="60"/>
      </w:pPr>
      <w:r>
        <w:rPr>
          <w:rFonts w:ascii="Arial" w:cs="Arial" w:eastAsia="Arial" w:hAnsi="Arial"/>
          <w:color w:val="444444"/>
          <w:sz w:val="22"/>
          <w:szCs w:val="22"/>
        </w:rPr>
        <w:t xml:space="preserve">Scatter plot: X-axis = water stress; Y-axis = any outcome variable (user selects); points = countries; size = population.</w:t>
      </w:r>
    </w:p>
    <w:p>
      <w:pPr>
        <w:pStyle w:val="ListParagraph"/>
        <w:numPr>
          <w:ilvl w:val="0"/>
          <w:numId w:val="3"/>
        </w:numPr>
        <w:spacing w:after="60" w:before="60"/>
      </w:pPr>
      <w:r>
        <w:rPr>
          <w:rFonts w:ascii="Arial" w:cs="Arial" w:eastAsia="Arial" w:hAnsi="Arial"/>
          <w:color w:val="444444"/>
          <w:sz w:val="22"/>
          <w:szCs w:val="22"/>
        </w:rPr>
        <w:t xml:space="preserve">Regression line with confidence band overlaid; correlation coefficient displayed.</w:t>
      </w:r>
    </w:p>
    <w:p>
      <w:pPr>
        <w:pStyle w:val="ListParagraph"/>
        <w:numPr>
          <w:ilvl w:val="0"/>
          <w:numId w:val="3"/>
        </w:numPr>
        <w:spacing w:after="60" w:before="60"/>
      </w:pPr>
      <w:r>
        <w:rPr>
          <w:rFonts w:ascii="Arial" w:cs="Arial" w:eastAsia="Arial" w:hAnsi="Arial"/>
          <w:color w:val="444444"/>
          <w:sz w:val="22"/>
          <w:szCs w:val="22"/>
        </w:rPr>
        <w:t xml:space="preserve">Filter by region, income group, year range.</w:t>
      </w:r>
    </w:p>
    <w:p>
      <w:pPr>
        <w:pStyle w:val="ListParagraph"/>
        <w:numPr>
          <w:ilvl w:val="0"/>
          <w:numId w:val="3"/>
        </w:numPr>
        <w:spacing w:after="60" w:before="60"/>
      </w:pPr>
      <w:r>
        <w:rPr>
          <w:rFonts w:ascii="Arial" w:cs="Arial" w:eastAsia="Arial" w:hAnsi="Arial"/>
          <w:color w:val="444444"/>
          <w:sz w:val="22"/>
          <w:szCs w:val="22"/>
        </w:rPr>
        <w:t xml:space="preserve">Hypothesis toggle: H1 through H7 preset the X and Y axis to the primary exposure-outcome pair for that hypothesis.</w:t>
      </w:r>
    </w:p>
    <w:p>
      <w:pPr>
        <w:pStyle w:val="ListParagraph"/>
        <w:numPr>
          <w:ilvl w:val="0"/>
          <w:numId w:val="3"/>
        </w:numPr>
        <w:spacing w:after="60" w:before="60"/>
      </w:pPr>
      <w:r>
        <w:rPr>
          <w:rFonts w:ascii="Arial" w:cs="Arial" w:eastAsia="Arial" w:hAnsi="Arial"/>
          <w:color w:val="444444"/>
          <w:sz w:val="22"/>
          <w:szCs w:val="22"/>
        </w:rPr>
        <w:t xml:space="preserve">Summary statistics card: effect size from Phase 3 statistical model shown alongside raw correlation.</w:t>
      </w:r>
    </w:p>
    <w:p>
      <w:pPr>
        <w:spacing w:after="0" w:before="120"/>
      </w:pPr>
    </w:p>
    <w:p>
      <w:pPr>
        <w:pStyle w:val="Heading3"/>
        <w:spacing w:after="100" w:before="240"/>
      </w:pPr>
      <w:r>
        <w:rPr>
          <w:rFonts w:ascii="Arial" w:cs="Arial" w:eastAsia="Arial" w:hAnsi="Arial"/>
          <w:b/>
          <w:bCs/>
          <w:color w:val="1E6B44"/>
          <w:sz w:val="24"/>
          <w:szCs w:val="24"/>
        </w:rPr>
        <w:t xml:space="preserve">Panel 3 — Country Deep Dive</w:t>
      </w:r>
    </w:p>
    <w:p>
      <w:pPr>
        <w:pStyle w:val="ListParagraph"/>
        <w:numPr>
          <w:ilvl w:val="0"/>
          <w:numId w:val="3"/>
        </w:numPr>
        <w:spacing w:after="60" w:before="60"/>
      </w:pPr>
      <w:r>
        <w:rPr>
          <w:rFonts w:ascii="Arial" w:cs="Arial" w:eastAsia="Arial" w:hAnsi="Arial"/>
          <w:color w:val="444444"/>
          <w:sz w:val="22"/>
          <w:szCs w:val="22"/>
        </w:rPr>
        <w:t xml:space="preserve">Triggered by clicking a country on the map or selecting from search.</w:t>
      </w:r>
    </w:p>
    <w:p>
      <w:pPr>
        <w:pStyle w:val="ListParagraph"/>
        <w:numPr>
          <w:ilvl w:val="0"/>
          <w:numId w:val="3"/>
        </w:numPr>
        <w:spacing w:after="60" w:before="60"/>
      </w:pPr>
      <w:r>
        <w:rPr>
          <w:rFonts w:ascii="Arial" w:cs="Arial" w:eastAsia="Arial" w:hAnsi="Arial"/>
          <w:color w:val="444444"/>
          <w:sz w:val="22"/>
          <w:szCs w:val="22"/>
        </w:rPr>
        <w:t xml:space="preserve">Time series panel: historical trend of water availability, stress index, and chosen outcome variable.</w:t>
      </w:r>
    </w:p>
    <w:p>
      <w:pPr>
        <w:pStyle w:val="ListParagraph"/>
        <w:numPr>
          <w:ilvl w:val="0"/>
          <w:numId w:val="3"/>
        </w:numPr>
        <w:spacing w:after="60" w:before="60"/>
      </w:pPr>
      <w:r>
        <w:rPr>
          <w:rFonts w:ascii="Arial" w:cs="Arial" w:eastAsia="Arial" w:hAnsi="Arial"/>
          <w:color w:val="444444"/>
          <w:sz w:val="22"/>
          <w:szCs w:val="22"/>
        </w:rPr>
        <w:t xml:space="preserve">Hypothesis scorecard: for each H1–H7, show direction and significance of relationship for this country.</w:t>
      </w:r>
    </w:p>
    <w:p>
      <w:pPr>
        <w:pStyle w:val="ListParagraph"/>
        <w:numPr>
          <w:ilvl w:val="0"/>
          <w:numId w:val="3"/>
        </w:numPr>
        <w:spacing w:after="60" w:before="60"/>
      </w:pPr>
      <w:r>
        <w:rPr>
          <w:rFonts w:ascii="Arial" w:cs="Arial" w:eastAsia="Arial" w:hAnsi="Arial"/>
          <w:color w:val="444444"/>
          <w:sz w:val="22"/>
          <w:szCs w:val="22"/>
        </w:rPr>
        <w:t xml:space="preserve">Groundwater panel: GRACE anomaly time series; estimated years of current-trajectory aquifer life remaining.</w:t>
      </w:r>
    </w:p>
    <w:p>
      <w:pPr>
        <w:pStyle w:val="ListParagraph"/>
        <w:numPr>
          <w:ilvl w:val="0"/>
          <w:numId w:val="3"/>
        </w:numPr>
        <w:spacing w:after="60" w:before="60"/>
      </w:pPr>
      <w:r>
        <w:rPr>
          <w:rFonts w:ascii="Arial" w:cs="Arial" w:eastAsia="Arial" w:hAnsi="Arial"/>
          <w:color w:val="444444"/>
          <w:sz w:val="22"/>
          <w:szCs w:val="22"/>
        </w:rPr>
        <w:t xml:space="preserve">Compound Risk Score gauge: current score + 2030 / 2040 projections with scenario bands.</w:t>
      </w:r>
    </w:p>
    <w:p>
      <w:pPr>
        <w:spacing w:after="0" w:before="120"/>
      </w:pPr>
    </w:p>
    <w:p>
      <w:pPr>
        <w:pStyle w:val="Heading3"/>
        <w:spacing w:after="100" w:before="240"/>
      </w:pPr>
      <w:r>
        <w:rPr>
          <w:rFonts w:ascii="Arial" w:cs="Arial" w:eastAsia="Arial" w:hAnsi="Arial"/>
          <w:b/>
          <w:bCs/>
          <w:color w:val="1E6B44"/>
          <w:sz w:val="24"/>
          <w:szCs w:val="24"/>
        </w:rPr>
        <w:t xml:space="preserve">Panel 4 — Regional Basin View</w:t>
      </w:r>
    </w:p>
    <w:p>
      <w:pPr>
        <w:pStyle w:val="ListParagraph"/>
        <w:numPr>
          <w:ilvl w:val="0"/>
          <w:numId w:val="3"/>
        </w:numPr>
        <w:spacing w:after="60" w:before="60"/>
      </w:pPr>
      <w:r>
        <w:rPr>
          <w:rFonts w:ascii="Arial" w:cs="Arial" w:eastAsia="Arial" w:hAnsi="Arial"/>
          <w:color w:val="444444"/>
          <w:sz w:val="22"/>
          <w:szCs w:val="22"/>
        </w:rPr>
        <w:t xml:space="preserve">Switch from country boundaries to river basin boundaries (HydroSHEDS).</w:t>
      </w:r>
    </w:p>
    <w:p>
      <w:pPr>
        <w:pStyle w:val="ListParagraph"/>
        <w:numPr>
          <w:ilvl w:val="0"/>
          <w:numId w:val="3"/>
        </w:numPr>
        <w:spacing w:after="60" w:before="60"/>
      </w:pPr>
      <w:r>
        <w:rPr>
          <w:rFonts w:ascii="Arial" w:cs="Arial" w:eastAsia="Arial" w:hAnsi="Arial"/>
          <w:color w:val="444444"/>
          <w:sz w:val="22"/>
          <w:szCs w:val="22"/>
        </w:rPr>
        <w:t xml:space="preserve">Show basin-level water stress and transboundary tension score.</w:t>
      </w:r>
    </w:p>
    <w:p>
      <w:pPr>
        <w:pStyle w:val="ListParagraph"/>
        <w:numPr>
          <w:ilvl w:val="0"/>
          <w:numId w:val="3"/>
        </w:numPr>
        <w:spacing w:after="60" w:before="60"/>
      </w:pPr>
      <w:r>
        <w:rPr>
          <w:rFonts w:ascii="Arial" w:cs="Arial" w:eastAsia="Arial" w:hAnsi="Arial"/>
          <w:color w:val="444444"/>
          <w:sz w:val="22"/>
          <w:szCs w:val="22"/>
        </w:rPr>
        <w:t xml:space="preserve">Highlight shared basins (e.g. Nile, Mekong, Indus) with riparian country list.</w:t>
      </w:r>
    </w:p>
    <w:p>
      <w:pPr>
        <w:pStyle w:val="ListParagraph"/>
        <w:numPr>
          <w:ilvl w:val="0"/>
          <w:numId w:val="3"/>
        </w:numPr>
        <w:spacing w:after="60" w:before="60"/>
      </w:pPr>
      <w:r>
        <w:rPr>
          <w:rFonts w:ascii="Arial" w:cs="Arial" w:eastAsia="Arial" w:hAnsi="Arial"/>
          <w:color w:val="444444"/>
          <w:sz w:val="22"/>
          <w:szCs w:val="22"/>
        </w:rPr>
        <w:t xml:space="preserve">Basin-level groundwater layer from GRACE where available.</w:t>
      </w:r>
    </w:p>
    <w:p>
      <w:pPr>
        <w:spacing w:after="0" w:before="120"/>
      </w:pPr>
    </w:p>
    <w:p>
      <w:pPr>
        <w:pStyle w:val="Heading3"/>
        <w:spacing w:after="100" w:before="240"/>
      </w:pPr>
      <w:r>
        <w:rPr>
          <w:rFonts w:ascii="Arial" w:cs="Arial" w:eastAsia="Arial" w:hAnsi="Arial"/>
          <w:b/>
          <w:bCs/>
          <w:color w:val="1E6B44"/>
          <w:sz w:val="24"/>
          <w:szCs w:val="24"/>
        </w:rPr>
        <w:t xml:space="preserve">Panel 5 — ML Futures</w:t>
      </w:r>
    </w:p>
    <w:p>
      <w:pPr>
        <w:pStyle w:val="ListParagraph"/>
        <w:numPr>
          <w:ilvl w:val="0"/>
          <w:numId w:val="3"/>
        </w:numPr>
        <w:spacing w:after="60" w:before="60"/>
      </w:pPr>
      <w:r>
        <w:rPr>
          <w:rFonts w:ascii="Arial" w:cs="Arial" w:eastAsia="Arial" w:hAnsi="Arial"/>
          <w:color w:val="444444"/>
          <w:sz w:val="22"/>
          <w:szCs w:val="22"/>
        </w:rPr>
        <w:t xml:space="preserve">Scenario selector: SSP2-4.5 (moderate) vs SSP5-8.5 (high emissions) vs policy intervention scenario.</w:t>
      </w:r>
    </w:p>
    <w:p>
      <w:pPr>
        <w:pStyle w:val="ListParagraph"/>
        <w:numPr>
          <w:ilvl w:val="0"/>
          <w:numId w:val="3"/>
        </w:numPr>
        <w:spacing w:after="60" w:before="60"/>
      </w:pPr>
      <w:r>
        <w:rPr>
          <w:rFonts w:ascii="Arial" w:cs="Arial" w:eastAsia="Arial" w:hAnsi="Arial"/>
          <w:color w:val="444444"/>
          <w:sz w:val="22"/>
          <w:szCs w:val="22"/>
        </w:rPr>
        <w:t xml:space="preserve">Year slider: 2025 → 2030 → 2040 → 2050.</w:t>
      </w:r>
    </w:p>
    <w:p>
      <w:pPr>
        <w:pStyle w:val="ListParagraph"/>
        <w:numPr>
          <w:ilvl w:val="0"/>
          <w:numId w:val="3"/>
        </w:numPr>
        <w:spacing w:after="60" w:before="60"/>
      </w:pPr>
      <w:r>
        <w:rPr>
          <w:rFonts w:ascii="Arial" w:cs="Arial" w:eastAsia="Arial" w:hAnsi="Arial"/>
          <w:color w:val="444444"/>
          <w:sz w:val="22"/>
          <w:szCs w:val="22"/>
        </w:rPr>
        <w:t xml:space="preserve">Map shows projected Compound Risk Score by country at selected year and scenario.</w:t>
      </w:r>
    </w:p>
    <w:p>
      <w:pPr>
        <w:pStyle w:val="ListParagraph"/>
        <w:numPr>
          <w:ilvl w:val="0"/>
          <w:numId w:val="3"/>
        </w:numPr>
        <w:spacing w:after="60" w:before="60"/>
      </w:pPr>
      <w:r>
        <w:rPr>
          <w:rFonts w:ascii="Arial" w:cs="Arial" w:eastAsia="Arial" w:hAnsi="Arial"/>
          <w:color w:val="444444"/>
          <w:sz w:val="22"/>
          <w:szCs w:val="22"/>
        </w:rPr>
        <w:t xml:space="preserve">Side panel: top 20 countries by projected risk change (improving and deteriorating).</w:t>
      </w:r>
    </w:p>
    <w:p>
      <w:pPr>
        <w:pStyle w:val="ListParagraph"/>
        <w:numPr>
          <w:ilvl w:val="0"/>
          <w:numId w:val="3"/>
        </w:numPr>
        <w:spacing w:after="60" w:before="60"/>
      </w:pPr>
      <w:r>
        <w:rPr>
          <w:rFonts w:ascii="Arial" w:cs="Arial" w:eastAsia="Arial" w:hAnsi="Arial"/>
          <w:color w:val="444444"/>
          <w:sz w:val="22"/>
          <w:szCs w:val="22"/>
        </w:rPr>
        <w:t xml:space="preserve">Migration flow Sankey diagram: estimated displacement flows for selected scenario and year.</w:t>
      </w:r>
    </w:p>
    <w:p>
      <w:pPr>
        <w:pStyle w:val="ListParagraph"/>
        <w:numPr>
          <w:ilvl w:val="0"/>
          <w:numId w:val="3"/>
        </w:numPr>
        <w:spacing w:after="60" w:before="60"/>
      </w:pPr>
      <w:r>
        <w:rPr>
          <w:rFonts w:ascii="Arial" w:cs="Arial" w:eastAsia="Arial" w:hAnsi="Arial"/>
          <w:color w:val="444444"/>
          <w:sz w:val="22"/>
          <w:szCs w:val="22"/>
        </w:rPr>
        <w:t xml:space="preserve">SHAP explainer card for selected country: what is driving its risk score in this scenario?</w:t>
      </w:r>
    </w:p>
    <w:p>
      <w:pPr>
        <w:spacing w:after="0" w:before="200"/>
      </w:pPr>
    </w:p>
    <w:p>
      <w:pPr>
        <w:pStyle w:val="Heading2"/>
        <w:spacing w:after="120" w:before="320"/>
      </w:pPr>
      <w:r>
        <w:rPr>
          <w:rFonts w:ascii="Arial" w:cs="Arial" w:eastAsia="Arial" w:hAnsi="Arial"/>
          <w:b/>
          <w:bCs/>
          <w:color w:val="2E75B6"/>
          <w:sz w:val="28"/>
          <w:szCs w:val="28"/>
        </w:rPr>
        <w:t xml:space="preserve">7.3 Design Principles</w:t>
      </w:r>
    </w:p>
    <w:p>
      <w:pPr>
        <w:pStyle w:val="ListParagraph"/>
        <w:numPr>
          <w:ilvl w:val="0"/>
          <w:numId w:val="3"/>
        </w:numPr>
        <w:spacing w:after="60" w:before="60"/>
      </w:pPr>
      <w:r>
        <w:rPr>
          <w:rFonts w:ascii="Arial" w:cs="Arial" w:eastAsia="Arial" w:hAnsi="Arial"/>
          <w:color w:val="444444"/>
          <w:sz w:val="22"/>
          <w:szCs w:val="22"/>
        </w:rPr>
        <w:t xml:space="preserve">Mobile-responsive but optimised for desktop (data density requires screen space).</w:t>
      </w:r>
    </w:p>
    <w:p>
      <w:pPr>
        <w:pStyle w:val="ListParagraph"/>
        <w:numPr>
          <w:ilvl w:val="0"/>
          <w:numId w:val="3"/>
        </w:numPr>
        <w:spacing w:after="60" w:before="60"/>
      </w:pPr>
      <w:r>
        <w:rPr>
          <w:rFonts w:ascii="Arial" w:cs="Arial" w:eastAsia="Arial" w:hAnsi="Arial"/>
          <w:color w:val="444444"/>
          <w:sz w:val="22"/>
          <w:szCs w:val="22"/>
        </w:rPr>
        <w:t xml:space="preserve">Colour-blind safe palettes throughout (Viridis / Cividis for continuous scales; deuteranopia-safe diverging scales).</w:t>
      </w:r>
    </w:p>
    <w:p>
      <w:pPr>
        <w:pStyle w:val="ListParagraph"/>
        <w:numPr>
          <w:ilvl w:val="0"/>
          <w:numId w:val="3"/>
        </w:numPr>
        <w:spacing w:after="60" w:before="60"/>
      </w:pPr>
      <w:r>
        <w:rPr>
          <w:rFonts w:ascii="Arial" w:cs="Arial" w:eastAsia="Arial" w:hAnsi="Arial"/>
          <w:color w:val="444444"/>
          <w:sz w:val="22"/>
          <w:szCs w:val="22"/>
        </w:rPr>
        <w:t xml:space="preserve">Every number on the dashboard links to its source and methodology; no unattributed statistics.</w:t>
      </w:r>
    </w:p>
    <w:p>
      <w:pPr>
        <w:pStyle w:val="ListParagraph"/>
        <w:numPr>
          <w:ilvl w:val="0"/>
          <w:numId w:val="3"/>
        </w:numPr>
        <w:spacing w:after="60" w:before="60"/>
      </w:pPr>
      <w:r>
        <w:rPr>
          <w:rFonts w:ascii="Arial" w:cs="Arial" w:eastAsia="Arial" w:hAnsi="Arial"/>
          <w:color w:val="444444"/>
          <w:sz w:val="22"/>
          <w:szCs w:val="22"/>
        </w:rPr>
        <w:t xml:space="preserve">Uncertainty is always displayed — no point estimates without confidence intervals or scenario ranges.</w:t>
      </w:r>
    </w:p>
    <w:p>
      <w:pPr>
        <w:pStyle w:val="ListParagraph"/>
        <w:numPr>
          <w:ilvl w:val="0"/>
          <w:numId w:val="3"/>
        </w:numPr>
        <w:spacing w:after="60" w:before="60"/>
      </w:pPr>
      <w:r>
        <w:rPr>
          <w:rFonts w:ascii="Arial" w:cs="Arial" w:eastAsia="Arial" w:hAnsi="Arial"/>
          <w:color w:val="444444"/>
          <w:sz w:val="22"/>
          <w:szCs w:val="22"/>
        </w:rPr>
        <w:t xml:space="preserve">Progressive disclosure: headline numbers visible immediately; methodology and caveats one click away.</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8. Project Workplan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Phase</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Duration</w:t>
            </w:r>
          </w:p>
        </w:tc>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Key Milestones</w:t>
            </w:r>
          </w:p>
        </w:tc>
        <w:tc>
          <w:tcPr>
            <w:tcW w:type="dxa" w:w="2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Exit Criteria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1 — Data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3–4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All sources ingested; Master Panel v1.0 complete; data dictionary published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≥90% coverage on primary exposure variable; all country codes validated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Phase 2 — EDA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2–3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EDA notebook complete; data quality issues resolved; statistical approach confirmed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Signed-off EDA report; no unresolved critical data quality flags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3 — Hypothesis Testing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3–4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All 7 hypotheses tested; effect sizes estimated; causal diagrams documented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Regression results tables complete; key findings written 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Phase 4 — 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4–5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All 3 models trained; validation complete; model cards written; API deployed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Models beat naive benchmark on all metrics; API passing integration tests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Phase 5 — 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4–5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All 5 panels built; connected to API; mobile-responsive; user testing done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Lighthouse score ≥90; all hypotheses representable; sources linked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Validation &amp;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Expert review; final calibration; documentation published; public launch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No critical bugs; methodology documentation publicly accessible</w:t>
            </w:r>
          </w:p>
        </w:tc>
      </w:tr>
    </w:tbl>
    <w:p>
      <w:pPr>
        <w:spacing w:after="0" w:before="160"/>
      </w:pPr>
    </w:p>
    <w:p>
      <w:pPr>
        <w:spacing w:after="120" w:before="80"/>
      </w:pPr>
      <w:r>
        <w:rPr>
          <w:rFonts w:ascii="Arial" w:cs="Arial" w:eastAsia="Arial" w:hAnsi="Arial"/>
          <w:b/>
          <w:bCs/>
          <w:color w:val="444444"/>
          <w:sz w:val="22"/>
          <w:szCs w:val="22"/>
        </w:rPr>
        <w:t xml:space="preserve">Total estimated duration: </w:t>
      </w:r>
      <w:r>
        <w:rPr>
          <w:rFonts w:ascii="Arial" w:cs="Arial" w:eastAsia="Arial" w:hAnsi="Arial"/>
          <w:color w:val="444444"/>
          <w:sz w:val="22"/>
          <w:szCs w:val="22"/>
        </w:rPr>
        <w:t xml:space="preserve">17–23 weeks from data acquisition start to public dashboard launch.</w:t>
      </w:r>
    </w:p>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Risk</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Likelihood / Impact</w:t>
            </w:r>
          </w:p>
        </w:tc>
        <w:tc>
          <w:tcPr>
            <w:tcW w:type="dxa" w:w="3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Mitigation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Key datasets (AQUASTAT, GRACE) have significant missingness for low-income countries pre-2000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High / Medium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Restrict primary analysis to 1990–2023; use multiple imputation for secondary analyses; clearly document gaps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Endogeneity: economic development causes better water infrastructure, not just the reverse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High /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Instrumental variable design using precipitation (exogenous); explicit DAGs; framing findings as associations where causality unproven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ML models may perform poorly for data-sparse regions (Sub-Saharan Africa, Small Island States)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Medium / High</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Evaluate model performance separately by region; display uncertainty prominently; flag low-confidence predictions in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Climate projections carry large uncertainty beyond 2040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Certain / 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Always present as scenario ranges (SSP2 vs SSP5); never show single-point forecasts beyond 2035; uncertainty bands mandatory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Political sensitivity: findings may be uncomfortable for specific governments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Medium / Low</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Document methodology rigorously; present findings as data-driven, not normative; provide methodological critique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Dashboard performance with global gridded data at high resolution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Medium / 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Pre-tile raster data at multiple zoom levels; use WebGL-accelerated Deck.gl; lazy-load regional detail layers</w:t>
            </w:r>
          </w:p>
        </w:tc>
      </w:tr>
    </w:tbl>
    <w:p>
      <w:r>
        <w:br w:type="page"/>
      </w:r>
    </w:p>
    <w:p>
      <w:pPr>
        <w:pStyle w:val="Heading1"/>
        <w:pBdr>
          <w:bottom w:val="single" w:color="2E75B6" w:sz="8" w:space="4"/>
        </w:pBdr>
        <w:spacing w:after="160" w:before="400"/>
      </w:pPr>
      <w:r>
        <w:rPr>
          <w:rFonts w:ascii="Arial" w:cs="Arial" w:eastAsia="Arial" w:hAnsi="Arial"/>
          <w:b/>
          <w:bCs/>
          <w:color w:val="1B3A5C"/>
          <w:sz w:val="36"/>
          <w:szCs w:val="36"/>
        </w:rPr>
        <w:t xml:space="preserve">10. Appendices</w:t>
      </w:r>
    </w:p>
    <w:p>
      <w:pPr>
        <w:pStyle w:val="Heading2"/>
        <w:spacing w:after="120" w:before="320"/>
      </w:pPr>
      <w:r>
        <w:rPr>
          <w:rFonts w:ascii="Arial" w:cs="Arial" w:eastAsia="Arial" w:hAnsi="Arial"/>
          <w:b/>
          <w:bCs/>
          <w:color w:val="2E75B6"/>
          <w:sz w:val="28"/>
          <w:szCs w:val="28"/>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Term</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B3A5C"/>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Renewable Freshwater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Annual freshwater resources replenished by precipitation: river runoff + groundwater recharge. Measured in km³/year or m³/capita/year.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Water Stress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Ratio of total freshwater withdrawal to available renewable freshwater. &gt;40% = high stress; &gt;80% = 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GRACE / GRACE-FO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NASA satellite missions measuring gravitational anomalies caused by mass changes — primarily groundwater storage changes — at sub-monthly temporal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AQUASTAT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FAO's global information system on water and agriculture; primary global source for country-level water statistics.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SPEI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Standardised Precipitation-Evapotranspiration Index. Drought index combining precipitation deficit with temperature-driven evapotranspiration demand. Negative values = drought.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SSP2-4.5 / SSP5-8.5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IPCC Shared Socioeconomic Pathways. SSP2-4.5 = moderate mitigation scenario; SSP5-8.5 = high-emission business-as-usual. Used for climate projection inputs to ML models.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LSTM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Long Short-Term Memory neural network. A recurrent architecture well-suited to time series forecasting where long-range temporal dependencies matter.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SHAP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SHapley Additive exPlanations. A game-theoretic approach to explaining individual machine learning predictions by attributing each feature's contribution.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FSI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Fragile States Index (Fund for Peace). Annual assessment of 178 countries across 12 conflict-risk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UCDP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Uppsala Conflict Data Program. Academic database of organised violence, widely considered the gold standard for conflict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44444"/>
                <w:sz w:val="22"/>
                <w:szCs w:val="22"/>
              </w:rPr>
              <w:t xml:space="preserve">Compound Risk Score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2"/>
                <w:szCs w:val="22"/>
              </w:rPr>
              <w:t xml:space="preserve">Project-specific composite index combining Water Scarcity, Instability Risk, and Migration Pressure scores into a single 0–100 indicator per country.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2"/>
                <w:szCs w:val="22"/>
              </w:rPr>
              <w:t xml:space="preserve">DXA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Twentieth of a point (20 DXA = 1 pt; 1440 DXA = 1 inch). Unit used in DOCX XML for measurements.</w:t>
            </w:r>
          </w:p>
        </w:tc>
      </w:tr>
    </w:tbl>
    <w:p>
      <w:pPr>
        <w:spacing w:after="0" w:before="200"/>
      </w:pPr>
    </w:p>
    <w:p>
      <w:pPr>
        <w:pStyle w:val="Heading2"/>
        <w:spacing w:after="120" w:before="320"/>
      </w:pPr>
      <w:r>
        <w:rPr>
          <w:rFonts w:ascii="Arial" w:cs="Arial" w:eastAsia="Arial" w:hAnsi="Arial"/>
          <w:b/>
          <w:bCs/>
          <w:color w:val="2E75B6"/>
          <w:sz w:val="28"/>
          <w:szCs w:val="28"/>
        </w:rPr>
        <w:t xml:space="preserve">Appendix B — Key Literature</w:t>
      </w:r>
    </w:p>
    <w:p>
      <w:pPr>
        <w:spacing w:after="120" w:before="80"/>
      </w:pPr>
      <w:r>
        <w:rPr>
          <w:rFonts w:ascii="Arial" w:cs="Arial" w:eastAsia="Arial" w:hAnsi="Arial"/>
          <w:b/>
          <w:bCs/>
          <w:color w:val="444444"/>
          <w:sz w:val="22"/>
          <w:szCs w:val="22"/>
        </w:rPr>
        <w:t xml:space="preserve">Water-Conflict Nexus: </w:t>
      </w:r>
      <w:r>
        <w:rPr>
          <w:rFonts w:ascii="Arial" w:cs="Arial" w:eastAsia="Arial" w:hAnsi="Arial"/>
          <w:color w:val="444444"/>
          <w:sz w:val="22"/>
          <w:szCs w:val="22"/>
        </w:rPr>
        <w:t xml:space="preserve">Gleick (2014) Water, Drought, Climate Change, and Conflict in Syria; Kelley et al. (2015) Climate change in the Fertile Crescent and the recent Syrian conflict (PNAS).</w:t>
      </w:r>
    </w:p>
    <w:p>
      <w:pPr>
        <w:spacing w:after="120" w:before="80"/>
      </w:pPr>
      <w:r>
        <w:rPr>
          <w:rFonts w:ascii="Arial" w:cs="Arial" w:eastAsia="Arial" w:hAnsi="Arial"/>
          <w:b/>
          <w:bCs/>
          <w:color w:val="444444"/>
          <w:sz w:val="22"/>
          <w:szCs w:val="22"/>
        </w:rPr>
        <w:t xml:space="preserve">Water-Economy Links: </w:t>
      </w:r>
      <w:r>
        <w:rPr>
          <w:rFonts w:ascii="Arial" w:cs="Arial" w:eastAsia="Arial" w:hAnsi="Arial"/>
          <w:color w:val="444444"/>
          <w:sz w:val="22"/>
          <w:szCs w:val="22"/>
        </w:rPr>
        <w:t xml:space="preserve">World Bank (2016) High and Dry: Climate Change, Water, and the Economy; Damania et al. (2017) Uncharted Waters: The New Economics of Water Scarcity and Variability.</w:t>
      </w:r>
    </w:p>
    <w:p>
      <w:pPr>
        <w:spacing w:after="120" w:before="80"/>
      </w:pPr>
      <w:r>
        <w:rPr>
          <w:rFonts w:ascii="Arial" w:cs="Arial" w:eastAsia="Arial" w:hAnsi="Arial"/>
          <w:b/>
          <w:bCs/>
          <w:color w:val="444444"/>
          <w:sz w:val="22"/>
          <w:szCs w:val="22"/>
        </w:rPr>
        <w:t xml:space="preserve">Water-Health: </w:t>
      </w:r>
      <w:r>
        <w:rPr>
          <w:rFonts w:ascii="Arial" w:cs="Arial" w:eastAsia="Arial" w:hAnsi="Arial"/>
          <w:color w:val="444444"/>
          <w:sz w:val="22"/>
          <w:szCs w:val="22"/>
        </w:rPr>
        <w:t xml:space="preserve">Prüss-Ustün et al. (2019) Burden of disease from inadequate water, sanitation and hygiene (WHO); GBD 2019 Risk Factors Collaborators (Lancet, 2020).</w:t>
      </w:r>
    </w:p>
    <w:p>
      <w:pPr>
        <w:spacing w:after="120" w:before="80"/>
      </w:pPr>
      <w:r>
        <w:rPr>
          <w:rFonts w:ascii="Arial" w:cs="Arial" w:eastAsia="Arial" w:hAnsi="Arial"/>
          <w:b/>
          <w:bCs/>
          <w:color w:val="444444"/>
          <w:sz w:val="22"/>
          <w:szCs w:val="22"/>
        </w:rPr>
        <w:t xml:space="preserve">Climate-Migration: </w:t>
      </w:r>
      <w:r>
        <w:rPr>
          <w:rFonts w:ascii="Arial" w:cs="Arial" w:eastAsia="Arial" w:hAnsi="Arial"/>
          <w:color w:val="444444"/>
          <w:sz w:val="22"/>
          <w:szCs w:val="22"/>
        </w:rPr>
        <w:t xml:space="preserve">Black et al. (2011) The effect of environmental change on human migration (Global Environmental Change); Rigaud et al. (2018) Groundswell: Preparing for Internal Climate Migration (World Bank).</w:t>
      </w:r>
    </w:p>
    <w:p>
      <w:pPr>
        <w:spacing w:after="120" w:before="80"/>
      </w:pPr>
      <w:r>
        <w:rPr>
          <w:rFonts w:ascii="Arial" w:cs="Arial" w:eastAsia="Arial" w:hAnsi="Arial"/>
          <w:b/>
          <w:bCs/>
          <w:color w:val="444444"/>
          <w:sz w:val="22"/>
          <w:szCs w:val="22"/>
        </w:rPr>
        <w:t xml:space="preserve">Groundwater: </w:t>
      </w:r>
      <w:r>
        <w:rPr>
          <w:rFonts w:ascii="Arial" w:cs="Arial" w:eastAsia="Arial" w:hAnsi="Arial"/>
          <w:color w:val="444444"/>
          <w:sz w:val="22"/>
          <w:szCs w:val="22"/>
        </w:rPr>
        <w:t xml:space="preserve">Famiglietti (2014) The global groundwater crisis (Nature Climate Change); Gleeson et al. (2020) The global volume and distribution of modern groundwater (Nature Geoscience).</w:t>
      </w:r>
    </w:p>
    <w:p>
      <w:pPr>
        <w:spacing w:after="120" w:before="80"/>
      </w:pPr>
      <w:r>
        <w:rPr>
          <w:rFonts w:ascii="Arial" w:cs="Arial" w:eastAsia="Arial" w:hAnsi="Arial"/>
          <w:b/>
          <w:bCs/>
          <w:color w:val="444444"/>
          <w:sz w:val="22"/>
          <w:szCs w:val="22"/>
        </w:rPr>
        <w:t xml:space="preserve">ML for Early Warning: </w:t>
      </w:r>
      <w:r>
        <w:rPr>
          <w:rFonts w:ascii="Arial" w:cs="Arial" w:eastAsia="Arial" w:hAnsi="Arial"/>
          <w:color w:val="444444"/>
          <w:sz w:val="22"/>
          <w:szCs w:val="22"/>
        </w:rPr>
        <w:t xml:space="preserve">Mueller et al. (2022) Forecasting large-scale conflict termination; Hegre et al. (2019) ViEWS: A political Violence Early-Warning System (Journal of Peace Research).</w:t>
      </w:r>
    </w:p>
    <w:p>
      <w:pPr>
        <w:spacing w:after="0" w:before="200"/>
      </w:pPr>
    </w:p>
    <w:p>
      <w:pPr>
        <w:pStyle w:val="Heading2"/>
        <w:spacing w:after="120" w:before="320"/>
      </w:pPr>
      <w:r>
        <w:rPr>
          <w:rFonts w:ascii="Arial" w:cs="Arial" w:eastAsia="Arial" w:hAnsi="Arial"/>
          <w:b/>
          <w:bCs/>
          <w:color w:val="2E75B6"/>
          <w:sz w:val="28"/>
          <w:szCs w:val="28"/>
        </w:rPr>
        <w:t xml:space="preserve">Appendix C — Directory Structure</w:t>
      </w:r>
    </w:p>
    <w:p>
      <w:pPr>
        <w:spacing w:after="120" w:before="80"/>
      </w:pPr>
      <w:r>
        <w:rPr>
          <w:rFonts w:ascii="Arial" w:cs="Arial" w:eastAsia="Arial" w:hAnsi="Arial"/>
          <w:color w:val="444444"/>
          <w:sz w:val="22"/>
          <w:szCs w:val="22"/>
        </w:rPr>
        <w:t xml:space="preserve">Recommended repository structure for the project:</w:t>
      </w:r>
    </w:p>
    <w:p>
      <w:pPr>
        <w:spacing w:after="0" w:before="80"/>
      </w:pPr>
    </w:p>
    <w:p>
      <w:pPr>
        <w:spacing w:after="30" w:before="30"/>
      </w:pPr>
      <w:r>
        <w:rPr>
          <w:rFonts w:ascii="Courier New" w:cs="Courier New" w:eastAsia="Courier New" w:hAnsi="Courier New"/>
          <w:color w:val="444444"/>
          <w:sz w:val="18"/>
          <w:szCs w:val="18"/>
        </w:rPr>
        <w:t xml:space="preserve">gfip/</w:t>
      </w:r>
    </w:p>
    <w:p>
      <w:pPr>
        <w:spacing w:after="30" w:before="30"/>
      </w:pPr>
      <w:r>
        <w:rPr>
          <w:rFonts w:ascii="Courier New" w:cs="Courier New" w:eastAsia="Courier New" w:hAnsi="Courier New"/>
          <w:color w:val="444444"/>
          <w:sz w:val="18"/>
          <w:szCs w:val="18"/>
        </w:rPr>
        <w:t xml:space="preserve">  data/</w:t>
      </w:r>
    </w:p>
    <w:p>
      <w:pPr>
        <w:spacing w:after="30" w:before="30"/>
      </w:pPr>
      <w:r>
        <w:rPr>
          <w:rFonts w:ascii="Courier New" w:cs="Courier New" w:eastAsia="Courier New" w:hAnsi="Courier New"/>
          <w:color w:val="444444"/>
          <w:sz w:val="18"/>
          <w:szCs w:val="18"/>
        </w:rPr>
        <w:t xml:space="preserve">    raw/          # Immutable original downloads (gitignored, stored in S3/DVC)</w:t>
      </w:r>
    </w:p>
    <w:p>
      <w:pPr>
        <w:spacing w:after="30" w:before="30"/>
      </w:pPr>
      <w:r>
        <w:rPr>
          <w:rFonts w:ascii="Courier New" w:cs="Courier New" w:eastAsia="Courier New" w:hAnsi="Courier New"/>
          <w:color w:val="444444"/>
          <w:sz w:val="18"/>
          <w:szCs w:val="18"/>
        </w:rPr>
        <w:t xml:space="preserve">    interim/      # Cleaned individual datasets</w:t>
      </w:r>
    </w:p>
    <w:p>
      <w:pPr>
        <w:spacing w:after="30" w:before="30"/>
      </w:pPr>
      <w:r>
        <w:rPr>
          <w:rFonts w:ascii="Courier New" w:cs="Courier New" w:eastAsia="Courier New" w:hAnsi="Courier New"/>
          <w:color w:val="444444"/>
          <w:sz w:val="18"/>
          <w:szCs w:val="18"/>
        </w:rPr>
        <w:t xml:space="preserve">    processed/    # Master Panel and derived datasets</w:t>
      </w:r>
    </w:p>
    <w:p>
      <w:pPr>
        <w:spacing w:after="30" w:before="30"/>
      </w:pPr>
      <w:r>
        <w:rPr>
          <w:rFonts w:ascii="Courier New" w:cs="Courier New" w:eastAsia="Courier New" w:hAnsi="Courier New"/>
          <w:color w:val="444444"/>
          <w:sz w:val="18"/>
          <w:szCs w:val="18"/>
        </w:rPr>
        <w:t xml:space="preserve">    external/     # Shapefiles, lookup tables</w:t>
      </w:r>
    </w:p>
    <w:p>
      <w:pPr>
        <w:spacing w:after="30" w:before="30"/>
      </w:pPr>
      <w:r>
        <w:rPr>
          <w:rFonts w:ascii="Courier New" w:cs="Courier New" w:eastAsia="Courier New" w:hAnsi="Courier New"/>
          <w:color w:val="444444"/>
          <w:sz w:val="18"/>
          <w:szCs w:val="18"/>
        </w:rPr>
        <w:t xml:space="preserve">  notebooks/</w:t>
      </w:r>
    </w:p>
    <w:p>
      <w:pPr>
        <w:spacing w:after="30" w:before="30"/>
      </w:pPr>
      <w:r>
        <w:rPr>
          <w:rFonts w:ascii="Courier New" w:cs="Courier New" w:eastAsia="Courier New" w:hAnsi="Courier New"/>
          <w:color w:val="444444"/>
          <w:sz w:val="18"/>
          <w:szCs w:val="18"/>
        </w:rPr>
        <w:t xml:space="preserve">    01_eda.ipynb</w:t>
      </w:r>
    </w:p>
    <w:p>
      <w:pPr>
        <w:spacing w:after="30" w:before="30"/>
      </w:pPr>
      <w:r>
        <w:rPr>
          <w:rFonts w:ascii="Courier New" w:cs="Courier New" w:eastAsia="Courier New" w:hAnsi="Courier New"/>
          <w:color w:val="444444"/>
          <w:sz w:val="18"/>
          <w:szCs w:val="18"/>
        </w:rPr>
        <w:t xml:space="preserve">    02_hypothesis_testing.ipynb</w:t>
      </w:r>
    </w:p>
    <w:p>
      <w:pPr>
        <w:spacing w:after="30" w:before="30"/>
      </w:pPr>
      <w:r>
        <w:rPr>
          <w:rFonts w:ascii="Courier New" w:cs="Courier New" w:eastAsia="Courier New" w:hAnsi="Courier New"/>
          <w:color w:val="444444"/>
          <w:sz w:val="18"/>
          <w:szCs w:val="18"/>
        </w:rPr>
        <w:t xml:space="preserve">    03_ml_scarcity.ipynb</w:t>
      </w:r>
    </w:p>
    <w:p>
      <w:pPr>
        <w:spacing w:after="30" w:before="30"/>
      </w:pPr>
      <w:r>
        <w:rPr>
          <w:rFonts w:ascii="Courier New" w:cs="Courier New" w:eastAsia="Courier New" w:hAnsi="Courier New"/>
          <w:color w:val="444444"/>
          <w:sz w:val="18"/>
          <w:szCs w:val="18"/>
        </w:rPr>
        <w:t xml:space="preserve">    04_ml_instability.ipynb</w:t>
      </w:r>
    </w:p>
    <w:p>
      <w:pPr>
        <w:spacing w:after="30" w:before="30"/>
      </w:pPr>
      <w:r>
        <w:rPr>
          <w:rFonts w:ascii="Courier New" w:cs="Courier New" w:eastAsia="Courier New" w:hAnsi="Courier New"/>
          <w:color w:val="444444"/>
          <w:sz w:val="18"/>
          <w:szCs w:val="18"/>
        </w:rPr>
        <w:t xml:space="preserve">    05_ml_migration.ipynb</w:t>
      </w:r>
    </w:p>
    <w:p>
      <w:pPr>
        <w:spacing w:after="30" w:before="30"/>
      </w:pPr>
      <w:r>
        <w:rPr>
          <w:rFonts w:ascii="Courier New" w:cs="Courier New" w:eastAsia="Courier New" w:hAnsi="Courier New"/>
          <w:color w:val="444444"/>
          <w:sz w:val="18"/>
          <w:szCs w:val="18"/>
        </w:rPr>
        <w:t xml:space="preserve">  src/</w:t>
      </w:r>
    </w:p>
    <w:p>
      <w:pPr>
        <w:spacing w:after="30" w:before="30"/>
      </w:pPr>
      <w:r>
        <w:rPr>
          <w:rFonts w:ascii="Courier New" w:cs="Courier New" w:eastAsia="Courier New" w:hAnsi="Courier New"/>
          <w:color w:val="444444"/>
          <w:sz w:val="18"/>
          <w:szCs w:val="18"/>
        </w:rPr>
        <w:t xml:space="preserve">    ingest/       # One script per data source</w:t>
      </w:r>
    </w:p>
    <w:p>
      <w:pPr>
        <w:spacing w:after="30" w:before="30"/>
      </w:pPr>
      <w:r>
        <w:rPr>
          <w:rFonts w:ascii="Courier New" w:cs="Courier New" w:eastAsia="Courier New" w:hAnsi="Courier New"/>
          <w:color w:val="444444"/>
          <w:sz w:val="18"/>
          <w:szCs w:val="18"/>
        </w:rPr>
        <w:t xml:space="preserve">    pipeline/     # Master Panel build scripts</w:t>
      </w:r>
    </w:p>
    <w:p>
      <w:pPr>
        <w:spacing w:after="30" w:before="30"/>
      </w:pPr>
      <w:r>
        <w:rPr>
          <w:rFonts w:ascii="Courier New" w:cs="Courier New" w:eastAsia="Courier New" w:hAnsi="Courier New"/>
          <w:color w:val="444444"/>
          <w:sz w:val="18"/>
          <w:szCs w:val="18"/>
        </w:rPr>
        <w:t xml:space="preserve">    models/       # ML training &amp; evaluation code</w:t>
      </w:r>
    </w:p>
    <w:p>
      <w:pPr>
        <w:spacing w:after="30" w:before="30"/>
      </w:pPr>
      <w:r>
        <w:rPr>
          <w:rFonts w:ascii="Courier New" w:cs="Courier New" w:eastAsia="Courier New" w:hAnsi="Courier New"/>
          <w:color w:val="444444"/>
          <w:sz w:val="18"/>
          <w:szCs w:val="18"/>
        </w:rPr>
        <w:t xml:space="preserve">    api/          # FastAPI application</w:t>
      </w:r>
    </w:p>
    <w:p>
      <w:pPr>
        <w:spacing w:after="30" w:before="30"/>
      </w:pPr>
      <w:r>
        <w:rPr>
          <w:rFonts w:ascii="Courier New" w:cs="Courier New" w:eastAsia="Courier New" w:hAnsi="Courier New"/>
          <w:color w:val="444444"/>
          <w:sz w:val="18"/>
          <w:szCs w:val="18"/>
        </w:rPr>
        <w:t xml:space="preserve">  dashboard/</w:t>
      </w:r>
    </w:p>
    <w:p>
      <w:pPr>
        <w:spacing w:after="30" w:before="30"/>
      </w:pPr>
      <w:r>
        <w:rPr>
          <w:rFonts w:ascii="Courier New" w:cs="Courier New" w:eastAsia="Courier New" w:hAnsi="Courier New"/>
          <w:color w:val="444444"/>
          <w:sz w:val="18"/>
          <w:szCs w:val="18"/>
        </w:rPr>
        <w:t xml:space="preserve">    src/          # React + TypeScript source</w:t>
      </w:r>
    </w:p>
    <w:p>
      <w:pPr>
        <w:spacing w:after="30" w:before="30"/>
      </w:pPr>
      <w:r>
        <w:rPr>
          <w:rFonts w:ascii="Courier New" w:cs="Courier New" w:eastAsia="Courier New" w:hAnsi="Courier New"/>
          <w:color w:val="444444"/>
          <w:sz w:val="18"/>
          <w:szCs w:val="18"/>
        </w:rPr>
        <w:t xml:space="preserve">    public/       # Static tiles and assets</w:t>
      </w:r>
    </w:p>
    <w:p>
      <w:pPr>
        <w:spacing w:after="30" w:before="30"/>
      </w:pPr>
      <w:r>
        <w:rPr>
          <w:rFonts w:ascii="Courier New" w:cs="Courier New" w:eastAsia="Courier New" w:hAnsi="Courier New"/>
          <w:color w:val="444444"/>
          <w:sz w:val="18"/>
          <w:szCs w:val="18"/>
        </w:rPr>
        <w:t xml:space="preserve">  docs/           # This document + methodology guides</w:t>
      </w:r>
    </w:p>
    <w:p>
      <w:pPr>
        <w:spacing w:after="30" w:before="30"/>
      </w:pPr>
      <w:r>
        <w:rPr>
          <w:rFonts w:ascii="Courier New" w:cs="Courier New" w:eastAsia="Courier New" w:hAnsi="Courier New"/>
          <w:color w:val="444444"/>
          <w:sz w:val="18"/>
          <w:szCs w:val="18"/>
        </w:rPr>
        <w:t xml:space="preserve">  tests/          # Unit and integration tests</w:t>
      </w:r>
    </w:p>
    <w:p>
      <w:pPr>
        <w:spacing w:after="30" w:before="30"/>
      </w:pPr>
      <w:r>
        <w:rPr>
          <w:rFonts w:ascii="Courier New" w:cs="Courier New" w:eastAsia="Courier New" w:hAnsi="Courier New"/>
          <w:color w:val="444444"/>
          <w:sz w:val="18"/>
          <w:szCs w:val="18"/>
        </w:rPr>
        <w:t xml:space="preserve">  README.md</w:t>
      </w:r>
    </w:p>
    <w:p>
      <w:pPr>
        <w:spacing w:after="30" w:before="30"/>
      </w:pPr>
      <w:r>
        <w:rPr>
          <w:rFonts w:ascii="Courier New" w:cs="Courier New" w:eastAsia="Courier New" w:hAnsi="Courier New"/>
          <w:color w:val="444444"/>
          <w:sz w:val="18"/>
          <w:szCs w:val="18"/>
        </w:rPr>
        <w:t xml:space="preserve">  requirements.txt  / pyproject.toml</w:t>
      </w:r>
    </w:p>
    <w:p>
      <w:pPr>
        <w:spacing w:after="30" w:before="30"/>
      </w:pPr>
      <w:r>
        <w:rPr>
          <w:rFonts w:ascii="Courier New" w:cs="Courier New" w:eastAsia="Courier New" w:hAnsi="Courier New"/>
          <w:color w:val="444444"/>
          <w:sz w:val="18"/>
          <w:szCs w:val="18"/>
        </w:rPr>
        <w:t xml:space="preserve">  package.json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Confidential — Working Draft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Global Freshwater Intelligence Project</w:t>
    </w:r>
    <w:r>
      <w:rPr>
        <w:rFonts w:ascii="Arial" w:cs="Arial" w:eastAsia="Arial" w:hAnsi="Arial"/>
        <w:color w:val="888888"/>
        <w:sz w:val="18"/>
        <w:szCs w:val="18"/>
      </w:rPr>
      <w:t xml:space="preserve">	Master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6B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2026-06-03T23:47:37.009Z</dcterms:created>
  <dcterms:modified xsi:type="dcterms:W3CDTF">2026-06-03T23:47:37.009Z</dcterms:modified>
</cp:coreProperties>
</file>

<file path=docProps/custom.xml><?xml version="1.0" encoding="utf-8"?>
<Properties xmlns="http://schemas.openxmlformats.org/officeDocument/2006/custom-properties" xmlns:vt="http://schemas.openxmlformats.org/officeDocument/2006/docPropsVTypes"/>
</file>