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60" w:after="40" w:line="259" w:lineRule="auto"/>
      </w:pPr>
      <w:r>
        <w:rPr>
          <w:rFonts w:ascii="Aptos" w:hAnsi="Aptos"/>
          <w:b/>
          <w:color w:val="14213D"/>
          <w:sz w:val="47"/>
        </w:rPr>
        <w:t>Helping learners turn finished projects into real understanding</w:t>
      </w:r>
    </w:p>
    <w:p>
      <w:pPr>
        <w:keepNext w:val="0"/>
        <w:keepLines/>
        <w:spacing w:before="0" w:after="140" w:line="269" w:lineRule="auto"/>
      </w:pPr>
      <w:r>
        <w:rPr>
          <w:rFonts w:ascii="Aptos" w:hAnsi="Aptos"/>
          <w:color w:val="596983"/>
          <w:sz w:val="22"/>
        </w:rPr>
        <w:t>A plain-language introduction to VivaRepo - and a few questions for Mom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39"/>
      </w:tblGrid>
      <w:tr>
        <w:tc>
          <w:tcPr>
            <w:tcW w:type="dxa" w:w="10454"/>
            <w:shd w:fill="EAF0FF"/>
            <w:tcMar>
              <w:top w:w="130" w:type="dxa"/>
              <w:start w:w="190" w:type="dxa"/>
              <w:bottom w:w="135" w:type="dxa"/>
              <w:end w:w="190" w:type="dxa"/>
            </w:tcMar>
            <w:tcBorders>
              <w:left w:val="single" w:sz="24" w:color="3155D9"/>
            </w:tcBorders>
          </w:tcPr>
          <w:p>
            <w:pPr>
              <w:keepNext/>
              <w:keepLines/>
              <w:spacing w:before="0" w:after="40" w:line="259" w:lineRule="auto"/>
            </w:pPr>
            <w:r>
              <w:rPr>
                <w:rFonts w:ascii="Aptos" w:hAnsi="Aptos"/>
                <w:b/>
                <w:color w:val="3155D9"/>
                <w:sz w:val="16"/>
              </w:rPr>
              <w:t>THE MAIN IDEA</w:t>
            </w:r>
          </w:p>
          <w:p>
            <w:pPr>
              <w:keepNext w:val="0"/>
              <w:keepLines/>
              <w:spacing w:before="0" w:after="0" w:line="271" w:lineRule="auto"/>
            </w:pPr>
            <w:r>
              <w:rPr>
                <w:rFonts w:ascii="Aptos" w:hAnsi="Aptos"/>
                <w:b/>
                <w:color w:val="14213D"/>
                <w:sz w:val="22"/>
              </w:rPr>
              <w:t>VivaRepo is like a learning check-up for a coding project. It looks at what a learner's project contains, then helps the learner show what they can explain, troubleshoot, and rebuild on their own.</w:t>
            </w:r>
          </w:p>
        </w:tc>
      </w:tr>
    </w:tbl>
    <w:p>
      <w:pPr>
        <w:keepNext/>
        <w:keepLines/>
        <w:spacing w:before="120" w:after="60" w:line="259" w:lineRule="auto"/>
      </w:pPr>
      <w:r>
        <w:rPr>
          <w:rFonts w:ascii="Aptos" w:hAnsi="Aptos"/>
          <w:b/>
          <w:color w:val="3155D9"/>
          <w:sz w:val="16"/>
        </w:rPr>
        <w:t>WHY IT EXISTS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054"/>
            <w:vAlign w:val="center"/>
            <w:shd w:fill="F5F7FB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keepNext/>
              <w:keepLines/>
              <w:spacing w:before="0" w:after="40" w:line="259" w:lineRule="auto"/>
            </w:pPr>
            <w:r>
              <w:rPr>
                <w:rFonts w:ascii="Aptos" w:hAnsi="Aptos"/>
                <w:b/>
                <w:color w:val="3155D9"/>
                <w:sz w:val="20"/>
              </w:rPr>
              <w:t>The problem</w:t>
            </w:r>
          </w:p>
          <w:p>
            <w:pPr>
              <w:keepNext w:val="0"/>
              <w:keepLines/>
              <w:spacing w:before="0" w:after="0" w:line="271" w:lineRule="auto"/>
            </w:pPr>
            <w:r>
              <w:rPr>
                <w:rFonts w:ascii="Aptos" w:hAnsi="Aptos"/>
                <w:color w:val="24324B"/>
                <w:sz w:val="19"/>
              </w:rPr>
              <w:t>AI tools can help someone finish a sophisticated project quickly. But finishing the work does not always mean the person can explain the choices, find a problem, or adapt the work without help.</w:t>
            </w:r>
          </w:p>
        </w:tc>
        <w:tc>
          <w:tcPr>
            <w:tcW w:type="dxa" w:w="5054"/>
            <w:vAlign w:val="center"/>
            <w:shd w:fill="F5F7FB"/>
            <w:tcMar>
              <w:top w:w="105" w:type="dxa"/>
              <w:start w:w="145" w:type="dxa"/>
              <w:bottom w:w="105" w:type="dxa"/>
              <w:end w:w="145" w:type="dxa"/>
            </w:tcMar>
          </w:tcPr>
          <w:p>
            <w:pPr>
              <w:keepNext/>
              <w:keepLines/>
              <w:spacing w:before="0" w:after="40" w:line="259" w:lineRule="auto"/>
            </w:pPr>
            <w:r>
              <w:rPr>
                <w:rFonts w:ascii="Aptos" w:hAnsi="Aptos"/>
                <w:b/>
                <w:color w:val="3155D9"/>
                <w:sz w:val="20"/>
              </w:rPr>
              <w:t>The opportunity</w:t>
            </w:r>
          </w:p>
          <w:p>
            <w:pPr>
              <w:keepNext w:val="0"/>
              <w:keepLines/>
              <w:spacing w:before="0" w:after="0" w:line="271" w:lineRule="auto"/>
            </w:pPr>
            <w:r>
              <w:rPr>
                <w:rFonts w:ascii="Aptos" w:hAnsi="Aptos"/>
                <w:color w:val="24324B"/>
                <w:sz w:val="19"/>
              </w:rPr>
              <w:t>Instead of judging or banning AI use, VivaRepo turns the learner's own project into personalized practice. The goal is honest confidence: knowing what is understood and what still needs work.</w:t>
            </w:r>
          </w:p>
        </w:tc>
      </w:tr>
    </w:tbl>
    <w:p>
      <w:pPr>
        <w:keepNext/>
        <w:keepLines/>
        <w:spacing w:before="120" w:after="60" w:line="259" w:lineRule="auto"/>
      </w:pPr>
      <w:r>
        <w:rPr>
          <w:rFonts w:ascii="Aptos" w:hAnsi="Aptos"/>
          <w:b/>
          <w:color w:val="3155D9"/>
          <w:sz w:val="16"/>
        </w:rPr>
        <w:t>HOW IT WOULD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054"/>
            <w:vAlign w:val="center"/>
            <w:tcMar>
              <w:top w:w="68" w:type="dxa"/>
              <w:start w:w="90" w:type="dxa"/>
              <w:bottom w:w="68" w:type="dxa"/>
              <w:end w:w="110" w:type="dxa"/>
            </w:tcMar>
          </w:tcPr>
          <w:p>
            <w:pPr>
              <w:keepNext/>
              <w:keepLines/>
              <w:spacing w:before="0" w:after="20" w:line="259" w:lineRule="auto"/>
            </w:pPr>
            <w:r>
              <w:rPr>
                <w:rFonts w:ascii="Aptos" w:hAnsi="Aptos"/>
                <w:b/>
                <w:color w:val="3155D9"/>
                <w:sz w:val="20"/>
              </w:rPr>
              <w:t xml:space="preserve">1  </w:t>
            </w:r>
            <w:r>
              <w:rPr>
                <w:rFonts w:ascii="Aptos" w:hAnsi="Aptos"/>
                <w:b/>
                <w:color w:val="14213D"/>
                <w:sz w:val="20"/>
              </w:rPr>
              <w:t>Bring in a project</w:t>
            </w:r>
          </w:p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Aptos" w:hAnsi="Aptos"/>
                <w:color w:val="596983"/>
                <w:sz w:val="18"/>
              </w:rPr>
              <w:t>The learner chooses a project and confirms which files may be reviewed.</w:t>
            </w:r>
          </w:p>
        </w:tc>
        <w:tc>
          <w:tcPr>
            <w:tcW w:type="dxa" w:w="5054"/>
            <w:vAlign w:val="center"/>
            <w:tcMar>
              <w:top w:w="68" w:type="dxa"/>
              <w:start w:w="90" w:type="dxa"/>
              <w:bottom w:w="68" w:type="dxa"/>
              <w:end w:w="110" w:type="dxa"/>
            </w:tcMar>
          </w:tcPr>
          <w:p>
            <w:pPr>
              <w:keepNext/>
              <w:keepLines/>
              <w:spacing w:before="0" w:after="20" w:line="259" w:lineRule="auto"/>
            </w:pPr>
            <w:r>
              <w:rPr>
                <w:rFonts w:ascii="Aptos" w:hAnsi="Aptos"/>
                <w:b/>
                <w:color w:val="3155D9"/>
                <w:sz w:val="20"/>
              </w:rPr>
              <w:t xml:space="preserve">2  </w:t>
            </w:r>
            <w:r>
              <w:rPr>
                <w:rFonts w:ascii="Aptos" w:hAnsi="Aptos"/>
                <w:b/>
                <w:color w:val="14213D"/>
                <w:sz w:val="20"/>
              </w:rPr>
              <w:t>Create a learning map</w:t>
            </w:r>
          </w:p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Aptos" w:hAnsi="Aptos"/>
                <w:color w:val="596983"/>
                <w:sz w:val="18"/>
              </w:rPr>
              <w:t>VivaRepo identifies the ideas and skills that appear in the work.</w:t>
            </w:r>
          </w:p>
        </w:tc>
      </w:tr>
      <w:tr>
        <w:tc>
          <w:tcPr>
            <w:tcW w:type="dxa" w:w="5054"/>
            <w:vAlign w:val="center"/>
            <w:tcMar>
              <w:top w:w="68" w:type="dxa"/>
              <w:start w:w="90" w:type="dxa"/>
              <w:bottom w:w="68" w:type="dxa"/>
              <w:end w:w="110" w:type="dxa"/>
            </w:tcMar>
          </w:tcPr>
          <w:p>
            <w:pPr>
              <w:keepNext/>
              <w:keepLines/>
              <w:spacing w:before="0" w:after="20" w:line="259" w:lineRule="auto"/>
            </w:pPr>
            <w:r>
              <w:rPr>
                <w:rFonts w:ascii="Aptos" w:hAnsi="Aptos"/>
                <w:b/>
                <w:color w:val="3155D9"/>
                <w:sz w:val="20"/>
              </w:rPr>
              <w:t xml:space="preserve">3  </w:t>
            </w:r>
            <w:r>
              <w:rPr>
                <w:rFonts w:ascii="Aptos" w:hAnsi="Aptos"/>
                <w:b/>
                <w:color w:val="14213D"/>
                <w:sz w:val="20"/>
              </w:rPr>
              <w:t>Show understanding</w:t>
            </w:r>
          </w:p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Aptos" w:hAnsi="Aptos"/>
                <w:color w:val="596983"/>
                <w:sz w:val="18"/>
              </w:rPr>
              <w:t>The learner explains, follows, troubleshoots, changes, or rebuilds selected parts.</w:t>
            </w:r>
          </w:p>
        </w:tc>
        <w:tc>
          <w:tcPr>
            <w:tcW w:type="dxa" w:w="5054"/>
            <w:vAlign w:val="center"/>
            <w:tcMar>
              <w:top w:w="68" w:type="dxa"/>
              <w:start w:w="90" w:type="dxa"/>
              <w:bottom w:w="68" w:type="dxa"/>
              <w:end w:w="110" w:type="dxa"/>
            </w:tcMar>
          </w:tcPr>
          <w:p>
            <w:pPr>
              <w:keepNext/>
              <w:keepLines/>
              <w:spacing w:before="0" w:after="20" w:line="259" w:lineRule="auto"/>
            </w:pPr>
            <w:r>
              <w:rPr>
                <w:rFonts w:ascii="Aptos" w:hAnsi="Aptos"/>
                <w:b/>
                <w:color w:val="3155D9"/>
                <w:sz w:val="20"/>
              </w:rPr>
              <w:t xml:space="preserve">4  </w:t>
            </w:r>
            <w:r>
              <w:rPr>
                <w:rFonts w:ascii="Aptos" w:hAnsi="Aptos"/>
                <w:b/>
                <w:color w:val="14213D"/>
                <w:sz w:val="20"/>
              </w:rPr>
              <w:t>Practice the gaps</w:t>
            </w:r>
          </w:p>
          <w:p>
            <w:pPr>
              <w:keepNext w:val="0"/>
              <w:keepLines/>
              <w:spacing w:before="0" w:after="0" w:line="264" w:lineRule="auto"/>
            </w:pPr>
            <w:r>
              <w:rPr>
                <w:rFonts w:ascii="Aptos" w:hAnsi="Aptos"/>
                <w:color w:val="596983"/>
                <w:sz w:val="18"/>
              </w:rPr>
              <w:t>The learner sees strengths, weak spots, and focused next steps for improvement.</w:t>
            </w:r>
          </w:p>
        </w:tc>
      </w:tr>
    </w:tbl>
    <w:p>
      <w:pPr>
        <w:keepNext/>
        <w:keepLines/>
        <w:spacing w:before="120" w:after="60" w:line="259" w:lineRule="auto"/>
      </w:pPr>
      <w:r>
        <w:rPr>
          <w:rFonts w:ascii="Aptos" w:hAnsi="Aptos"/>
          <w:b/>
          <w:color w:val="3155D9"/>
          <w:sz w:val="16"/>
        </w:rPr>
        <w:t>DESIGNED TO BE SUPPORTIVE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054"/>
            <w:tcMar>
              <w:top w:w="85" w:type="dxa"/>
              <w:start w:w="135" w:type="dxa"/>
              <w:bottom w:w="85" w:type="dxa"/>
              <w:end w:w="135" w:type="dxa"/>
            </w:tcMar>
            <w:shd w:fill="EAF7F2"/>
          </w:tcPr>
          <w:p>
            <w:pPr>
              <w:keepNext/>
              <w:keepLines/>
              <w:spacing w:before="0" w:after="40" w:line="259" w:lineRule="auto"/>
            </w:pPr>
            <w:r>
              <w:rPr>
                <w:rFonts w:ascii="Aptos" w:hAnsi="Aptos"/>
                <w:b/>
                <w:color w:val="13795B"/>
                <w:sz w:val="20"/>
              </w:rPr>
              <w:t>What it is</w:t>
            </w:r>
          </w:p>
          <w:p>
            <w:pPr>
              <w:keepNext w:val="0"/>
              <w:keepLines/>
              <w:spacing w:before="0" w:after="0" w:line="271" w:lineRule="auto"/>
            </w:pPr>
            <w:r>
              <w:rPr>
                <w:rFonts w:ascii="Aptos" w:hAnsi="Aptos"/>
                <w:color w:val="24324B"/>
                <w:sz w:val="19"/>
              </w:rPr>
              <w:t>A private, evidence-based learning coach that encourages independent thinking and shows where feedback came from.</w:t>
            </w:r>
          </w:p>
        </w:tc>
        <w:tc>
          <w:tcPr>
            <w:tcW w:type="dxa" w:w="5054"/>
            <w:tcMar>
              <w:top w:w="85" w:type="dxa"/>
              <w:start w:w="135" w:type="dxa"/>
              <w:bottom w:w="85" w:type="dxa"/>
              <w:end w:w="135" w:type="dxa"/>
            </w:tcMar>
            <w:shd w:fill="FFF2F2"/>
          </w:tcPr>
          <w:p>
            <w:pPr>
              <w:keepNext/>
              <w:keepLines/>
              <w:spacing w:before="0" w:after="40" w:line="259" w:lineRule="auto"/>
            </w:pPr>
            <w:r>
              <w:rPr>
                <w:rFonts w:ascii="Aptos" w:hAnsi="Aptos"/>
                <w:b/>
                <w:color w:val="A23B3B"/>
                <w:sz w:val="20"/>
              </w:rPr>
              <w:t>What it is not</w:t>
            </w:r>
          </w:p>
          <w:p>
            <w:pPr>
              <w:keepNext w:val="0"/>
              <w:keepLines/>
              <w:spacing w:before="0" w:after="0" w:line="271" w:lineRule="auto"/>
            </w:pPr>
            <w:r>
              <w:rPr>
                <w:rFonts w:ascii="Aptos" w:hAnsi="Aptos"/>
                <w:color w:val="24324B"/>
                <w:sz w:val="19"/>
              </w:rPr>
              <w:t>A cheating detector, a punishment tool, a replacement for a teacher, or a single score that claims someone is job-ready.</w:t>
            </w:r>
          </w:p>
        </w:tc>
      </w:tr>
    </w:tbl>
    <w:p>
      <w:pPr>
        <w:keepNext/>
        <w:keepLines/>
        <w:spacing w:before="120" w:after="60" w:line="259" w:lineRule="auto"/>
      </w:pPr>
      <w:r>
        <w:rPr>
          <w:rFonts w:ascii="Aptos" w:hAnsi="Aptos"/>
          <w:b/>
          <w:color w:val="3155D9"/>
          <w:sz w:val="16"/>
        </w:rPr>
        <w:t>WHY YOUR NURSING PERSPECTIVE MATTERS</w:t>
      </w:r>
    </w:p>
    <w:p>
      <w:pPr>
        <w:keepNext w:val="0"/>
        <w:keepLines/>
        <w:spacing w:before="0" w:after="80" w:line="269" w:lineRule="auto"/>
      </w:pPr>
      <w:r>
        <w:rPr>
          <w:rFonts w:ascii="Aptos" w:hAnsi="Aptos"/>
          <w:color w:val="24324B"/>
          <w:sz w:val="19"/>
        </w:rPr>
        <w:t>Clinical education also distinguishes between seeing or studying something and demonstrating competence. Your experience can help shape feedback that is fair, useful, confidence-building, and appropriately cautious.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054"/>
            <w:shd w:fill="F5F7FB"/>
            <w:tcMar>
              <w:top w:w="95" w:type="dxa"/>
              <w:start w:w="140" w:type="dxa"/>
              <w:bottom w:w="90" w:type="dxa"/>
              <w:end w:w="140" w:type="dxa"/>
            </w:tcMar>
          </w:tcPr>
          <w:p>
            <w:pPr>
              <w:keepNext/>
              <w:keepLines/>
              <w:spacing w:before="0" w:after="40" w:line="259" w:lineRule="auto"/>
            </w:pPr>
            <w:r>
              <w:rPr>
                <w:rFonts w:ascii="Aptos" w:hAnsi="Aptos"/>
                <w:b/>
                <w:color w:val="3155D9"/>
                <w:sz w:val="15"/>
              </w:rPr>
              <w:t>THOUGHT STARTERS</w:t>
            </w:r>
          </w:p>
          <w:p>
            <w:pPr>
              <w:keepNext w:val="0"/>
              <w:keepLines/>
              <w:spacing w:before="0" w:after="30" w:line="254" w:lineRule="auto"/>
              <w:ind w:left="29"/>
            </w:pPr>
            <w:r>
              <w:rPr>
                <w:rFonts w:ascii="Aptos" w:hAnsi="Aptos"/>
                <w:b/>
                <w:color w:val="3155D9"/>
                <w:sz w:val="18"/>
              </w:rPr>
              <w:t xml:space="preserve">•  </w:t>
            </w:r>
            <w:r>
              <w:rPr>
                <w:rFonts w:ascii="Aptos" w:hAnsi="Aptos"/>
                <w:color w:val="24324B"/>
                <w:sz w:val="17"/>
              </w:rPr>
              <w:t>Does the difference between exposure and mastery feel clear and fair?</w:t>
            </w:r>
          </w:p>
          <w:p>
            <w:pPr>
              <w:keepNext w:val="0"/>
              <w:keepLines/>
              <w:spacing w:before="0" w:after="30" w:line="254" w:lineRule="auto"/>
              <w:ind w:left="29"/>
            </w:pPr>
            <w:r>
              <w:rPr>
                <w:rFonts w:ascii="Aptos" w:hAnsi="Aptos"/>
                <w:b/>
                <w:color w:val="3155D9"/>
                <w:sz w:val="18"/>
              </w:rPr>
              <w:t xml:space="preserve">•  </w:t>
            </w:r>
            <w:r>
              <w:rPr>
                <w:rFonts w:ascii="Aptos" w:hAnsi="Aptos"/>
                <w:color w:val="24324B"/>
                <w:sz w:val="17"/>
              </w:rPr>
              <w:t>What makes a skills check feel supportive rather than shaming?</w:t>
            </w:r>
          </w:p>
          <w:p>
            <w:pPr>
              <w:keepNext w:val="0"/>
              <w:keepLines/>
              <w:spacing w:before="0" w:after="30" w:line="254" w:lineRule="auto"/>
              <w:ind w:left="29"/>
            </w:pPr>
            <w:r>
              <w:rPr>
                <w:rFonts w:ascii="Aptos" w:hAnsi="Aptos"/>
                <w:b/>
                <w:color w:val="3155D9"/>
                <w:sz w:val="18"/>
              </w:rPr>
              <w:t xml:space="preserve">•  </w:t>
            </w:r>
            <w:r>
              <w:rPr>
                <w:rFonts w:ascii="Aptos" w:hAnsi="Aptos"/>
                <w:color w:val="24324B"/>
                <w:sz w:val="17"/>
              </w:rPr>
              <w:t>Which privacy or safety concerns would you ask about first?</w:t>
            </w:r>
          </w:p>
        </w:tc>
        <w:tc>
          <w:tcPr>
            <w:tcW w:type="dxa" w:w="5054"/>
            <w:shd w:fill="F5F7FB"/>
            <w:tcMar>
              <w:top w:w="95" w:type="dxa"/>
              <w:start w:w="140" w:type="dxa"/>
              <w:bottom w:w="90" w:type="dxa"/>
              <w:end w:w="140" w:type="dxa"/>
            </w:tcMar>
          </w:tcPr>
          <w:p>
            <w:pPr>
              <w:keepNext/>
              <w:keepLines/>
              <w:spacing w:before="0" w:after="40" w:line="259" w:lineRule="auto"/>
            </w:pPr>
            <w:r>
              <w:rPr>
                <w:rFonts w:ascii="Aptos" w:hAnsi="Aptos"/>
                <w:b/>
                <w:color w:val="3155D9"/>
                <w:sz w:val="15"/>
              </w:rPr>
              <w:t>THOUGHT STARTERS</w:t>
            </w:r>
          </w:p>
          <w:p>
            <w:pPr>
              <w:keepNext w:val="0"/>
              <w:keepLines/>
              <w:spacing w:before="0" w:after="30" w:line="254" w:lineRule="auto"/>
              <w:ind w:left="29"/>
            </w:pPr>
            <w:r>
              <w:rPr>
                <w:rFonts w:ascii="Aptos" w:hAnsi="Aptos"/>
                <w:b/>
                <w:color w:val="3155D9"/>
                <w:sz w:val="18"/>
              </w:rPr>
              <w:t xml:space="preserve">•  </w:t>
            </w:r>
            <w:r>
              <w:rPr>
                <w:rFonts w:ascii="Aptos" w:hAnsi="Aptos"/>
                <w:color w:val="24324B"/>
                <w:sz w:val="17"/>
              </w:rPr>
              <w:t>What can this borrow from good clinical teaching or competency checks?</w:t>
            </w:r>
          </w:p>
          <w:p>
            <w:pPr>
              <w:keepNext w:val="0"/>
              <w:keepLines/>
              <w:spacing w:before="0" w:after="30" w:line="254" w:lineRule="auto"/>
              <w:ind w:left="29"/>
            </w:pPr>
            <w:r>
              <w:rPr>
                <w:rFonts w:ascii="Aptos" w:hAnsi="Aptos"/>
                <w:b/>
                <w:color w:val="3155D9"/>
                <w:sz w:val="18"/>
              </w:rPr>
              <w:t xml:space="preserve">•  </w:t>
            </w:r>
            <w:r>
              <w:rPr>
                <w:rFonts w:ascii="Aptos" w:hAnsi="Aptos"/>
                <w:color w:val="24324B"/>
                <w:sz w:val="17"/>
              </w:rPr>
              <w:t>What would make the progress feedback genuinely motivating?</w:t>
            </w:r>
          </w:p>
        </w:tc>
      </w:tr>
    </w:tbl>
    <w:p>
      <w:pPr>
        <w:keepNext w:val="0"/>
        <w:keepLines/>
        <w:spacing w:before="100" w:after="0" w:line="259" w:lineRule="auto"/>
      </w:pPr>
      <w:r>
        <w:rPr>
          <w:rFonts w:ascii="Aptos" w:hAnsi="Aptos"/>
          <w:b/>
          <w:color w:val="3155D9"/>
          <w:sz w:val="15"/>
        </w:rPr>
        <w:t xml:space="preserve">WHERE IT STANDS  </w:t>
      </w:r>
      <w:r>
        <w:rPr>
          <w:rFonts w:ascii="Aptos" w:hAnsi="Aptos"/>
          <w:color w:val="596983"/>
          <w:sz w:val="17"/>
        </w:rPr>
        <w:t>VivaRepo is in an early build stage. A basic website is working; the project-review, personalized assessment, and progress features are the main experience still being built.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93" w:bottom="605" w:left="893" w:header="317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spacing w:before="0" w:after="0" w:line="259" w:lineRule="auto"/>
      <w:jc w:val="center"/>
    </w:pPr>
    <w:r>
      <w:rPr>
        <w:rFonts w:ascii="Aptos" w:hAnsi="Aptos"/>
        <w:color w:val="596983"/>
        <w:sz w:val="15"/>
      </w:rPr>
      <w:t>VivaRepo  •  A portfolio project about responsible AI-assisted learning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spacing w:before="0" w:after="40" w:line="259" w:lineRule="auto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27"/>
      <w:gridCol w:w="5227"/>
    </w:tblGrid>
    <w:tr>
      <w:tc>
        <w:tcPr>
          <w:tcW w:type="dxa" w:w="5227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2" w:color="C8DAFF"/>
          </w:tcBorders>
        </w:tcPr>
        <w:p>
          <w:pPr>
            <w:keepNext w:val="0"/>
            <w:keepLines/>
            <w:spacing w:before="0" w:after="0" w:line="259" w:lineRule="auto"/>
          </w:pPr>
          <w:r>
            <w:rPr>
              <w:rFonts w:ascii="Aptos" w:hAnsi="Aptos"/>
              <w:b/>
              <w:color w:val="14213D"/>
              <w:sz w:val="21"/>
            </w:rPr>
            <w:t>VivaRepo</w:t>
          </w:r>
        </w:p>
      </w:tc>
      <w:tc>
        <w:tcPr>
          <w:tcW w:type="dxa" w:w="5227"/>
          <w:tcMar>
            <w:top w:w="0" w:type="dxa"/>
            <w:start w:w="0" w:type="dxa"/>
            <w:bottom w:w="35" w:type="dxa"/>
            <w:end w:w="0" w:type="dxa"/>
          </w:tcMar>
          <w:tcBorders>
            <w:bottom w:val="single" w:sz="12" w:color="C8DAFF"/>
          </w:tcBorders>
        </w:tcPr>
        <w:p>
          <w:pPr>
            <w:keepNext w:val="0"/>
            <w:keepLines/>
            <w:spacing w:before="0" w:after="0" w:line="259" w:lineRule="auto"/>
            <w:jc w:val="right"/>
          </w:pPr>
          <w:r>
            <w:rPr>
              <w:rFonts w:ascii="Aptos" w:hAnsi="Aptos"/>
              <w:b/>
              <w:color w:val="596983"/>
              <w:sz w:val="15"/>
            </w:rPr>
            <w:t>CONVERSATION DRAFT  |  AUGUST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ptos" w:hAnsi="Aptos"/>
      <w:color w:val="2432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VivaRepo - Plain-Language One-Pager</dc:title>
  <dc:subject>Conversation draft for family feedback</dc:subject>
  <dc:creator>VivaRepo Project</dc:creator>
  <cp:keywords>VivaRepo, learning, responsible AI, project mastery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