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bookmarkStart w:id="0" w:name="_GoBack"/>
      <w:bookmarkEnd w:id="0"/>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28711B" w:rsidP="0082263E">
      <w:pPr>
        <w:jc w:val="center"/>
        <w:rPr>
          <w:rFonts w:ascii="Arial" w:hAnsi="Arial" w:cs="Arial"/>
          <w:b/>
          <w:color w:val="365F91"/>
        </w:rPr>
      </w:pPr>
      <w:r>
        <w:rPr>
          <w:rFonts w:ascii="Arial" w:hAnsi="Arial" w:cs="Arial"/>
          <w:b/>
          <w:color w:val="365F91"/>
        </w:rPr>
        <w:t>May 30</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E21E1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7676417" w:history="1">
            <w:r w:rsidR="00E21E1E" w:rsidRPr="00215BC8">
              <w:rPr>
                <w:rStyle w:val="Hyperlink"/>
                <w:noProof/>
              </w:rPr>
              <w:t>Introduction</w:t>
            </w:r>
            <w:r w:rsidR="00E21E1E">
              <w:rPr>
                <w:noProof/>
                <w:webHidden/>
              </w:rPr>
              <w:tab/>
            </w:r>
            <w:r w:rsidR="00E21E1E">
              <w:rPr>
                <w:noProof/>
                <w:webHidden/>
              </w:rPr>
              <w:fldChar w:fldCharType="begin"/>
            </w:r>
            <w:r w:rsidR="00E21E1E">
              <w:rPr>
                <w:noProof/>
                <w:webHidden/>
              </w:rPr>
              <w:instrText xml:space="preserve"> PAGEREF _Toc357676417 \h </w:instrText>
            </w:r>
            <w:r w:rsidR="00E21E1E">
              <w:rPr>
                <w:noProof/>
                <w:webHidden/>
              </w:rPr>
            </w:r>
            <w:r w:rsidR="00E21E1E">
              <w:rPr>
                <w:noProof/>
                <w:webHidden/>
              </w:rPr>
              <w:fldChar w:fldCharType="separate"/>
            </w:r>
            <w:r w:rsidR="005345C6">
              <w:rPr>
                <w:noProof/>
                <w:webHidden/>
              </w:rPr>
              <w:t>3</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18" w:history="1">
            <w:r w:rsidR="00E21E1E" w:rsidRPr="00215BC8">
              <w:rPr>
                <w:rStyle w:val="Hyperlink"/>
                <w:noProof/>
              </w:rPr>
              <w:t>System Requirements</w:t>
            </w:r>
            <w:r w:rsidR="00E21E1E">
              <w:rPr>
                <w:noProof/>
                <w:webHidden/>
              </w:rPr>
              <w:tab/>
            </w:r>
            <w:r w:rsidR="00E21E1E">
              <w:rPr>
                <w:noProof/>
                <w:webHidden/>
              </w:rPr>
              <w:fldChar w:fldCharType="begin"/>
            </w:r>
            <w:r w:rsidR="00E21E1E">
              <w:rPr>
                <w:noProof/>
                <w:webHidden/>
              </w:rPr>
              <w:instrText xml:space="preserve"> PAGEREF _Toc357676418 \h </w:instrText>
            </w:r>
            <w:r w:rsidR="00E21E1E">
              <w:rPr>
                <w:noProof/>
                <w:webHidden/>
              </w:rPr>
            </w:r>
            <w:r w:rsidR="00E21E1E">
              <w:rPr>
                <w:noProof/>
                <w:webHidden/>
              </w:rPr>
              <w:fldChar w:fldCharType="separate"/>
            </w:r>
            <w:r w:rsidR="005345C6">
              <w:rPr>
                <w:noProof/>
                <w:webHidden/>
              </w:rPr>
              <w:t>4</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19" w:history="1">
            <w:r w:rsidR="00E21E1E" w:rsidRPr="00215BC8">
              <w:rPr>
                <w:rStyle w:val="Hyperlink"/>
                <w:noProof/>
              </w:rPr>
              <w:t>Installation and Setup</w:t>
            </w:r>
            <w:r w:rsidR="00E21E1E">
              <w:rPr>
                <w:noProof/>
                <w:webHidden/>
              </w:rPr>
              <w:tab/>
            </w:r>
            <w:r w:rsidR="00E21E1E">
              <w:rPr>
                <w:noProof/>
                <w:webHidden/>
              </w:rPr>
              <w:fldChar w:fldCharType="begin"/>
            </w:r>
            <w:r w:rsidR="00E21E1E">
              <w:rPr>
                <w:noProof/>
                <w:webHidden/>
              </w:rPr>
              <w:instrText xml:space="preserve"> PAGEREF _Toc357676419 \h </w:instrText>
            </w:r>
            <w:r w:rsidR="00E21E1E">
              <w:rPr>
                <w:noProof/>
                <w:webHidden/>
              </w:rPr>
            </w:r>
            <w:r w:rsidR="00E21E1E">
              <w:rPr>
                <w:noProof/>
                <w:webHidden/>
              </w:rPr>
              <w:fldChar w:fldCharType="separate"/>
            </w:r>
            <w:r w:rsidR="005345C6">
              <w:rPr>
                <w:noProof/>
                <w:webHidden/>
              </w:rPr>
              <w:t>4</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0" w:history="1">
            <w:r w:rsidR="00E21E1E" w:rsidRPr="00215BC8">
              <w:rPr>
                <w:rStyle w:val="Hyperlink"/>
                <w:noProof/>
              </w:rPr>
              <w:t>Basic Operating Tutorial</w:t>
            </w:r>
            <w:r w:rsidR="00E21E1E">
              <w:rPr>
                <w:noProof/>
                <w:webHidden/>
              </w:rPr>
              <w:tab/>
            </w:r>
            <w:r w:rsidR="00E21E1E">
              <w:rPr>
                <w:noProof/>
                <w:webHidden/>
              </w:rPr>
              <w:fldChar w:fldCharType="begin"/>
            </w:r>
            <w:r w:rsidR="00E21E1E">
              <w:rPr>
                <w:noProof/>
                <w:webHidden/>
              </w:rPr>
              <w:instrText xml:space="preserve"> PAGEREF _Toc357676420 \h </w:instrText>
            </w:r>
            <w:r w:rsidR="00E21E1E">
              <w:rPr>
                <w:noProof/>
                <w:webHidden/>
              </w:rPr>
            </w:r>
            <w:r w:rsidR="00E21E1E">
              <w:rPr>
                <w:noProof/>
                <w:webHidden/>
              </w:rPr>
              <w:fldChar w:fldCharType="separate"/>
            </w:r>
            <w:r w:rsidR="005345C6">
              <w:rPr>
                <w:noProof/>
                <w:webHidden/>
              </w:rPr>
              <w:t>6</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1" w:history="1">
            <w:r w:rsidR="00E21E1E" w:rsidRPr="00215BC8">
              <w:rPr>
                <w:rStyle w:val="Hyperlink"/>
                <w:noProof/>
              </w:rPr>
              <w:t>Making QSOs</w:t>
            </w:r>
            <w:r w:rsidR="00E21E1E">
              <w:rPr>
                <w:noProof/>
                <w:webHidden/>
              </w:rPr>
              <w:tab/>
            </w:r>
            <w:r w:rsidR="00E21E1E">
              <w:rPr>
                <w:noProof/>
                <w:webHidden/>
              </w:rPr>
              <w:fldChar w:fldCharType="begin"/>
            </w:r>
            <w:r w:rsidR="00E21E1E">
              <w:rPr>
                <w:noProof/>
                <w:webHidden/>
              </w:rPr>
              <w:instrText xml:space="preserve"> PAGEREF _Toc357676421 \h </w:instrText>
            </w:r>
            <w:r w:rsidR="00E21E1E">
              <w:rPr>
                <w:noProof/>
                <w:webHidden/>
              </w:rPr>
            </w:r>
            <w:r w:rsidR="00E21E1E">
              <w:rPr>
                <w:noProof/>
                <w:webHidden/>
              </w:rPr>
              <w:fldChar w:fldCharType="separate"/>
            </w:r>
            <w:r w:rsidR="005345C6">
              <w:rPr>
                <w:noProof/>
                <w:webHidden/>
              </w:rPr>
              <w:t>9</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2" w:history="1">
            <w:r w:rsidR="00E21E1E" w:rsidRPr="00215BC8">
              <w:rPr>
                <w:rStyle w:val="Hyperlink"/>
                <w:noProof/>
              </w:rPr>
              <w:t>On-Screen Controls</w:t>
            </w:r>
            <w:r w:rsidR="00E21E1E">
              <w:rPr>
                <w:noProof/>
                <w:webHidden/>
              </w:rPr>
              <w:tab/>
            </w:r>
            <w:r w:rsidR="00E21E1E">
              <w:rPr>
                <w:noProof/>
                <w:webHidden/>
              </w:rPr>
              <w:fldChar w:fldCharType="begin"/>
            </w:r>
            <w:r w:rsidR="00E21E1E">
              <w:rPr>
                <w:noProof/>
                <w:webHidden/>
              </w:rPr>
              <w:instrText xml:space="preserve"> PAGEREF _Toc357676422 \h </w:instrText>
            </w:r>
            <w:r w:rsidR="00E21E1E">
              <w:rPr>
                <w:noProof/>
                <w:webHidden/>
              </w:rPr>
            </w:r>
            <w:r w:rsidR="00E21E1E">
              <w:rPr>
                <w:noProof/>
                <w:webHidden/>
              </w:rPr>
              <w:fldChar w:fldCharType="separate"/>
            </w:r>
            <w:r w:rsidR="005345C6">
              <w:rPr>
                <w:noProof/>
                <w:webHidden/>
              </w:rPr>
              <w:t>10</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3" w:history="1">
            <w:r w:rsidR="00E21E1E" w:rsidRPr="00215BC8">
              <w:rPr>
                <w:rStyle w:val="Hyperlink"/>
                <w:noProof/>
              </w:rPr>
              <w:t>Status Bar</w:t>
            </w:r>
            <w:r w:rsidR="00E21E1E">
              <w:rPr>
                <w:noProof/>
                <w:webHidden/>
              </w:rPr>
              <w:tab/>
            </w:r>
            <w:r w:rsidR="00E21E1E">
              <w:rPr>
                <w:noProof/>
                <w:webHidden/>
              </w:rPr>
              <w:fldChar w:fldCharType="begin"/>
            </w:r>
            <w:r w:rsidR="00E21E1E">
              <w:rPr>
                <w:noProof/>
                <w:webHidden/>
              </w:rPr>
              <w:instrText xml:space="preserve"> PAGEREF _Toc357676423 \h </w:instrText>
            </w:r>
            <w:r w:rsidR="00E21E1E">
              <w:rPr>
                <w:noProof/>
                <w:webHidden/>
              </w:rPr>
            </w:r>
            <w:r w:rsidR="00E21E1E">
              <w:rPr>
                <w:noProof/>
                <w:webHidden/>
              </w:rPr>
              <w:fldChar w:fldCharType="separate"/>
            </w:r>
            <w:r w:rsidR="005345C6">
              <w:rPr>
                <w:noProof/>
                <w:webHidden/>
              </w:rPr>
              <w:t>15</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4" w:history="1">
            <w:r w:rsidR="00E21E1E" w:rsidRPr="00215BC8">
              <w:rPr>
                <w:rStyle w:val="Hyperlink"/>
                <w:noProof/>
              </w:rPr>
              <w:t>Menus</w:t>
            </w:r>
            <w:r w:rsidR="00E21E1E">
              <w:rPr>
                <w:noProof/>
                <w:webHidden/>
              </w:rPr>
              <w:tab/>
            </w:r>
            <w:r w:rsidR="00E21E1E">
              <w:rPr>
                <w:noProof/>
                <w:webHidden/>
              </w:rPr>
              <w:fldChar w:fldCharType="begin"/>
            </w:r>
            <w:r w:rsidR="00E21E1E">
              <w:rPr>
                <w:noProof/>
                <w:webHidden/>
              </w:rPr>
              <w:instrText xml:space="preserve"> PAGEREF _Toc357676424 \h </w:instrText>
            </w:r>
            <w:r w:rsidR="00E21E1E">
              <w:rPr>
                <w:noProof/>
                <w:webHidden/>
              </w:rPr>
            </w:r>
            <w:r w:rsidR="00E21E1E">
              <w:rPr>
                <w:noProof/>
                <w:webHidden/>
              </w:rPr>
              <w:fldChar w:fldCharType="separate"/>
            </w:r>
            <w:r w:rsidR="005345C6">
              <w:rPr>
                <w:noProof/>
                <w:webHidden/>
              </w:rPr>
              <w:t>16</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5" w:history="1">
            <w:r w:rsidR="00E21E1E" w:rsidRPr="00215BC8">
              <w:rPr>
                <w:rStyle w:val="Hyperlink"/>
                <w:noProof/>
              </w:rPr>
              <w:t>Keyboard Shortcuts</w:t>
            </w:r>
            <w:r w:rsidR="00E21E1E">
              <w:rPr>
                <w:noProof/>
                <w:webHidden/>
              </w:rPr>
              <w:tab/>
            </w:r>
            <w:r w:rsidR="00E21E1E">
              <w:rPr>
                <w:noProof/>
                <w:webHidden/>
              </w:rPr>
              <w:fldChar w:fldCharType="begin"/>
            </w:r>
            <w:r w:rsidR="00E21E1E">
              <w:rPr>
                <w:noProof/>
                <w:webHidden/>
              </w:rPr>
              <w:instrText xml:space="preserve"> PAGEREF _Toc357676425 \h </w:instrText>
            </w:r>
            <w:r w:rsidR="00E21E1E">
              <w:rPr>
                <w:noProof/>
                <w:webHidden/>
              </w:rPr>
            </w:r>
            <w:r w:rsidR="00E21E1E">
              <w:rPr>
                <w:noProof/>
                <w:webHidden/>
              </w:rPr>
              <w:fldChar w:fldCharType="separate"/>
            </w:r>
            <w:r w:rsidR="005345C6">
              <w:rPr>
                <w:noProof/>
                <w:webHidden/>
              </w:rPr>
              <w:t>18</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6" w:history="1">
            <w:r w:rsidR="00E21E1E" w:rsidRPr="00215BC8">
              <w:rPr>
                <w:rStyle w:val="Hyperlink"/>
                <w:noProof/>
              </w:rPr>
              <w:t>Special Mouse Commands</w:t>
            </w:r>
            <w:r w:rsidR="00E21E1E">
              <w:rPr>
                <w:noProof/>
                <w:webHidden/>
              </w:rPr>
              <w:tab/>
            </w:r>
            <w:r w:rsidR="00E21E1E">
              <w:rPr>
                <w:noProof/>
                <w:webHidden/>
              </w:rPr>
              <w:fldChar w:fldCharType="begin"/>
            </w:r>
            <w:r w:rsidR="00E21E1E">
              <w:rPr>
                <w:noProof/>
                <w:webHidden/>
              </w:rPr>
              <w:instrText xml:space="preserve"> PAGEREF _Toc357676426 \h </w:instrText>
            </w:r>
            <w:r w:rsidR="00E21E1E">
              <w:rPr>
                <w:noProof/>
                <w:webHidden/>
              </w:rPr>
            </w:r>
            <w:r w:rsidR="00E21E1E">
              <w:rPr>
                <w:noProof/>
                <w:webHidden/>
              </w:rPr>
              <w:fldChar w:fldCharType="separate"/>
            </w:r>
            <w:r w:rsidR="005345C6">
              <w:rPr>
                <w:noProof/>
                <w:webHidden/>
              </w:rPr>
              <w:t>19</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7" w:history="1">
            <w:r w:rsidR="00E21E1E" w:rsidRPr="00215BC8">
              <w:rPr>
                <w:rStyle w:val="Hyperlink"/>
                <w:noProof/>
              </w:rPr>
              <w:t>Under the Hood</w:t>
            </w:r>
            <w:r w:rsidR="00E21E1E">
              <w:rPr>
                <w:noProof/>
                <w:webHidden/>
              </w:rPr>
              <w:tab/>
            </w:r>
            <w:r w:rsidR="00E21E1E">
              <w:rPr>
                <w:noProof/>
                <w:webHidden/>
              </w:rPr>
              <w:fldChar w:fldCharType="begin"/>
            </w:r>
            <w:r w:rsidR="00E21E1E">
              <w:rPr>
                <w:noProof/>
                <w:webHidden/>
              </w:rPr>
              <w:instrText xml:space="preserve"> PAGEREF _Toc357676427 \h </w:instrText>
            </w:r>
            <w:r w:rsidR="00E21E1E">
              <w:rPr>
                <w:noProof/>
                <w:webHidden/>
              </w:rPr>
            </w:r>
            <w:r w:rsidR="00E21E1E">
              <w:rPr>
                <w:noProof/>
                <w:webHidden/>
              </w:rPr>
              <w:fldChar w:fldCharType="separate"/>
            </w:r>
            <w:r w:rsidR="005345C6">
              <w:rPr>
                <w:noProof/>
                <w:webHidden/>
              </w:rPr>
              <w:t>19</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8" w:history="1">
            <w:r w:rsidR="00E21E1E" w:rsidRPr="00215BC8">
              <w:rPr>
                <w:rStyle w:val="Hyperlink"/>
                <w:noProof/>
              </w:rPr>
              <w:t>Acknowledgments</w:t>
            </w:r>
            <w:r w:rsidR="00E21E1E">
              <w:rPr>
                <w:noProof/>
                <w:webHidden/>
              </w:rPr>
              <w:tab/>
            </w:r>
            <w:r w:rsidR="00E21E1E">
              <w:rPr>
                <w:noProof/>
                <w:webHidden/>
              </w:rPr>
              <w:fldChar w:fldCharType="begin"/>
            </w:r>
            <w:r w:rsidR="00E21E1E">
              <w:rPr>
                <w:noProof/>
                <w:webHidden/>
              </w:rPr>
              <w:instrText xml:space="preserve"> PAGEREF _Toc357676428 \h </w:instrText>
            </w:r>
            <w:r w:rsidR="00E21E1E">
              <w:rPr>
                <w:noProof/>
                <w:webHidden/>
              </w:rPr>
            </w:r>
            <w:r w:rsidR="00E21E1E">
              <w:rPr>
                <w:noProof/>
                <w:webHidden/>
              </w:rPr>
              <w:fldChar w:fldCharType="separate"/>
            </w:r>
            <w:r w:rsidR="005345C6">
              <w:rPr>
                <w:noProof/>
                <w:webHidden/>
              </w:rPr>
              <w:t>21</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29" w:history="1">
            <w:r w:rsidR="00E21E1E" w:rsidRPr="00215BC8">
              <w:rPr>
                <w:rStyle w:val="Hyperlink"/>
                <w:noProof/>
              </w:rPr>
              <w:t>Appendix A: Installed and Generated Files</w:t>
            </w:r>
            <w:r w:rsidR="00E21E1E">
              <w:rPr>
                <w:noProof/>
                <w:webHidden/>
              </w:rPr>
              <w:tab/>
            </w:r>
            <w:r w:rsidR="00E21E1E">
              <w:rPr>
                <w:noProof/>
                <w:webHidden/>
              </w:rPr>
              <w:fldChar w:fldCharType="begin"/>
            </w:r>
            <w:r w:rsidR="00E21E1E">
              <w:rPr>
                <w:noProof/>
                <w:webHidden/>
              </w:rPr>
              <w:instrText xml:space="preserve"> PAGEREF _Toc357676429 \h </w:instrText>
            </w:r>
            <w:r w:rsidR="00E21E1E">
              <w:rPr>
                <w:noProof/>
                <w:webHidden/>
              </w:rPr>
            </w:r>
            <w:r w:rsidR="00E21E1E">
              <w:rPr>
                <w:noProof/>
                <w:webHidden/>
              </w:rPr>
              <w:fldChar w:fldCharType="separate"/>
            </w:r>
            <w:r w:rsidR="005345C6">
              <w:rPr>
                <w:noProof/>
                <w:webHidden/>
              </w:rPr>
              <w:t>21</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30" w:history="1">
            <w:r w:rsidR="00E21E1E" w:rsidRPr="00215BC8">
              <w:rPr>
                <w:rStyle w:val="Hyperlink"/>
                <w:noProof/>
              </w:rPr>
              <w:t>Appendix B:  The JT9 Protocol</w:t>
            </w:r>
            <w:r w:rsidR="00E21E1E">
              <w:rPr>
                <w:noProof/>
                <w:webHidden/>
              </w:rPr>
              <w:tab/>
            </w:r>
            <w:r w:rsidR="00E21E1E">
              <w:rPr>
                <w:noProof/>
                <w:webHidden/>
              </w:rPr>
              <w:fldChar w:fldCharType="begin"/>
            </w:r>
            <w:r w:rsidR="00E21E1E">
              <w:rPr>
                <w:noProof/>
                <w:webHidden/>
              </w:rPr>
              <w:instrText xml:space="preserve"> PAGEREF _Toc357676430 \h </w:instrText>
            </w:r>
            <w:r w:rsidR="00E21E1E">
              <w:rPr>
                <w:noProof/>
                <w:webHidden/>
              </w:rPr>
            </w:r>
            <w:r w:rsidR="00E21E1E">
              <w:rPr>
                <w:noProof/>
                <w:webHidden/>
              </w:rPr>
              <w:fldChar w:fldCharType="separate"/>
            </w:r>
            <w:r w:rsidR="005345C6">
              <w:rPr>
                <w:noProof/>
                <w:webHidden/>
              </w:rPr>
              <w:t>23</w:t>
            </w:r>
            <w:r w:rsidR="00E21E1E">
              <w:rPr>
                <w:noProof/>
                <w:webHidden/>
              </w:rPr>
              <w:fldChar w:fldCharType="end"/>
            </w:r>
          </w:hyperlink>
        </w:p>
        <w:p w:rsidR="00E21E1E" w:rsidRDefault="005F3E73">
          <w:pPr>
            <w:pStyle w:val="TOC1"/>
            <w:tabs>
              <w:tab w:val="right" w:leader="dot" w:pos="9350"/>
            </w:tabs>
            <w:rPr>
              <w:rFonts w:eastAsiaTheme="minorEastAsia" w:cstheme="minorBidi"/>
              <w:noProof/>
              <w:sz w:val="22"/>
              <w:szCs w:val="22"/>
            </w:rPr>
          </w:pPr>
          <w:hyperlink w:anchor="_Toc357676431" w:history="1">
            <w:r w:rsidR="00E21E1E" w:rsidRPr="00215BC8">
              <w:rPr>
                <w:rStyle w:val="Hyperlink"/>
                <w:noProof/>
              </w:rPr>
              <w:t>Appendix C:  Source Code</w:t>
            </w:r>
            <w:r w:rsidR="00E21E1E">
              <w:rPr>
                <w:noProof/>
                <w:webHidden/>
              </w:rPr>
              <w:tab/>
            </w:r>
            <w:r w:rsidR="00E21E1E">
              <w:rPr>
                <w:noProof/>
                <w:webHidden/>
              </w:rPr>
              <w:fldChar w:fldCharType="begin"/>
            </w:r>
            <w:r w:rsidR="00E21E1E">
              <w:rPr>
                <w:noProof/>
                <w:webHidden/>
              </w:rPr>
              <w:instrText xml:space="preserve"> PAGEREF _Toc357676431 \h </w:instrText>
            </w:r>
            <w:r w:rsidR="00E21E1E">
              <w:rPr>
                <w:noProof/>
                <w:webHidden/>
              </w:rPr>
            </w:r>
            <w:r w:rsidR="00E21E1E">
              <w:rPr>
                <w:noProof/>
                <w:webHidden/>
              </w:rPr>
              <w:fldChar w:fldCharType="separate"/>
            </w:r>
            <w:r w:rsidR="005345C6">
              <w:rPr>
                <w:noProof/>
                <w:webHidden/>
              </w:rPr>
              <w:t>24</w:t>
            </w:r>
            <w:r w:rsidR="00E21E1E">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7676417"/>
      <w:r>
        <w:lastRenderedPageBreak/>
        <w:t>Introduction</w:t>
      </w:r>
      <w:bookmarkEnd w:id="1"/>
    </w:p>
    <w:p w:rsidR="001900C5" w:rsidRDefault="005F3E73"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 xml:space="preserve">(“moonbounce”)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28711B">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takes 4 to 6 minutes:  2 or 3 transmissions by each station, one transmitting in odd minutes and the other even.  </w:t>
      </w:r>
      <w:r w:rsidR="00727DF3" w:rsidRPr="00727DF3">
        <w:rPr>
          <w:i/>
        </w:rPr>
        <w:t>WSJT-X</w:t>
      </w:r>
      <w:r w:rsidR="00727DF3">
        <w:t xml:space="preserve"> also offers </w:t>
      </w:r>
      <w:r w:rsidR="0028711B">
        <w:t xml:space="preserve">submode JT9-2, with </w:t>
      </w:r>
      <w:r w:rsidR="00727DF3">
        <w:t>2-minu</w:t>
      </w:r>
      <w:r w:rsidR="0028711B">
        <w:t>te sequences and 3 dB better sensitivity under optimum circumstances</w:t>
      </w:r>
      <w:r w:rsidR="0028711B">
        <w:rPr>
          <w:rStyle w:val="FootnoteReference"/>
        </w:rPr>
        <w:footnoteReference w:id="1"/>
      </w:r>
      <w:r w:rsidR="0028711B">
        <w:t xml:space="preserve">.  </w:t>
      </w:r>
      <w:r w:rsidR="00483195" w:rsidRPr="00483195">
        <w:t xml:space="preserve">JT9-1 is </w:t>
      </w:r>
      <w:r w:rsidR="00EA1848">
        <w:t xml:space="preserve">always </w:t>
      </w:r>
      <w:r w:rsidR="00483195" w:rsidRPr="00483195">
        <w:t>the recommended submode unless you really need the additional sensitivity.</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57676418"/>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and probably FreeBSD and other unix-like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00002545">
        <w:t xml:space="preserve">, or </w:t>
      </w:r>
      <w:r w:rsidR="00677B99">
        <w:t>VOX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r w:rsidR="00AF3FA4" w:rsidRPr="00AF3FA4">
        <w:rPr>
          <w:rFonts w:ascii="Arial" w:eastAsia="Times New Roman" w:hAnsi="Arial" w:cs="Arial"/>
          <w:i/>
        </w:rPr>
        <w:t>Meinberg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7676419"/>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r w:rsidR="007E6E0F" w:rsidRPr="007E6E0F">
        <w:rPr>
          <w:rFonts w:eastAsia="Times New Roman"/>
          <w:b/>
        </w:rPr>
        <w:t>Mic</w:t>
      </w:r>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w:t>
      </w:r>
      <w:r w:rsidR="007E6E0F">
        <w:rPr>
          <w:rFonts w:eastAsia="Times New Roman"/>
        </w:rPr>
        <w:lastRenderedPageBreak/>
        <w:t xml:space="preserve">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57676420"/>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the  </w:t>
      </w:r>
      <w:r w:rsidRPr="00B30CA2">
        <w:rPr>
          <w:b/>
        </w:rPr>
        <w:t xml:space="preserve">f Min </w:t>
      </w:r>
      <w:r w:rsidRPr="00DF773F">
        <w:t xml:space="preserve">and  </w:t>
      </w:r>
      <w:r w:rsidRPr="00B30CA2">
        <w:rPr>
          <w:b/>
        </w:rPr>
        <w:t xml:space="preserve">f Max </w:t>
      </w:r>
      <w:r w:rsidRPr="00DF773F">
        <w:t xml:space="preserve">controls.  The red marker indicates </w:t>
      </w:r>
      <w:r w:rsidR="003260FA">
        <w:t xml:space="preserve">your </w:t>
      </w:r>
      <w:r w:rsidRPr="00DF773F">
        <w:t>Tx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D173C0" w:rsidP="00D558CF">
      <w:pPr>
        <w:spacing w:after="120" w:afterAutospacing="0"/>
        <w:rPr>
          <w:rFonts w:eastAsia="Times New Roman"/>
        </w:rPr>
      </w:pPr>
      <w:r>
        <w:rPr>
          <w:rFonts w:eastAsia="Times New Roman"/>
          <w:noProof/>
        </w:rPr>
        <w:drawing>
          <wp:inline distT="0" distB="0" distL="0" distR="0">
            <wp:extent cx="6208776"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8776" cy="4754880"/>
                    </a:xfrm>
                    <a:prstGeom prst="rect">
                      <a:avLst/>
                    </a:prstGeom>
                    <a:noFill/>
                    <a:ln>
                      <a:noFill/>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 xml:space="preserve">s finishing a QSO </w:t>
      </w:r>
      <w:r w:rsidR="00F95ADF" w:rsidRPr="00DB05D2">
        <w:rPr>
          <w:rFonts w:eastAsia="Times New Roman"/>
        </w:rPr>
        <w:lastRenderedPageBreak/>
        <w:t>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3260FA">
        <w:rPr>
          <w:rFonts w:eastAsia="Times New Roman"/>
        </w:rPr>
        <w:t xml:space="preserve">.  </w:t>
      </w:r>
      <w:r w:rsidR="00DB05D2">
        <w:rPr>
          <w:rFonts w:eastAsia="Times New Roman"/>
        </w:rPr>
        <w:t xml:space="preserve">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r w:rsidR="009C72CB" w:rsidRPr="009C72CB">
        <w:rPr>
          <w:rFonts w:eastAsia="Times New Roman"/>
          <w:b/>
        </w:rPr>
        <w:t>Tx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Tx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CQing station’s </w:t>
      </w:r>
      <w:r w:rsidRPr="00AF3FA4">
        <w:rPr>
          <w:rFonts w:eastAsia="Times New Roman"/>
        </w:rPr>
        <w:t>frequency</w:t>
      </w:r>
      <w:r w:rsidR="009C72CB">
        <w:rPr>
          <w:rFonts w:eastAsia="Times New Roman"/>
        </w:rPr>
        <w:t xml:space="preserve">, and the </w:t>
      </w:r>
      <w:r w:rsidR="009C72CB" w:rsidRPr="009C72CB">
        <w:rPr>
          <w:rFonts w:eastAsia="Times New Roman"/>
          <w:b/>
        </w:rPr>
        <w:t>Gen Msg</w:t>
      </w:r>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Tx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Enable Tx</w:t>
      </w:r>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r w:rsidRPr="00AF3FA4">
        <w:rPr>
          <w:rFonts w:eastAsia="Times New Roman"/>
        </w:rPr>
        <w:t xml:space="preserve">Tx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ou probably want your Tx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 “Tx freq locked to Rx freq” on the </w:t>
      </w:r>
      <w:r w:rsidR="003260FA" w:rsidRPr="003260FA">
        <w:rPr>
          <w:rFonts w:eastAsia="Times New Roman"/>
          <w:b/>
        </w:rPr>
        <w:t>Setup</w:t>
      </w:r>
      <w:r w:rsidR="003260FA">
        <w:rPr>
          <w:rFonts w:eastAsia="Times New Roman"/>
        </w:rPr>
        <w:t xml:space="preserve"> menu</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Tx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Tx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Rx and Tx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et the background noise level to around 30 dB on the scale at lower left of the</w:t>
      </w:r>
      <w:r w:rsidR="00983936">
        <w:rPr>
          <w:rFonts w:eastAsia="Times New Roman"/>
        </w:rPr>
        <w:t xml:space="preserve"> </w:t>
      </w:r>
      <w:r w:rsidR="00AF3FA4" w:rsidRPr="00AF3FA4">
        <w:rPr>
          <w:rFonts w:eastAsia="Times New Roman"/>
        </w:rPr>
        <w:t>main</w:t>
      </w:r>
      <w:r w:rsidR="008C2CFF">
        <w:rPr>
          <w:rFonts w:eastAsia="Times New Roman"/>
        </w:rPr>
        <w:t xml:space="preserve"> window</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7676421"/>
      <w:r>
        <w:t>Making QSOs</w:t>
      </w:r>
      <w:bookmarkEnd w:id="5"/>
    </w:p>
    <w:p w:rsidR="00EF6E42" w:rsidRDefault="00600AF6" w:rsidP="00EB379E">
      <w:r>
        <w:t xml:space="preserve">By longstanding tradition, a minimal valid QSO requires the exchange of callsigns,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w:t>
      </w:r>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callsigns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8C2CFF">
        <w:t xml:space="preserve">rence noise bandwidth 2500 Hz; they must lie in the range –50 to +49 dB.  </w:t>
      </w:r>
      <w:r w:rsidR="00EB379E">
        <w:t xml:space="preserve">Thus, in example message #2 </w:t>
      </w:r>
      <w:r w:rsidR="008C2CFF">
        <w:t xml:space="preserve">above </w:t>
      </w:r>
      <w:r w:rsidR="00EB379E">
        <w:t xml:space="preserve">K1ABC is telling G0XYZ that his signal is 19 dB </w:t>
      </w:r>
      <w:r w:rsidR="004806DA">
        <w:t xml:space="preserve">below </w:t>
      </w:r>
      <w:r w:rsidR="00EB379E">
        <w:t xml:space="preserve">the noise power in </w:t>
      </w:r>
      <w:r w:rsidR="00926C1B">
        <w:t xml:space="preserve">bandwidth </w:t>
      </w:r>
      <w:r w:rsidR="008C2CFF">
        <w:t>2500 Hz.  I</w:t>
      </w:r>
      <w:r w:rsidR="00EB379E">
        <w:t xml:space="preserve">n message #3 G0XYZ acknowledges receipt of that report and responds with a –22 dB </w:t>
      </w:r>
      <w:r w:rsidR="00EB379E">
        <w:lastRenderedPageBreak/>
        <w:t>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rsidR="00EB379E">
        <w:t>o about –26 dB, and the JT9 dec</w:t>
      </w:r>
      <w:r w:rsidR="004806DA">
        <w:t xml:space="preserve">oder </w:t>
      </w:r>
      <w:r w:rsidR="008C2CFF">
        <w:t xml:space="preserve">also </w:t>
      </w:r>
      <w:r w:rsidR="004806DA">
        <w:t>begins to fail at about this</w:t>
      </w:r>
      <w:r w:rsidR="00EB379E">
        <w:t xml:space="preserve"> limit.</w:t>
      </w:r>
    </w:p>
    <w:p w:rsidR="00B30CA2" w:rsidRDefault="00CD2CAD" w:rsidP="00EB379E">
      <w:pPr>
        <w:rPr>
          <w:rFonts w:eastAsia="Times New Roman"/>
        </w:rPr>
      </w:pPr>
      <w:r>
        <w:t xml:space="preserve">Free-format messages such as “TNX JOE 73 GL” </w:t>
      </w:r>
      <w:r w:rsidR="000F2BF0">
        <w:t xml:space="preserve">or “5W VERT 73 GL” </w:t>
      </w:r>
      <w:r>
        <w:t>can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It should be obvious</w:t>
      </w:r>
      <w:r w:rsidR="00926C1B">
        <w:t>, however,</w:t>
      </w:r>
      <w:r w:rsidR="00EF6E42">
        <w:t xml:space="preserve"> </w:t>
      </w:r>
      <w:r w:rsidR="00CE07FD">
        <w:t xml:space="preserve">that </w:t>
      </w:r>
      <w:r w:rsidR="00983936">
        <w:rPr>
          <w:rFonts w:eastAsia="Times New Roman"/>
        </w:rPr>
        <w:t>JT9 is not a mode suitable for extensive conversations or rag-chewing</w:t>
      </w:r>
      <w:r w:rsidR="00926C1B">
        <w:rPr>
          <w:rFonts w:eastAsia="Times New Roman"/>
        </w:rPr>
        <w:t>.</w:t>
      </w:r>
    </w:p>
    <w:p w:rsidR="00FB03E6" w:rsidRPr="00FB03E6" w:rsidRDefault="00FB03E6" w:rsidP="00EB379E">
      <w:pPr>
        <w:rPr>
          <w:rFonts w:eastAsia="Times New Roman"/>
        </w:rPr>
      </w:pPr>
      <w:r>
        <w:t>Compound callsigns such as PJ4/K1ABC or G0XYZ/P are handled in a slightly different way.  The following formats are all valid:</w:t>
      </w:r>
      <w:r>
        <w:br/>
      </w:r>
      <w:r>
        <w:br/>
        <w:t xml:space="preserve">  </w:t>
      </w:r>
      <w:r>
        <w:tab/>
        <w:t xml:space="preserve">CQ pfx/callsign grid </w:t>
      </w:r>
      <w:r>
        <w:br/>
        <w:t xml:space="preserve">  </w:t>
      </w:r>
      <w:r>
        <w:tab/>
        <w:t xml:space="preserve">QRZ pfx/callsign grid </w:t>
      </w:r>
      <w:r>
        <w:br/>
        <w:t xml:space="preserve">  </w:t>
      </w:r>
      <w:r>
        <w:tab/>
        <w:t xml:space="preserve">DE pfx/callsign grid </w:t>
      </w:r>
      <w:r>
        <w:br/>
      </w:r>
      <w:r>
        <w:br/>
        <w:t xml:space="preserve">  </w:t>
      </w:r>
      <w:r>
        <w:tab/>
        <w:t xml:space="preserve">CQ callsign/sfx grid </w:t>
      </w:r>
      <w:r>
        <w:br/>
        <w:t xml:space="preserve">  </w:t>
      </w:r>
      <w:r>
        <w:tab/>
        <w:t xml:space="preserve">QRZ callsign/sfx grid </w:t>
      </w:r>
      <w:r>
        <w:br/>
        <w:t xml:space="preserve">  </w:t>
      </w:r>
      <w:r>
        <w:tab/>
        <w:t xml:space="preserve">DE callsign/sfx grid </w:t>
      </w:r>
      <w:r>
        <w:br/>
      </w:r>
      <w:r>
        <w:br/>
        <w:t>where “pfx” is a 1-4 character prefix, “callsign” is a standard callsign, “sfx” is a 1-3 character suffix, and “grid” is a 4-character Maidenhead locator,</w:t>
      </w:r>
      <w:r w:rsidR="00E21114">
        <w:t xml:space="preserve"> a signal report of the form “±</w:t>
      </w:r>
      <w:r>
        <w:t xml:space="preserve">nn” or “R±nn”,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7676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xml:space="preserve">, or to higher values to </w:t>
      </w:r>
      <w:r w:rsidR="00E21114">
        <w:t xml:space="preserve">compress </w:t>
      </w:r>
      <w:r w:rsidR="00DD44FC">
        <w:t xml:space="preserve">the </w:t>
      </w:r>
      <w:r w:rsidR="00DD44FC">
        <w:lastRenderedPageBreak/>
        <w:t>spectral display</w:t>
      </w:r>
      <w:r>
        <w:t xml:space="preserve">.  Normal operation with </w:t>
      </w:r>
      <w:r w:rsidR="00E21114">
        <w:t xml:space="preserve">a </w:t>
      </w:r>
      <w:r>
        <w:t xml:space="preserve">convenient window size works well at 2 bins per pixel.  </w:t>
      </w:r>
    </w:p>
    <w:p w:rsidR="00782AE1" w:rsidRDefault="00782AE1" w:rsidP="00782AE1">
      <w:r w:rsidRPr="00782AE1">
        <w:rPr>
          <w:b/>
        </w:rPr>
        <w:t>N Avg</w:t>
      </w:r>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w:t>
      </w:r>
      <w:r w:rsidR="00E21114">
        <w:t>the amplitude scale</w:t>
      </w:r>
      <w:r>
        <w:t xml:space="preserve"> and </w:t>
      </w:r>
      <w:r w:rsidR="00E21114">
        <w:t xml:space="preserve">reference level </w:t>
      </w:r>
      <w:r>
        <w:t xml:space="preserve">for waterfall </w:t>
      </w:r>
      <w:r w:rsidR="00227615">
        <w:t>colors.  Values around 0 for both parameters are usually about right, but your preferences may differ.</w:t>
      </w:r>
    </w:p>
    <w:p w:rsidR="00227615" w:rsidRDefault="00227615" w:rsidP="00782AE1">
      <w:r w:rsidRPr="00227615">
        <w:rPr>
          <w:b/>
        </w:rPr>
        <w:t>f Min</w:t>
      </w:r>
      <w:r>
        <w:t xml:space="preserve"> and </w:t>
      </w:r>
      <w:r w:rsidRPr="00227615">
        <w:rPr>
          <w:b/>
        </w:rPr>
        <w:t>f Max</w:t>
      </w:r>
      <w:r>
        <w:t xml:space="preserve"> set the lower and upper limits of the second (wideband)</w:t>
      </w:r>
      <w:r w:rsidR="00E21114">
        <w:t xml:space="preserve"> pass through the JT9 decoder and corresponding positions of the blue markers on the frequency scale.</w:t>
      </w:r>
    </w:p>
    <w:p w:rsidR="00227615" w:rsidRPr="00782AE1" w:rsidRDefault="00227615" w:rsidP="00782AE1">
      <w:r>
        <w:t xml:space="preserve">The </w:t>
      </w:r>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N Avg</w:t>
      </w:r>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lastRenderedPageBreak/>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Tx mode and generate an unmodulated carrier at the specified Tx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Tx</w:t>
      </w:r>
      <w:r w:rsidRPr="00BA191F">
        <w:rPr>
          <w:b/>
        </w:rPr>
        <w:t xml:space="preserve"> </w:t>
      </w:r>
      <w:r w:rsidR="005C22AD">
        <w:t>puts</w:t>
      </w:r>
      <w:r>
        <w:t xml:space="preserve"> the program into automatic Rx/Tx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Halt Tx</w:t>
      </w:r>
      <w:r>
        <w:t xml:space="preserve"> will terminate a transmission in progress and disable automatic Rx/Tx sequencing.</w:t>
      </w:r>
    </w:p>
    <w:p w:rsidR="008763E5" w:rsidRDefault="008763E5">
      <w:r>
        <w:br w:type="page"/>
      </w:r>
    </w:p>
    <w:p w:rsidR="00BA191F" w:rsidRDefault="00BA191F" w:rsidP="00FF124E">
      <w:r>
        <w:lastRenderedPageBreak/>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xml:space="preserve">.  If you are using CAT control, a small colored square appears in red if the CAT control is two-way between </w:t>
      </w:r>
      <w:r w:rsidRPr="00A61A03">
        <w:rPr>
          <w:i/>
        </w:rPr>
        <w:t>WSJT-X</w:t>
      </w:r>
      <w:r>
        <w:t xml:space="preserve"> and your radio</w:t>
      </w:r>
      <w:r w:rsidR="001D3114">
        <w:t>,</w:t>
      </w:r>
      <w:r>
        <w:t xml:space="preserve"> or orange if the control is only from program to radio.  </w:t>
      </w:r>
      <w:r w:rsidR="003D2DA7">
        <w:t xml:space="preserve">If the </w:t>
      </w:r>
      <w:r w:rsidR="003D2DA7" w:rsidRPr="003D2DA7">
        <w:rPr>
          <w:b/>
        </w:rPr>
        <w:t>Dx Grid</w:t>
      </w:r>
      <w:r w:rsidR="003D2DA7">
        <w:t xml:space="preserve"> is known, the great-circle azimuth and distance are given.  The program can keep a database</w:t>
      </w:r>
      <w:r w:rsidR="008763E5">
        <w:t xml:space="preserve"> of callsigns and locators</w:t>
      </w:r>
      <w:r w:rsidR="003D2DA7">
        <w:t xml:space="preserve">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r w:rsidRPr="003D2DA7">
        <w:rPr>
          <w:b/>
        </w:rPr>
        <w:t>Tx even</w:t>
      </w:r>
      <w:r>
        <w:t xml:space="preserve"> to transmit in even-numbered UTC minutes (or, for </w:t>
      </w:r>
      <w:r w:rsidR="008763E5">
        <w:t>submode JT9-2</w:t>
      </w:r>
      <w:r>
        <w:t>, even-numbered</w:t>
      </w:r>
      <w:r w:rsidR="008763E5">
        <w:t xml:space="preserve"> sequences</w:t>
      </w:r>
      <w:r>
        <w:t xml:space="preserve"> starting with 0 at the top of a UTC hour).  Uncheck this box to transmit in the odd intervals.  This selection is made automatically when you doubl</w:t>
      </w:r>
      <w:r w:rsidR="008763E5">
        <w:t xml:space="preserve">e-click on a decoded text line </w:t>
      </w:r>
      <w:r>
        <w:t>as described in the Basic O</w:t>
      </w:r>
      <w:r w:rsidR="008901F2">
        <w:t>perating Tutorial, pages 6 – 9</w:t>
      </w:r>
      <w:r w:rsidR="008763E5">
        <w:t xml:space="preserve"> of this Guide</w:t>
      </w:r>
      <w:r>
        <w:t xml:space="preserve">.  Your audio Tx frequency is displayed and </w:t>
      </w:r>
      <w:r w:rsidR="00C1576F">
        <w:t xml:space="preserve">can be </w:t>
      </w:r>
      <w:r w:rsidR="008901F2">
        <w:t xml:space="preserve">controlled by the </w:t>
      </w:r>
      <w:r w:rsidR="00C1576F" w:rsidRPr="00C1576F">
        <w:rPr>
          <w:b/>
        </w:rPr>
        <w:t>Tx +xxxx Hz</w:t>
      </w:r>
      <w:r w:rsidR="00C1576F">
        <w:rPr>
          <w:b/>
        </w:rPr>
        <w:t xml:space="preserve"> </w:t>
      </w:r>
      <w:r w:rsidR="00C1576F">
        <w:t xml:space="preserve">spinner control.  Again, this setting is normally handled automatically by the </w:t>
      </w:r>
      <w:r w:rsidR="00C1576F">
        <w:lastRenderedPageBreak/>
        <w:t xml:space="preserve">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Tx frequency to the current Rx frequency by clicking the </w:t>
      </w:r>
      <w:r w:rsidR="00C1576F" w:rsidRPr="00C1576F">
        <w:rPr>
          <w:b/>
        </w:rPr>
        <w:t>Tx=Rx</w:t>
      </w:r>
      <w:r w:rsidR="00C1576F">
        <w:rPr>
          <w:b/>
        </w:rPr>
        <w:t xml:space="preserve"> </w:t>
      </w:r>
      <w:r w:rsidR="00C1576F">
        <w:t xml:space="preserve">button, and vice-versa for </w:t>
      </w:r>
      <w:r w:rsidR="00C1576F" w:rsidRPr="00C1576F">
        <w:rPr>
          <w:b/>
        </w:rPr>
        <w:t>Rx=Tx</w:t>
      </w:r>
      <w:r w:rsidR="00C1576F">
        <w:t xml:space="preserve">.  Finally, the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 xml:space="preserve">will fall in the </w:t>
      </w:r>
      <w:r w:rsidR="008763E5">
        <w:t xml:space="preserve">approximate </w:t>
      </w:r>
      <w:r w:rsidR="00926C1B">
        <w:t>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 xml:space="preserve">probably </w:t>
      </w:r>
      <w:r w:rsidR="00C1576F">
        <w:t>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Two configurations of controls are provided for generating and selecting Tx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Traditional controls carried over from</w:t>
      </w:r>
      <w:r w:rsidR="008763E5">
        <w:t xml:space="preserve"> program</w:t>
      </w:r>
      <w:r>
        <w:t xml:space="preserve">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Generate Std Msgs</w:t>
      </w:r>
      <w:r>
        <w:t>, or when you double-click on an appropriate line of decoded text.  Select the next message to be transmitted (at the start of your next Tx sequence) by clicking on the circle under “Next”.  To change to a specified Tx message immediately, perhaps after a transmission has already started, click on</w:t>
      </w:r>
      <w:r w:rsidR="00926C1B">
        <w:t xml:space="preserve"> a rectangular</w:t>
      </w:r>
      <w:r>
        <w:t xml:space="preserve"> button under the “Now” label.  Changing Tx messages after a transmission has started </w:t>
      </w:r>
      <w:r w:rsidR="0079490A">
        <w:t>reduces the probability of a correct decode by your QSO partner, but if you do it in the first 10 s or so of a Tx pe</w:t>
      </w:r>
      <w:r w:rsidR="00926C1B">
        <w:t>riod, it will probably succeed.</w:t>
      </w:r>
    </w:p>
    <w:p w:rsidR="008763E5" w:rsidRDefault="008763E5">
      <w:r>
        <w:br w:type="page"/>
      </w:r>
    </w:p>
    <w:p w:rsidR="0079490A" w:rsidRDefault="0079490A" w:rsidP="00FF124E">
      <w:r>
        <w:lastRenderedPageBreak/>
        <w:t xml:space="preserve">Right-clicking on the entry field for message #5 pops up a list of free text messages entered on the </w:t>
      </w:r>
      <w:r w:rsidRPr="0079490A">
        <w:rPr>
          <w:b/>
        </w:rPr>
        <w:t>Setup | Configuration | Tx Macros</w:t>
      </w:r>
      <w:r>
        <w:t xml:space="preserve"> dialog window, for example</w:t>
      </w:r>
    </w:p>
    <w:p w:rsidR="00CB6740" w:rsidRDefault="00CB6740" w:rsidP="005C22AD">
      <w:pPr>
        <w:jc w:val="center"/>
      </w:pPr>
      <w:r>
        <w:rPr>
          <w:noProof/>
        </w:rPr>
        <w:drawing>
          <wp:inline distT="0" distB="0" distL="0" distR="0" wp14:anchorId="64BF34E6" wp14:editId="165D3AB7">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Gen Msg</w:t>
      </w:r>
      <w:r>
        <w:t xml:space="preserve"> box. </w:t>
      </w:r>
      <w:r w:rsidR="000449A2">
        <w:t xml:space="preserve"> If you are already transmitting, it changes the Tx message immediately.  (The actual message being transmitted always appears in the first box on the status bar, at the bottom left of the main screen.) </w:t>
      </w:r>
      <w:r>
        <w:t xml:space="preserve"> You can put anything you like (up to 13 characters) in the </w:t>
      </w:r>
      <w:r w:rsidRPr="00CB6740">
        <w:rPr>
          <w:b/>
        </w:rPr>
        <w:t>Free Msg</w:t>
      </w:r>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defined list of Tx Macros.</w:t>
      </w:r>
    </w:p>
    <w:p w:rsidR="00347D83" w:rsidRDefault="00347D83" w:rsidP="00347D83">
      <w:pPr>
        <w:pStyle w:val="Heading1"/>
      </w:pPr>
      <w:bookmarkStart w:id="7" w:name="_Toc357676423"/>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lastRenderedPageBreak/>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57676424"/>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14:anchorId="20528FDC" wp14:editId="1A65AFB5">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771478" w:rsidP="003B0EF3">
      <w:pPr>
        <w:ind w:left="720"/>
      </w:pPr>
      <w:r>
        <w:rPr>
          <w:noProof/>
        </w:rPr>
        <w:drawing>
          <wp:inline distT="0" distB="0" distL="0" distR="0">
            <wp:extent cx="2176272"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6272" cy="3200400"/>
                    </a:xfrm>
                    <a:prstGeom prst="rect">
                      <a:avLst/>
                    </a:prstGeom>
                    <a:noFill/>
                    <a:ln>
                      <a:noFill/>
                    </a:ln>
                  </pic:spPr>
                </pic:pic>
              </a:graphicData>
            </a:graphic>
          </wp:inline>
        </w:drawing>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DF4D84" w:rsidP="001E2713">
      <w:pPr>
        <w:ind w:left="720"/>
      </w:pPr>
      <w:r>
        <w:rPr>
          <w:noProof/>
        </w:rPr>
        <w:drawing>
          <wp:inline distT="0" distB="0" distL="0" distR="0">
            <wp:extent cx="933450" cy="63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638175"/>
                    </a:xfrm>
                    <a:prstGeom prst="rect">
                      <a:avLst/>
                    </a:prstGeom>
                    <a:noFill/>
                    <a:ln>
                      <a:noFill/>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57676425"/>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t>About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Clear Dx Call and Dx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t>Decode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Move Rx and Tx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Move Rx and Tx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r w:rsidRPr="00BA324D">
        <w:rPr>
          <w:b/>
        </w:rPr>
        <w:t>Alt+D</w:t>
      </w:r>
      <w:r>
        <w:tab/>
      </w:r>
      <w:r>
        <w:tab/>
        <w:t>Decode again at QSO frequency</w:t>
      </w:r>
    </w:p>
    <w:p w:rsidR="00BA324D" w:rsidRDefault="00BA324D" w:rsidP="00BA324D">
      <w:pPr>
        <w:spacing w:before="0" w:beforeAutospacing="0" w:after="0" w:afterAutospacing="0"/>
      </w:pPr>
      <w:r w:rsidRPr="00BA324D">
        <w:rPr>
          <w:b/>
        </w:rPr>
        <w:t>Shift+D</w:t>
      </w:r>
      <w:r>
        <w:tab/>
        <w:t>Full decode (both windows)</w:t>
      </w:r>
    </w:p>
    <w:p w:rsidR="00BA324D" w:rsidRDefault="00BA324D" w:rsidP="00BA324D">
      <w:pPr>
        <w:spacing w:before="0" w:beforeAutospacing="0" w:after="0" w:afterAutospacing="0"/>
      </w:pPr>
      <w:r w:rsidRPr="00BA324D">
        <w:rPr>
          <w:b/>
        </w:rPr>
        <w:t>Alt+E</w:t>
      </w:r>
      <w:r w:rsidR="00D91688">
        <w:tab/>
      </w:r>
      <w:r w:rsidR="00D91688">
        <w:tab/>
        <w:t>Erase</w:t>
      </w:r>
    </w:p>
    <w:p w:rsidR="00BA324D" w:rsidRDefault="00BA324D" w:rsidP="00BA324D">
      <w:pPr>
        <w:spacing w:before="0" w:beforeAutospacing="0" w:after="0" w:afterAutospacing="0"/>
      </w:pPr>
      <w:r w:rsidRPr="00BA324D">
        <w:rPr>
          <w:b/>
        </w:rPr>
        <w:t>Ctrl+F</w:t>
      </w:r>
      <w:r>
        <w:tab/>
      </w:r>
      <w:r>
        <w:tab/>
        <w:t>Edit the free text message box</w:t>
      </w:r>
    </w:p>
    <w:p w:rsidR="00BA324D" w:rsidRDefault="00BA324D" w:rsidP="00BA324D">
      <w:pPr>
        <w:spacing w:before="0" w:beforeAutospacing="0" w:after="0" w:afterAutospacing="0"/>
      </w:pPr>
      <w:r w:rsidRPr="00BA324D">
        <w:rPr>
          <w:b/>
        </w:rPr>
        <w:t>Alt+G</w:t>
      </w:r>
      <w:r>
        <w:tab/>
      </w:r>
      <w:r>
        <w:tab/>
        <w:t>Generate standard messages</w:t>
      </w:r>
    </w:p>
    <w:p w:rsidR="00BA324D" w:rsidRDefault="00BA324D" w:rsidP="00BA324D">
      <w:pPr>
        <w:spacing w:before="0" w:beforeAutospacing="0" w:after="0" w:afterAutospacing="0"/>
      </w:pPr>
      <w:r w:rsidRPr="00BA324D">
        <w:rPr>
          <w:b/>
        </w:rPr>
        <w:t>Alt+H</w:t>
      </w:r>
      <w:r w:rsidR="00D91688">
        <w:tab/>
      </w:r>
      <w:r w:rsidR="00D91688">
        <w:tab/>
        <w:t>Halt Tx</w:t>
      </w:r>
    </w:p>
    <w:p w:rsidR="00BA324D" w:rsidRDefault="00BA324D" w:rsidP="00BA324D">
      <w:pPr>
        <w:spacing w:before="0" w:beforeAutospacing="0" w:after="0" w:afterAutospacing="0"/>
      </w:pPr>
      <w:r w:rsidRPr="00BA324D">
        <w:rPr>
          <w:b/>
        </w:rPr>
        <w:t>Ctrl+L</w:t>
      </w:r>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r w:rsidRPr="00BA324D">
        <w:rPr>
          <w:b/>
        </w:rPr>
        <w:t>Alt+N</w:t>
      </w:r>
      <w:r w:rsidR="00D91688">
        <w:tab/>
      </w:r>
      <w:r w:rsidR="00D91688">
        <w:tab/>
        <w:t>Enable Tx</w:t>
      </w:r>
    </w:p>
    <w:p w:rsidR="00BA324D" w:rsidRDefault="00BA324D" w:rsidP="00BA324D">
      <w:pPr>
        <w:spacing w:before="0" w:beforeAutospacing="0" w:after="0" w:afterAutospacing="0"/>
      </w:pPr>
      <w:r w:rsidRPr="00BA324D">
        <w:rPr>
          <w:b/>
        </w:rPr>
        <w:t>Alt+Q</w:t>
      </w:r>
      <w:r w:rsidR="00D91688">
        <w:tab/>
      </w:r>
      <w:r w:rsidR="00D91688">
        <w:tab/>
        <w:t>Log QSO</w:t>
      </w:r>
    </w:p>
    <w:p w:rsidR="00BA324D" w:rsidRDefault="00BA324D" w:rsidP="00BA324D">
      <w:pPr>
        <w:spacing w:before="0" w:beforeAutospacing="0" w:after="0" w:afterAutospacing="0"/>
      </w:pPr>
      <w:r w:rsidRPr="00BA324D">
        <w:rPr>
          <w:b/>
        </w:rPr>
        <w:t>Alt+S</w:t>
      </w:r>
      <w:r w:rsidR="00D91688">
        <w:tab/>
      </w:r>
      <w:r w:rsidR="00D91688">
        <w:tab/>
        <w:t>Stop monitoring</w:t>
      </w:r>
    </w:p>
    <w:p w:rsidR="00BA324D" w:rsidRDefault="00BA324D" w:rsidP="00BA324D">
      <w:pPr>
        <w:spacing w:before="0" w:beforeAutospacing="0" w:after="0" w:afterAutospacing="0"/>
      </w:pPr>
      <w:r w:rsidRPr="00BA324D">
        <w:rPr>
          <w:b/>
        </w:rPr>
        <w:t>Alt+T</w:t>
      </w:r>
      <w:r>
        <w:tab/>
      </w:r>
      <w:r>
        <w:tab/>
        <w:t>Tune</w:t>
      </w:r>
    </w:p>
    <w:p w:rsidR="00BA324D" w:rsidRPr="00BA324D" w:rsidRDefault="00BA324D" w:rsidP="00BA324D">
      <w:pPr>
        <w:spacing w:before="0" w:beforeAutospacing="0" w:after="0" w:afterAutospacing="0"/>
      </w:pPr>
      <w:r w:rsidRPr="00BA324D">
        <w:rPr>
          <w:b/>
        </w:rPr>
        <w:t>Alt+V</w:t>
      </w:r>
      <w:r>
        <w:tab/>
      </w:r>
      <w:r>
        <w:tab/>
        <w:t>Save the most recently completed *.wav file</w:t>
      </w:r>
    </w:p>
    <w:p w:rsidR="00DF4D84" w:rsidRDefault="00DF4D84">
      <w:pPr>
        <w:rPr>
          <w:rFonts w:asciiTheme="majorHAnsi" w:eastAsiaTheme="majorEastAsia" w:hAnsiTheme="majorHAnsi" w:cstheme="majorBidi"/>
          <w:b/>
          <w:bCs/>
          <w:color w:val="365F91" w:themeColor="accent1" w:themeShade="BF"/>
          <w:sz w:val="28"/>
          <w:szCs w:val="28"/>
        </w:rPr>
      </w:pPr>
      <w:r>
        <w:br w:type="page"/>
      </w:r>
    </w:p>
    <w:p w:rsidR="00BA324D" w:rsidRDefault="00BA324D" w:rsidP="00BA324D">
      <w:pPr>
        <w:pStyle w:val="Heading1"/>
      </w:pPr>
      <w:bookmarkStart w:id="10" w:name="_Toc357676426"/>
      <w:r>
        <w:lastRenderedPageBreak/>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ck to set Rx and Tx frequencies</w:t>
            </w:r>
          </w:p>
          <w:p w:rsidR="003D2BA4" w:rsidRDefault="003D2BA4" w:rsidP="00BA324D">
            <w:r>
              <w:t>Ctrl-double-click to set Rx and Tx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Double-click to copy second callsign to Dx Call and locator to Dx Grid; change Rx and Tx frequencies to decoded signal's frequency; generate standard messages.  If first callsign is your own, Tx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D1568A" w:rsidP="001F3FCD">
      <w:pPr>
        <w:pStyle w:val="Heading1"/>
      </w:pPr>
      <w:bookmarkStart w:id="11" w:name="_Toc357676427"/>
      <w:r>
        <w:t>Under the Hood</w:t>
      </w:r>
      <w:bookmarkEnd w:id="11"/>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unmodulated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tone)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lastRenderedPageBreak/>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 xml:space="preserve">waveform in the sound card </w:t>
      </w:r>
      <w:r w:rsidR="00914917">
        <w:t>(</w:t>
      </w:r>
      <w:r w:rsidR="004036A2">
        <w:t>or equivalent USB interface</w:t>
      </w:r>
      <w:r w:rsidR="00914917">
        <w:t>)</w:t>
      </w:r>
      <w:r w:rsidR="004036A2">
        <w:t>.</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914917">
        <w:t xml:space="preserve">, </w:t>
      </w:r>
      <w:r w:rsidR="00914917" w:rsidRPr="00914917">
        <w:rPr>
          <w:b/>
        </w:rPr>
        <w:t>Cumulative</w:t>
      </w:r>
      <w:r w:rsidR="00914917">
        <w:t xml:space="preserve">, and </w:t>
      </w:r>
      <w:r w:rsidR="00914917" w:rsidRPr="00914917">
        <w:rPr>
          <w:b/>
        </w:rPr>
        <w:t>JT9 Sync</w:t>
      </w:r>
      <w:r w:rsidR="00914917">
        <w:t xml:space="preserve"> curves that can be </w:t>
      </w:r>
      <w:r>
        <w:t>displayed below the waterfall in the Wide Graph window.  As shown in the screenshot on page</w:t>
      </w:r>
      <w:r w:rsidR="00914917">
        <w:t xml:space="preserve"> 7, a   JT9-1</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pulse </w:t>
      </w:r>
      <w:r w:rsidR="00A105BE">
        <w:t xml:space="preserve">about 16 Hz wide.  </w:t>
      </w:r>
      <w:r>
        <w:t>By convention, the nominal frequency of a JT9 signal is tha</w:t>
      </w:r>
      <w:r w:rsidR="00914917">
        <w:t>t of the sync tone at the left edge.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0449A2">
        <w:t>the selected QSO Frequency,”</w:t>
      </w:r>
      <w:r w:rsidR="001E658C">
        <w:t xml:space="preserve"> and then </w:t>
      </w:r>
      <w:r w:rsidR="00914917">
        <w:t xml:space="preserve">in </w:t>
      </w:r>
      <w:r w:rsidR="001E658C">
        <w:t>the full range between blue</w:t>
      </w:r>
      <w:r w:rsidR="00E7706D">
        <w:t xml:space="preserve"> markers at</w:t>
      </w:r>
      <w:r w:rsidR="001E658C">
        <w:t xml:space="preserve"> f</w:t>
      </w:r>
      <w:r w:rsidR="001E658C" w:rsidRPr="001E658C">
        <w:rPr>
          <w:vertAlign w:val="subscript"/>
        </w:rPr>
        <w:t>min</w:t>
      </w:r>
      <w:r w:rsidR="001E658C">
        <w:t xml:space="preserve"> and f</w:t>
      </w:r>
      <w:r w:rsidR="001E658C" w:rsidRPr="001E658C">
        <w:rPr>
          <w:vertAlign w:val="subscript"/>
        </w:rPr>
        <w:t>max</w:t>
      </w:r>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in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ilter and d</w:t>
      </w:r>
      <w:r w:rsidR="009D678B">
        <w:rPr>
          <w:rFonts w:ascii="Courier New" w:hAnsi="Courier New"/>
          <w:sz w:val="22"/>
        </w:rPr>
        <w:t>ownsample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symbols,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r w:rsidRPr="00C05914">
        <w:rPr>
          <w:rFonts w:ascii="Courier New" w:hAnsi="Courier New"/>
          <w:sz w:val="22"/>
        </w:rPr>
        <w:t>sequence</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twkfreq:</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symbols,</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transform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r w:rsidRPr="00C05914">
        <w:rPr>
          <w:rFonts w:ascii="Courier New" w:hAnsi="Courier New"/>
          <w:sz w:val="22"/>
        </w:rPr>
        <w:t>transmitter</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"Fano"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unpackmsg:</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r w:rsidR="00C05914" w:rsidRPr="00C05914">
        <w:rPr>
          <w:rFonts w:ascii="Courier New" w:hAnsi="Courier New"/>
          <w:sz w:val="22"/>
        </w:rPr>
        <w:t>compressed</w:t>
      </w:r>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2" w:name="_Toc357676428"/>
      <w:r>
        <w:t>Acknowledgments</w:t>
      </w:r>
      <w:bookmarkEnd w:id="12"/>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sister </w:t>
      </w:r>
      <w:r w:rsidRPr="003B0EF3">
        <w:rPr>
          <w:rFonts w:ascii="Arial" w:hAnsi="Arial" w:cs="Arial"/>
          <w:color w:val="000000"/>
          <w:sz w:val="18"/>
          <w:szCs w:val="18"/>
        </w:rPr>
        <w:t xml:space="preserve"> programs.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3" w:name="_Toc357676429"/>
      <w:r>
        <w:t>Appendix A: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afmhot.dat</w:t>
      </w:r>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AFMH</w:t>
      </w:r>
      <w:r>
        <w:rPr>
          <w:rFonts w:ascii="Courier New" w:hAnsi="Courier New"/>
          <w:sz w:val="22"/>
        </w:rPr>
        <w:t>ot palette</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blue.dat</w:t>
      </w:r>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hamlib-alinco.dll</w:t>
      </w:r>
      <w:r>
        <w:rPr>
          <w:rFonts w:ascii="Courier New" w:hAnsi="Courier New"/>
          <w:sz w:val="22"/>
        </w:rPr>
        <w:tab/>
        <w:t>Hamlib 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hamlib-amsat.dll</w:t>
      </w:r>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hamlib-flexradio.dll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hamlib-icom.dll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hamlib-jrc.dll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hamlib-kachina.dll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hamlib-kenwood.dll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hamlib-kit.dll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hamlib-tapr.dll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hamlib-tentec.dll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hamlib-winradio.dll</w:t>
      </w:r>
    </w:p>
    <w:p w:rsidR="00DB5845" w:rsidRDefault="00DB5845" w:rsidP="00DB5845">
      <w:pPr>
        <w:spacing w:before="0" w:beforeAutospacing="0" w:after="0" w:afterAutospacing="0"/>
        <w:ind w:left="720"/>
        <w:rPr>
          <w:rFonts w:ascii="Courier New" w:hAnsi="Courier New"/>
          <w:sz w:val="22"/>
        </w:rPr>
      </w:pPr>
      <w:r w:rsidRPr="006F3780">
        <w:rPr>
          <w:rFonts w:ascii="Courier New" w:hAnsi="Courier New"/>
          <w:sz w:val="22"/>
        </w:rPr>
        <w:t>hamlib-yaesu.dll</w:t>
      </w:r>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r w:rsidRPr="006F3780">
        <w:rPr>
          <w:rFonts w:ascii="Courier New" w:hAnsi="Courier New"/>
          <w:sz w:val="22"/>
        </w:rPr>
        <w:t>jt9.exe</w:t>
      </w:r>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r>
        <w:rPr>
          <w:rFonts w:ascii="Courier New" w:hAnsi="Courier New"/>
          <w:sz w:val="22"/>
        </w:rPr>
        <w:t>jt9code.exe           Test program to illustrate JT9 encoding</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libfftw3f-3.dll</w:t>
      </w:r>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libgcc_s_dw2-1.dll</w:t>
      </w:r>
      <w:r>
        <w:rPr>
          <w:rFonts w:ascii="Courier New" w:hAnsi="Courier New"/>
          <w:sz w:val="22"/>
        </w:rPr>
        <w:tab/>
        <w:t>gcc runtime</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lastRenderedPageBreak/>
        <w:t>libhamlib-2.dll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libstdc++-6.dll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libusb0.dll</w:t>
      </w:r>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mingwm10.dll</w:t>
      </w:r>
      <w:r>
        <w:rPr>
          <w:rFonts w:ascii="Courier New" w:hAnsi="Courier New"/>
          <w:sz w:val="22"/>
        </w:rPr>
        <w:tab/>
      </w:r>
      <w:r>
        <w:rPr>
          <w:rFonts w:ascii="Courier New" w:hAnsi="Courier New"/>
          <w:sz w:val="22"/>
        </w:rPr>
        <w:tab/>
        <w:t>MinGW library</w:t>
      </w:r>
    </w:p>
    <w:p w:rsidR="00467B73" w:rsidRDefault="00467B73" w:rsidP="00467B73">
      <w:pPr>
        <w:spacing w:before="0" w:beforeAutospacing="0" w:after="0" w:afterAutospacing="0"/>
        <w:ind w:left="720"/>
        <w:rPr>
          <w:rFonts w:ascii="Courier New" w:hAnsi="Courier New"/>
          <w:sz w:val="22"/>
        </w:rPr>
      </w:pPr>
      <w:r w:rsidRPr="006F3780">
        <w:rPr>
          <w:rFonts w:ascii="Courier New" w:hAnsi="Courier New"/>
          <w:sz w:val="22"/>
        </w:rPr>
        <w:t>mouse_commands.txt</w:t>
      </w:r>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palir-02.dll</w:t>
      </w:r>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qwt.dll</w:t>
      </w:r>
      <w:r>
        <w:rPr>
          <w:rFonts w:ascii="Courier New" w:hAnsi="Courier New"/>
          <w:sz w:val="22"/>
        </w:rPr>
        <w:tab/>
      </w:r>
      <w:r>
        <w:rPr>
          <w:rFonts w:ascii="Courier New" w:hAnsi="Courier New"/>
          <w:sz w:val="22"/>
        </w:rPr>
        <w:tab/>
      </w:r>
      <w:r>
        <w:rPr>
          <w:rFonts w:ascii="Courier New" w:hAnsi="Courier New"/>
          <w:sz w:val="22"/>
        </w:rPr>
        <w:tab/>
        <w:t>Qwt library</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save</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shortcuts.txt</w:t>
      </w:r>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unins000.exe</w:t>
      </w:r>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r w:rsidRPr="006F3780">
        <w:rPr>
          <w:rFonts w:ascii="Courier New" w:hAnsi="Courier New"/>
          <w:sz w:val="22"/>
        </w:rPr>
        <w:t>wsjt.ico</w:t>
      </w:r>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r w:rsidRPr="006F3780">
        <w:rPr>
          <w:rFonts w:ascii="Courier New" w:hAnsi="Courier New"/>
          <w:sz w:val="22"/>
        </w:rPr>
        <w:t>wsjtx.exe</w:t>
      </w:r>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decoded.txt</w:t>
      </w:r>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timer.out</w:t>
      </w:r>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wsjtx.ini</w:t>
      </w:r>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r>
        <w:rPr>
          <w:rFonts w:ascii="Courier New" w:hAnsi="Courier New"/>
          <w:sz w:val="22"/>
        </w:rPr>
        <w:t>wsjtx_log.adi</w:t>
      </w:r>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wsjtx_status.txt</w:t>
      </w:r>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4" w:name="JT65_Protocol"/>
      <w:bookmarkEnd w:id="14"/>
      <w:r>
        <w:br w:type="page"/>
      </w:r>
    </w:p>
    <w:p w:rsidR="003D7807" w:rsidRDefault="00692842" w:rsidP="00467B73">
      <w:pPr>
        <w:pStyle w:val="Heading1"/>
        <w:spacing w:before="100" w:after="100"/>
      </w:pPr>
      <w:bookmarkStart w:id="15" w:name="_Toc357676430"/>
      <w:r>
        <w:lastRenderedPageBreak/>
        <w:t>Appendix B:  The JT9</w:t>
      </w:r>
      <w:r w:rsidR="00E423A3">
        <w:t xml:space="preserve"> Protocol</w:t>
      </w:r>
      <w:bookmarkEnd w:id="15"/>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(TRperiod - 8) / 85, where TRperiod is the T/R sequence length in seconds.  Exact symbol lengths are chosen so that nsps, the number of samples per symbol (at 12000 samples per second) is a number with no prime factor greater than 7.  This choice makes for efficient FFTs.  Tone spacing of the 9-FSK modulation is df = 1 / tsym = 12000 / nsps, equal to the keying rate.  The total occupied bandwidth is 9 × df.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es specify TRperiod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r w:rsidRPr="00FC7105">
              <w:t>nsps</w:t>
            </w:r>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6" w:name="_Toc26540272"/>
      <w:bookmarkStart w:id="17" w:name="_Toc142881090"/>
      <w:r>
        <w:br w:type="page"/>
      </w:r>
    </w:p>
    <w:p w:rsidR="003D7807" w:rsidRDefault="00692842" w:rsidP="003D7807">
      <w:pPr>
        <w:pStyle w:val="Heading1"/>
        <w:spacing w:before="120"/>
      </w:pPr>
      <w:bookmarkStart w:id="18" w:name="_Toc357676431"/>
      <w:r>
        <w:lastRenderedPageBreak/>
        <w:t>Appendix C</w:t>
      </w:r>
      <w:r w:rsidR="003D7807">
        <w:t xml:space="preserve">: </w:t>
      </w:r>
      <w:r w:rsidR="00F67B05">
        <w:t xml:space="preserve"> </w:t>
      </w:r>
      <w:r w:rsidR="003D7807">
        <w:t>Source Code</w:t>
      </w:r>
      <w:bookmarkEnd w:id="16"/>
      <w:bookmarkEnd w:id="17"/>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F67B05">
        <w:rPr>
          <w:rFonts w:ascii="Arial" w:hAnsi="Arial" w:cs="Arial"/>
        </w:rPr>
        <w:t xml:space="preserve">QtSDK, qwt, </w:t>
      </w:r>
      <w:r w:rsidR="000A58BD">
        <w:rPr>
          <w:rFonts w:ascii="Arial" w:hAnsi="Arial" w:cs="Arial"/>
        </w:rPr>
        <w:t xml:space="preserve">g++, </w:t>
      </w:r>
      <w:r w:rsidR="00F67B05">
        <w:rPr>
          <w:rFonts w:ascii="Arial" w:hAnsi="Arial" w:cs="Arial"/>
        </w:rPr>
        <w:t>g95 or gfortran</w:t>
      </w:r>
      <w:r w:rsidR="00A74D05">
        <w:rPr>
          <w:rFonts w:ascii="Arial" w:hAnsi="Arial" w:cs="Arial"/>
        </w:rPr>
        <w:t>, portaudio, fftw3</w:t>
      </w:r>
      <w:r>
        <w:rPr>
          <w:rFonts w:ascii="Arial" w:hAnsi="Arial" w:cs="Arial"/>
        </w:rPr>
        <w:t>, and hamlib</w:t>
      </w:r>
      <w:r w:rsidR="003D7807">
        <w:rPr>
          <w:rFonts w:ascii="Arial" w:hAnsi="Arial" w:cs="Arial"/>
        </w:rPr>
        <w:t xml:space="preserve">.  </w:t>
      </w:r>
      <w:r w:rsidR="00A74D05">
        <w:rPr>
          <w:rFonts w:ascii="Arial" w:hAnsi="Arial" w:cs="Arial"/>
        </w:rPr>
        <w:t>For compiling in Windows I recommend installing the MinGW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r>
        <w:rPr>
          <w:rFonts w:ascii="Courier New" w:hAnsi="Courier New" w:cs="Courier New"/>
          <w:sz w:val="22"/>
          <w:szCs w:val="22"/>
        </w:rPr>
        <w:t>svn co svn://svn.berl</w:t>
      </w:r>
      <w:r w:rsidR="00692842">
        <w:rPr>
          <w:rFonts w:ascii="Courier New" w:hAnsi="Courier New" w:cs="Courier New"/>
          <w:sz w:val="22"/>
          <w:szCs w:val="22"/>
        </w:rPr>
        <w:t xml:space="preserve">ios.de/wsjt/branches/wsjtx </w:t>
      </w: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E73" w:rsidRDefault="005F3E73" w:rsidP="00BC5C98">
      <w:pPr>
        <w:spacing w:before="0" w:after="0" w:line="240" w:lineRule="auto"/>
      </w:pPr>
      <w:r>
        <w:separator/>
      </w:r>
    </w:p>
  </w:endnote>
  <w:endnote w:type="continuationSeparator" w:id="0">
    <w:p w:rsidR="005F3E73" w:rsidRDefault="005F3E73"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8C2CFF" w:rsidRDefault="008C2CFF">
        <w:pPr>
          <w:pStyle w:val="Footer"/>
          <w:jc w:val="center"/>
        </w:pPr>
        <w:r>
          <w:fldChar w:fldCharType="begin"/>
        </w:r>
        <w:r>
          <w:instrText xml:space="preserve"> PAGE   \* MERGEFORMAT </w:instrText>
        </w:r>
        <w:r>
          <w:fldChar w:fldCharType="separate"/>
        </w:r>
        <w:r w:rsidR="00916B18">
          <w:rPr>
            <w:noProof/>
          </w:rPr>
          <w:t>23</w:t>
        </w:r>
        <w:r>
          <w:rPr>
            <w:noProof/>
          </w:rPr>
          <w:fldChar w:fldCharType="end"/>
        </w:r>
      </w:p>
    </w:sdtContent>
  </w:sdt>
  <w:p w:rsidR="008C2CFF" w:rsidRDefault="008C2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E73" w:rsidRDefault="005F3E73" w:rsidP="00BC5C98">
      <w:pPr>
        <w:spacing w:before="0" w:after="0" w:line="240" w:lineRule="auto"/>
      </w:pPr>
      <w:r>
        <w:separator/>
      </w:r>
    </w:p>
  </w:footnote>
  <w:footnote w:type="continuationSeparator" w:id="0">
    <w:p w:rsidR="005F3E73" w:rsidRDefault="005F3E73" w:rsidP="00BC5C98">
      <w:pPr>
        <w:spacing w:before="0" w:after="0" w:line="240" w:lineRule="auto"/>
      </w:pPr>
      <w:r>
        <w:continuationSeparator/>
      </w:r>
    </w:p>
  </w:footnote>
  <w:footnote w:id="1">
    <w:p w:rsidR="008C2CFF" w:rsidRDefault="008C2CFF">
      <w:pPr>
        <w:pStyle w:val="FootnoteText"/>
      </w:pPr>
      <w:r>
        <w:rPr>
          <w:rStyle w:val="FootnoteReference"/>
        </w:rPr>
        <w:footnoteRef/>
      </w:r>
      <w:r>
        <w:t xml:space="preserve"> Experimental versions of </w:t>
      </w:r>
      <w:r w:rsidRPr="0028711B">
        <w:rPr>
          <w:i/>
        </w:rPr>
        <w:t>WSJT_X</w:t>
      </w:r>
      <w:r>
        <w:t xml:space="preserve"> have offered </w:t>
      </w:r>
      <w:r w:rsidRPr="00483195">
        <w:t>submodes JT9-5, JT9-10, and JT9-30</w:t>
      </w:r>
      <w:r>
        <w:t xml:space="preserve"> with even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2545"/>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8711B"/>
    <w:rsid w:val="00297487"/>
    <w:rsid w:val="002A7762"/>
    <w:rsid w:val="002C5629"/>
    <w:rsid w:val="002C76F4"/>
    <w:rsid w:val="002D0597"/>
    <w:rsid w:val="002E26F5"/>
    <w:rsid w:val="002E6D5F"/>
    <w:rsid w:val="003247C4"/>
    <w:rsid w:val="003260FA"/>
    <w:rsid w:val="0033681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68AD"/>
    <w:rsid w:val="00551116"/>
    <w:rsid w:val="00563ED2"/>
    <w:rsid w:val="00577F88"/>
    <w:rsid w:val="005862FB"/>
    <w:rsid w:val="005975DF"/>
    <w:rsid w:val="005B6A06"/>
    <w:rsid w:val="005C22AD"/>
    <w:rsid w:val="005C435F"/>
    <w:rsid w:val="005D12B2"/>
    <w:rsid w:val="005D417D"/>
    <w:rsid w:val="005E4E70"/>
    <w:rsid w:val="005F3E73"/>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50FB"/>
    <w:rsid w:val="008C76B0"/>
    <w:rsid w:val="008D4196"/>
    <w:rsid w:val="008F30E6"/>
    <w:rsid w:val="0091043E"/>
    <w:rsid w:val="00914917"/>
    <w:rsid w:val="00916B18"/>
    <w:rsid w:val="00926C1B"/>
    <w:rsid w:val="00931AF9"/>
    <w:rsid w:val="009414F1"/>
    <w:rsid w:val="00942398"/>
    <w:rsid w:val="00945324"/>
    <w:rsid w:val="00945764"/>
    <w:rsid w:val="009552D4"/>
    <w:rsid w:val="00963764"/>
    <w:rsid w:val="00964042"/>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1654"/>
    <w:rsid w:val="00A55DCB"/>
    <w:rsid w:val="00A60917"/>
    <w:rsid w:val="00A61A03"/>
    <w:rsid w:val="00A62759"/>
    <w:rsid w:val="00A7414E"/>
    <w:rsid w:val="00A74B1B"/>
    <w:rsid w:val="00A74D05"/>
    <w:rsid w:val="00A80954"/>
    <w:rsid w:val="00A8658E"/>
    <w:rsid w:val="00A91748"/>
    <w:rsid w:val="00A9710F"/>
    <w:rsid w:val="00AB1B30"/>
    <w:rsid w:val="00AC5902"/>
    <w:rsid w:val="00AC7A35"/>
    <w:rsid w:val="00AD0C37"/>
    <w:rsid w:val="00AE0E08"/>
    <w:rsid w:val="00AE2BA1"/>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D44FC"/>
    <w:rsid w:val="00DD4D9A"/>
    <w:rsid w:val="00DD61B0"/>
    <w:rsid w:val="00DE00F1"/>
    <w:rsid w:val="00DF4D84"/>
    <w:rsid w:val="00DF773F"/>
    <w:rsid w:val="00E1433D"/>
    <w:rsid w:val="00E21114"/>
    <w:rsid w:val="00E21575"/>
    <w:rsid w:val="00E21E1E"/>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gnu.org/licenses/gpl.html" TargetMode="Externa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F0AD3-AE4D-4063-9EA7-630D1196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2</cp:revision>
  <cp:lastPrinted>2013-05-30T19:28:00Z</cp:lastPrinted>
  <dcterms:created xsi:type="dcterms:W3CDTF">2013-07-02T12:58:00Z</dcterms:created>
  <dcterms:modified xsi:type="dcterms:W3CDTF">2013-07-02T12:58:00Z</dcterms:modified>
</cp:coreProperties>
</file>