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F0F95" w:rsidP="0082263E">
      <w:pPr>
        <w:jc w:val="center"/>
        <w:rPr>
          <w:rFonts w:ascii="Arial" w:hAnsi="Arial" w:cs="Arial"/>
          <w:b/>
          <w:color w:val="365F91"/>
        </w:rPr>
      </w:pPr>
      <w:r>
        <w:rPr>
          <w:rFonts w:ascii="Arial" w:hAnsi="Arial" w:cs="Arial"/>
          <w:b/>
          <w:color w:val="365F91"/>
        </w:rPr>
        <w:t>July 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E21E1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676417" w:history="1">
            <w:r w:rsidR="00E21E1E" w:rsidRPr="00215BC8">
              <w:rPr>
                <w:rStyle w:val="Hyperlink"/>
                <w:noProof/>
              </w:rPr>
              <w:t>Introduction</w:t>
            </w:r>
            <w:r w:rsidR="00E21E1E">
              <w:rPr>
                <w:noProof/>
                <w:webHidden/>
              </w:rPr>
              <w:tab/>
            </w:r>
            <w:r w:rsidR="00E21E1E">
              <w:rPr>
                <w:noProof/>
                <w:webHidden/>
              </w:rPr>
              <w:fldChar w:fldCharType="begin"/>
            </w:r>
            <w:r w:rsidR="00E21E1E">
              <w:rPr>
                <w:noProof/>
                <w:webHidden/>
              </w:rPr>
              <w:instrText xml:space="preserve"> PAGEREF _Toc357676417 \h </w:instrText>
            </w:r>
            <w:r w:rsidR="00E21E1E">
              <w:rPr>
                <w:noProof/>
                <w:webHidden/>
              </w:rPr>
            </w:r>
            <w:r w:rsidR="00E21E1E">
              <w:rPr>
                <w:noProof/>
                <w:webHidden/>
              </w:rPr>
              <w:fldChar w:fldCharType="separate"/>
            </w:r>
            <w:r w:rsidR="005345C6">
              <w:rPr>
                <w:noProof/>
                <w:webHidden/>
              </w:rPr>
              <w:t>3</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18" w:history="1">
            <w:r w:rsidR="00E21E1E" w:rsidRPr="00215BC8">
              <w:rPr>
                <w:rStyle w:val="Hyperlink"/>
                <w:noProof/>
              </w:rPr>
              <w:t>System Requirements</w:t>
            </w:r>
            <w:r w:rsidR="00E21E1E">
              <w:rPr>
                <w:noProof/>
                <w:webHidden/>
              </w:rPr>
              <w:tab/>
            </w:r>
            <w:r w:rsidR="00E21E1E">
              <w:rPr>
                <w:noProof/>
                <w:webHidden/>
              </w:rPr>
              <w:fldChar w:fldCharType="begin"/>
            </w:r>
            <w:r w:rsidR="00E21E1E">
              <w:rPr>
                <w:noProof/>
                <w:webHidden/>
              </w:rPr>
              <w:instrText xml:space="preserve"> PAGEREF _Toc357676418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19" w:history="1">
            <w:r w:rsidR="00E21E1E" w:rsidRPr="00215BC8">
              <w:rPr>
                <w:rStyle w:val="Hyperlink"/>
                <w:noProof/>
              </w:rPr>
              <w:t>Installation and Setup</w:t>
            </w:r>
            <w:r w:rsidR="00E21E1E">
              <w:rPr>
                <w:noProof/>
                <w:webHidden/>
              </w:rPr>
              <w:tab/>
            </w:r>
            <w:r w:rsidR="00E21E1E">
              <w:rPr>
                <w:noProof/>
                <w:webHidden/>
              </w:rPr>
              <w:fldChar w:fldCharType="begin"/>
            </w:r>
            <w:r w:rsidR="00E21E1E">
              <w:rPr>
                <w:noProof/>
                <w:webHidden/>
              </w:rPr>
              <w:instrText xml:space="preserve"> PAGEREF _Toc357676419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0" w:history="1">
            <w:r w:rsidR="00E21E1E" w:rsidRPr="00215BC8">
              <w:rPr>
                <w:rStyle w:val="Hyperlink"/>
                <w:noProof/>
              </w:rPr>
              <w:t>Basic Operating Tutorial</w:t>
            </w:r>
            <w:r w:rsidR="00E21E1E">
              <w:rPr>
                <w:noProof/>
                <w:webHidden/>
              </w:rPr>
              <w:tab/>
            </w:r>
            <w:r w:rsidR="00E21E1E">
              <w:rPr>
                <w:noProof/>
                <w:webHidden/>
              </w:rPr>
              <w:fldChar w:fldCharType="begin"/>
            </w:r>
            <w:r w:rsidR="00E21E1E">
              <w:rPr>
                <w:noProof/>
                <w:webHidden/>
              </w:rPr>
              <w:instrText xml:space="preserve"> PAGEREF _Toc357676420 \h </w:instrText>
            </w:r>
            <w:r w:rsidR="00E21E1E">
              <w:rPr>
                <w:noProof/>
                <w:webHidden/>
              </w:rPr>
            </w:r>
            <w:r w:rsidR="00E21E1E">
              <w:rPr>
                <w:noProof/>
                <w:webHidden/>
              </w:rPr>
              <w:fldChar w:fldCharType="separate"/>
            </w:r>
            <w:r w:rsidR="005345C6">
              <w:rPr>
                <w:noProof/>
                <w:webHidden/>
              </w:rPr>
              <w:t>6</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1" w:history="1">
            <w:r w:rsidR="00E21E1E" w:rsidRPr="00215BC8">
              <w:rPr>
                <w:rStyle w:val="Hyperlink"/>
                <w:noProof/>
              </w:rPr>
              <w:t>Making QSOs</w:t>
            </w:r>
            <w:r w:rsidR="00E21E1E">
              <w:rPr>
                <w:noProof/>
                <w:webHidden/>
              </w:rPr>
              <w:tab/>
            </w:r>
            <w:r w:rsidR="00E21E1E">
              <w:rPr>
                <w:noProof/>
                <w:webHidden/>
              </w:rPr>
              <w:fldChar w:fldCharType="begin"/>
            </w:r>
            <w:r w:rsidR="00E21E1E">
              <w:rPr>
                <w:noProof/>
                <w:webHidden/>
              </w:rPr>
              <w:instrText xml:space="preserve"> PAGEREF _Toc357676421 \h </w:instrText>
            </w:r>
            <w:r w:rsidR="00E21E1E">
              <w:rPr>
                <w:noProof/>
                <w:webHidden/>
              </w:rPr>
            </w:r>
            <w:r w:rsidR="00E21E1E">
              <w:rPr>
                <w:noProof/>
                <w:webHidden/>
              </w:rPr>
              <w:fldChar w:fldCharType="separate"/>
            </w:r>
            <w:r w:rsidR="005345C6">
              <w:rPr>
                <w:noProof/>
                <w:webHidden/>
              </w:rPr>
              <w:t>9</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2" w:history="1">
            <w:r w:rsidR="00E21E1E" w:rsidRPr="00215BC8">
              <w:rPr>
                <w:rStyle w:val="Hyperlink"/>
                <w:noProof/>
              </w:rPr>
              <w:t>On-Screen Controls</w:t>
            </w:r>
            <w:r w:rsidR="00E21E1E">
              <w:rPr>
                <w:noProof/>
                <w:webHidden/>
              </w:rPr>
              <w:tab/>
            </w:r>
            <w:r w:rsidR="00E21E1E">
              <w:rPr>
                <w:noProof/>
                <w:webHidden/>
              </w:rPr>
              <w:fldChar w:fldCharType="begin"/>
            </w:r>
            <w:r w:rsidR="00E21E1E">
              <w:rPr>
                <w:noProof/>
                <w:webHidden/>
              </w:rPr>
              <w:instrText xml:space="preserve"> PAGEREF _Toc357676422 \h </w:instrText>
            </w:r>
            <w:r w:rsidR="00E21E1E">
              <w:rPr>
                <w:noProof/>
                <w:webHidden/>
              </w:rPr>
            </w:r>
            <w:r w:rsidR="00E21E1E">
              <w:rPr>
                <w:noProof/>
                <w:webHidden/>
              </w:rPr>
              <w:fldChar w:fldCharType="separate"/>
            </w:r>
            <w:r w:rsidR="005345C6">
              <w:rPr>
                <w:noProof/>
                <w:webHidden/>
              </w:rPr>
              <w:t>10</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3" w:history="1">
            <w:r w:rsidR="00E21E1E" w:rsidRPr="00215BC8">
              <w:rPr>
                <w:rStyle w:val="Hyperlink"/>
                <w:noProof/>
              </w:rPr>
              <w:t>Status Bar</w:t>
            </w:r>
            <w:r w:rsidR="00E21E1E">
              <w:rPr>
                <w:noProof/>
                <w:webHidden/>
              </w:rPr>
              <w:tab/>
            </w:r>
            <w:r w:rsidR="00E21E1E">
              <w:rPr>
                <w:noProof/>
                <w:webHidden/>
              </w:rPr>
              <w:fldChar w:fldCharType="begin"/>
            </w:r>
            <w:r w:rsidR="00E21E1E">
              <w:rPr>
                <w:noProof/>
                <w:webHidden/>
              </w:rPr>
              <w:instrText xml:space="preserve"> PAGEREF _Toc357676423 \h </w:instrText>
            </w:r>
            <w:r w:rsidR="00E21E1E">
              <w:rPr>
                <w:noProof/>
                <w:webHidden/>
              </w:rPr>
            </w:r>
            <w:r w:rsidR="00E21E1E">
              <w:rPr>
                <w:noProof/>
                <w:webHidden/>
              </w:rPr>
              <w:fldChar w:fldCharType="separate"/>
            </w:r>
            <w:r w:rsidR="005345C6">
              <w:rPr>
                <w:noProof/>
                <w:webHidden/>
              </w:rPr>
              <w:t>15</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4" w:history="1">
            <w:r w:rsidR="00E21E1E" w:rsidRPr="00215BC8">
              <w:rPr>
                <w:rStyle w:val="Hyperlink"/>
                <w:noProof/>
              </w:rPr>
              <w:t>Menus</w:t>
            </w:r>
            <w:r w:rsidR="00E21E1E">
              <w:rPr>
                <w:noProof/>
                <w:webHidden/>
              </w:rPr>
              <w:tab/>
            </w:r>
            <w:r w:rsidR="00E21E1E">
              <w:rPr>
                <w:noProof/>
                <w:webHidden/>
              </w:rPr>
              <w:fldChar w:fldCharType="begin"/>
            </w:r>
            <w:r w:rsidR="00E21E1E">
              <w:rPr>
                <w:noProof/>
                <w:webHidden/>
              </w:rPr>
              <w:instrText xml:space="preserve"> PAGEREF _Toc357676424 \h </w:instrText>
            </w:r>
            <w:r w:rsidR="00E21E1E">
              <w:rPr>
                <w:noProof/>
                <w:webHidden/>
              </w:rPr>
            </w:r>
            <w:r w:rsidR="00E21E1E">
              <w:rPr>
                <w:noProof/>
                <w:webHidden/>
              </w:rPr>
              <w:fldChar w:fldCharType="separate"/>
            </w:r>
            <w:r w:rsidR="005345C6">
              <w:rPr>
                <w:noProof/>
                <w:webHidden/>
              </w:rPr>
              <w:t>16</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5" w:history="1">
            <w:r w:rsidR="00E21E1E" w:rsidRPr="00215BC8">
              <w:rPr>
                <w:rStyle w:val="Hyperlink"/>
                <w:noProof/>
              </w:rPr>
              <w:t>Keyboard Shortcuts</w:t>
            </w:r>
            <w:r w:rsidR="00E21E1E">
              <w:rPr>
                <w:noProof/>
                <w:webHidden/>
              </w:rPr>
              <w:tab/>
            </w:r>
            <w:r w:rsidR="00E21E1E">
              <w:rPr>
                <w:noProof/>
                <w:webHidden/>
              </w:rPr>
              <w:fldChar w:fldCharType="begin"/>
            </w:r>
            <w:r w:rsidR="00E21E1E">
              <w:rPr>
                <w:noProof/>
                <w:webHidden/>
              </w:rPr>
              <w:instrText xml:space="preserve"> PAGEREF _Toc357676425 \h </w:instrText>
            </w:r>
            <w:r w:rsidR="00E21E1E">
              <w:rPr>
                <w:noProof/>
                <w:webHidden/>
              </w:rPr>
            </w:r>
            <w:r w:rsidR="00E21E1E">
              <w:rPr>
                <w:noProof/>
                <w:webHidden/>
              </w:rPr>
              <w:fldChar w:fldCharType="separate"/>
            </w:r>
            <w:r w:rsidR="005345C6">
              <w:rPr>
                <w:noProof/>
                <w:webHidden/>
              </w:rPr>
              <w:t>18</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6" w:history="1">
            <w:r w:rsidR="00E21E1E" w:rsidRPr="00215BC8">
              <w:rPr>
                <w:rStyle w:val="Hyperlink"/>
                <w:noProof/>
              </w:rPr>
              <w:t>Special Mouse Commands</w:t>
            </w:r>
            <w:r w:rsidR="00E21E1E">
              <w:rPr>
                <w:noProof/>
                <w:webHidden/>
              </w:rPr>
              <w:tab/>
            </w:r>
            <w:r w:rsidR="00E21E1E">
              <w:rPr>
                <w:noProof/>
                <w:webHidden/>
              </w:rPr>
              <w:fldChar w:fldCharType="begin"/>
            </w:r>
            <w:r w:rsidR="00E21E1E">
              <w:rPr>
                <w:noProof/>
                <w:webHidden/>
              </w:rPr>
              <w:instrText xml:space="preserve"> PAGEREF _Toc357676426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7" w:history="1">
            <w:r w:rsidR="00E21E1E" w:rsidRPr="00215BC8">
              <w:rPr>
                <w:rStyle w:val="Hyperlink"/>
                <w:noProof/>
              </w:rPr>
              <w:t>Under the Hood</w:t>
            </w:r>
            <w:r w:rsidR="00E21E1E">
              <w:rPr>
                <w:noProof/>
                <w:webHidden/>
              </w:rPr>
              <w:tab/>
            </w:r>
            <w:r w:rsidR="00E21E1E">
              <w:rPr>
                <w:noProof/>
                <w:webHidden/>
              </w:rPr>
              <w:fldChar w:fldCharType="begin"/>
            </w:r>
            <w:r w:rsidR="00E21E1E">
              <w:rPr>
                <w:noProof/>
                <w:webHidden/>
              </w:rPr>
              <w:instrText xml:space="preserve"> PAGEREF _Toc357676427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8" w:history="1">
            <w:r w:rsidR="00E21E1E" w:rsidRPr="00215BC8">
              <w:rPr>
                <w:rStyle w:val="Hyperlink"/>
                <w:noProof/>
              </w:rPr>
              <w:t>Acknowledgments</w:t>
            </w:r>
            <w:r w:rsidR="00E21E1E">
              <w:rPr>
                <w:noProof/>
                <w:webHidden/>
              </w:rPr>
              <w:tab/>
            </w:r>
            <w:r w:rsidR="00E21E1E">
              <w:rPr>
                <w:noProof/>
                <w:webHidden/>
              </w:rPr>
              <w:fldChar w:fldCharType="begin"/>
            </w:r>
            <w:r w:rsidR="00E21E1E">
              <w:rPr>
                <w:noProof/>
                <w:webHidden/>
              </w:rPr>
              <w:instrText xml:space="preserve"> PAGEREF _Toc357676428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29" w:history="1">
            <w:r w:rsidR="00E21E1E" w:rsidRPr="00215BC8">
              <w:rPr>
                <w:rStyle w:val="Hyperlink"/>
                <w:noProof/>
              </w:rPr>
              <w:t>Appendix A: Installed and Generated Files</w:t>
            </w:r>
            <w:r w:rsidR="00E21E1E">
              <w:rPr>
                <w:noProof/>
                <w:webHidden/>
              </w:rPr>
              <w:tab/>
            </w:r>
            <w:r w:rsidR="00E21E1E">
              <w:rPr>
                <w:noProof/>
                <w:webHidden/>
              </w:rPr>
              <w:fldChar w:fldCharType="begin"/>
            </w:r>
            <w:r w:rsidR="00E21E1E">
              <w:rPr>
                <w:noProof/>
                <w:webHidden/>
              </w:rPr>
              <w:instrText xml:space="preserve"> PAGEREF _Toc357676429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30" w:history="1">
            <w:r w:rsidR="00E21E1E" w:rsidRPr="00215BC8">
              <w:rPr>
                <w:rStyle w:val="Hyperlink"/>
                <w:noProof/>
              </w:rPr>
              <w:t>Appendix B:  The JT9 Protocol</w:t>
            </w:r>
            <w:r w:rsidR="00E21E1E">
              <w:rPr>
                <w:noProof/>
                <w:webHidden/>
              </w:rPr>
              <w:tab/>
            </w:r>
            <w:r w:rsidR="00E21E1E">
              <w:rPr>
                <w:noProof/>
                <w:webHidden/>
              </w:rPr>
              <w:fldChar w:fldCharType="begin"/>
            </w:r>
            <w:r w:rsidR="00E21E1E">
              <w:rPr>
                <w:noProof/>
                <w:webHidden/>
              </w:rPr>
              <w:instrText xml:space="preserve"> PAGEREF _Toc357676430 \h </w:instrText>
            </w:r>
            <w:r w:rsidR="00E21E1E">
              <w:rPr>
                <w:noProof/>
                <w:webHidden/>
              </w:rPr>
            </w:r>
            <w:r w:rsidR="00E21E1E">
              <w:rPr>
                <w:noProof/>
                <w:webHidden/>
              </w:rPr>
              <w:fldChar w:fldCharType="separate"/>
            </w:r>
            <w:r w:rsidR="005345C6">
              <w:rPr>
                <w:noProof/>
                <w:webHidden/>
              </w:rPr>
              <w:t>23</w:t>
            </w:r>
            <w:r w:rsidR="00E21E1E">
              <w:rPr>
                <w:noProof/>
                <w:webHidden/>
              </w:rPr>
              <w:fldChar w:fldCharType="end"/>
            </w:r>
          </w:hyperlink>
        </w:p>
        <w:p w:rsidR="00E21E1E" w:rsidRDefault="00654363">
          <w:pPr>
            <w:pStyle w:val="TOC1"/>
            <w:tabs>
              <w:tab w:val="right" w:leader="dot" w:pos="9350"/>
            </w:tabs>
            <w:rPr>
              <w:rFonts w:eastAsiaTheme="minorEastAsia" w:cstheme="minorBidi"/>
              <w:noProof/>
              <w:sz w:val="22"/>
              <w:szCs w:val="22"/>
            </w:rPr>
          </w:pPr>
          <w:hyperlink w:anchor="_Toc357676431" w:history="1">
            <w:r w:rsidR="00E21E1E" w:rsidRPr="00215BC8">
              <w:rPr>
                <w:rStyle w:val="Hyperlink"/>
                <w:noProof/>
              </w:rPr>
              <w:t>Appendix C:  Source Code</w:t>
            </w:r>
            <w:r w:rsidR="00E21E1E">
              <w:rPr>
                <w:noProof/>
                <w:webHidden/>
              </w:rPr>
              <w:tab/>
            </w:r>
            <w:r w:rsidR="00E21E1E">
              <w:rPr>
                <w:noProof/>
                <w:webHidden/>
              </w:rPr>
              <w:fldChar w:fldCharType="begin"/>
            </w:r>
            <w:r w:rsidR="00E21E1E">
              <w:rPr>
                <w:noProof/>
                <w:webHidden/>
              </w:rPr>
              <w:instrText xml:space="preserve"> PAGEREF _Toc357676431 \h </w:instrText>
            </w:r>
            <w:r w:rsidR="00E21E1E">
              <w:rPr>
                <w:noProof/>
                <w:webHidden/>
              </w:rPr>
            </w:r>
            <w:r w:rsidR="00E21E1E">
              <w:rPr>
                <w:noProof/>
                <w:webHidden/>
              </w:rPr>
              <w:fldChar w:fldCharType="separate"/>
            </w:r>
            <w:r w:rsidR="005345C6">
              <w:rPr>
                <w:noProof/>
                <w:webHidden/>
              </w:rPr>
              <w:t>24</w:t>
            </w:r>
            <w:r w:rsidR="00E21E1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7676417"/>
      <w:r>
        <w:lastRenderedPageBreak/>
        <w:t>Introduction</w:t>
      </w:r>
      <w:bookmarkEnd w:id="0"/>
    </w:p>
    <w:p w:rsidR="001900C5" w:rsidRDefault="00654363"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 xml:space="preserve">extended, </w:t>
      </w:r>
      <w:r w:rsidR="001900C5">
        <w:t>experimental</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t xml:space="preserve">two protocols or “modes”: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w:t>
      </w:r>
      <w:r w:rsidR="009C6112">
        <w:t>of alternating transmission and reception</w:t>
      </w:r>
      <w:r w:rsidR="009C6112">
        <w:rPr>
          <w:rStyle w:val="FootnoteReference"/>
        </w:rPr>
        <w:footnoteReference w:id="1"/>
      </w:r>
      <w:r w:rsidR="009C6112">
        <w:t>, so a</w:t>
      </w:r>
      <w:r w:rsidR="00727DF3">
        <w:t xml:space="preserve"> minimal QSO takes 4 to 6 minutes:  2 or 3 transmissions by each station, one transmitting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Pr="00602D6D">
        <w:t>increases</w:t>
      </w:r>
      <w:proofErr w:type="gramEnd"/>
      <w:r w:rsidRPr="00602D6D">
        <w:t xml:space="preserve"> </w:t>
      </w:r>
      <w:r>
        <w:t xml:space="preserve">the </w:t>
      </w:r>
      <w:r w:rsidRPr="00602D6D">
        <w:t>maximum displayed ban</w:t>
      </w:r>
      <w:r>
        <w:t xml:space="preserve">dwidth from 1000 to </w:t>
      </w:r>
      <w:proofErr w:type="spellStart"/>
      <w:r>
        <w:t>to</w:t>
      </w:r>
      <w:proofErr w:type="spellEnd"/>
      <w:r>
        <w:t xml:space="preserve"> 5000 Hz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  The full range of frequencies occupied by JT65 and JT9 signals will then be displayed on the waterfall, and you can make QSOs</w:t>
      </w:r>
      <w:r>
        <w:t xml:space="preserve"> i</w:t>
      </w:r>
      <w:r w:rsidRPr="00602D6D">
        <w:t xml:space="preserve">n both modes using </w:t>
      </w:r>
      <w:r>
        <w:t>nothing more than the usual double-</w:t>
      </w:r>
      <w:r w:rsidRPr="00602D6D">
        <w:t xml:space="preserve">mouse-click procedure.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57676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7676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w:t>
      </w:r>
      <w:r w:rsidR="007E6E0F">
        <w:rPr>
          <w:rFonts w:eastAsia="Times New Roman"/>
        </w:rPr>
        <w:lastRenderedPageBreak/>
        <w:t xml:space="preserve">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6793A" w:rsidP="00926C1B">
      <w:pPr>
        <w:spacing w:after="120" w:afterAutospacing="0"/>
        <w:ind w:left="360"/>
        <w:jc w:val="center"/>
        <w:rPr>
          <w:rFonts w:eastAsia="Times New Roman"/>
        </w:rPr>
      </w:pPr>
      <w:r>
        <w:rPr>
          <w:rFonts w:eastAsia="Times New Roman"/>
          <w:noProof/>
        </w:rPr>
        <w:drawing>
          <wp:inline distT="0" distB="0" distL="0" distR="0">
            <wp:extent cx="5448300"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50673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w:t>
      </w:r>
      <w:r w:rsidR="00470476">
        <w:rPr>
          <w:rFonts w:eastAsia="Times New Roman"/>
        </w:rPr>
        <w:t xml:space="preserve">“9999 Ham Radio deluxe” </w:t>
      </w:r>
      <w:r>
        <w:rPr>
          <w:rFonts w:eastAsia="Times New Roman"/>
        </w:rPr>
        <w:t xml:space="preserve">from the drop-down list of rigs.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7676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bookmarkStart w:id="4" w:name="_GoBack"/>
      <w:bookmarkEnd w:id="4"/>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D558CF">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 xml:space="preserve">(“QSO 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D173C0" w:rsidP="00D558CF">
      <w:pPr>
        <w:spacing w:after="120" w:afterAutospacing="0"/>
        <w:rPr>
          <w:rFonts w:eastAsia="Times New Roman"/>
        </w:rPr>
      </w:pPr>
      <w:r>
        <w:rPr>
          <w:rFonts w:eastAsia="Times New Roman"/>
          <w:noProof/>
        </w:rPr>
        <w:drawing>
          <wp:inline distT="0" distB="0" distL="0" distR="0">
            <wp:extent cx="6208776"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776" cy="4754880"/>
                    </a:xfrm>
                    <a:prstGeom prst="rect">
                      <a:avLst/>
                    </a:prstGeom>
                    <a:noFill/>
                    <a:ln>
                      <a:noFill/>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 xml:space="preserve">s finishing a QSO </w:t>
      </w:r>
      <w:r w:rsidR="00F95ADF" w:rsidRPr="00DB05D2">
        <w:rPr>
          <w:rFonts w:eastAsia="Times New Roman"/>
        </w:rPr>
        <w:lastRenderedPageBreak/>
        <w:t>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3260FA">
        <w:rPr>
          <w:rFonts w:eastAsia="Times New Roman"/>
        </w:rPr>
        <w:t xml:space="preserve">.  </w:t>
      </w:r>
      <w:r w:rsidR="00DB05D2">
        <w:rPr>
          <w:rFonts w:eastAsia="Times New Roman"/>
        </w:rPr>
        <w:t xml:space="preserve">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 “</w:t>
      </w:r>
      <w:proofErr w:type="spellStart"/>
      <w:r w:rsidR="003260FA">
        <w:rPr>
          <w:rFonts w:eastAsia="Times New Roman"/>
        </w:rPr>
        <w:t>Tx</w:t>
      </w:r>
      <w:proofErr w:type="spellEnd"/>
      <w:r w:rsidR="003260FA">
        <w:rPr>
          <w:rFonts w:eastAsia="Times New Roman"/>
        </w:rPr>
        <w:t xml:space="preserve"> </w:t>
      </w:r>
      <w:proofErr w:type="spellStart"/>
      <w:r w:rsidR="003260FA">
        <w:rPr>
          <w:rFonts w:eastAsia="Times New Roman"/>
        </w:rPr>
        <w:t>freq</w:t>
      </w:r>
      <w:proofErr w:type="spellEnd"/>
      <w:r w:rsidR="003260FA">
        <w:rPr>
          <w:rFonts w:eastAsia="Times New Roman"/>
        </w:rPr>
        <w:t xml:space="preserve"> locked to Rx </w:t>
      </w:r>
      <w:proofErr w:type="spellStart"/>
      <w:r w:rsidR="003260FA">
        <w:rPr>
          <w:rFonts w:eastAsia="Times New Roman"/>
        </w:rPr>
        <w:t>freq</w:t>
      </w:r>
      <w:proofErr w:type="spellEnd"/>
      <w:r w:rsidR="003260FA">
        <w:rPr>
          <w:rFonts w:eastAsia="Times New Roman"/>
        </w:rPr>
        <w:t xml:space="preserve">” on the </w:t>
      </w:r>
      <w:r w:rsidR="003260FA" w:rsidRPr="003260FA">
        <w:rPr>
          <w:rFonts w:eastAsia="Times New Roman"/>
          <w:b/>
        </w:rPr>
        <w:t>Setup</w:t>
      </w:r>
      <w:r w:rsidR="003260FA">
        <w:rPr>
          <w:rFonts w:eastAsia="Times New Roman"/>
        </w:rPr>
        <w:t xml:space="preserve"> menu</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et the background noise level to around 30 dB on the scale at lower left of the</w:t>
      </w:r>
      <w:r w:rsidR="00983936">
        <w:rPr>
          <w:rFonts w:eastAsia="Times New Roman"/>
        </w:rPr>
        <w:t xml:space="preserve"> </w:t>
      </w:r>
      <w:r w:rsidR="00AF3FA4" w:rsidRPr="00AF3FA4">
        <w:rPr>
          <w:rFonts w:eastAsia="Times New Roman"/>
        </w:rPr>
        <w:t>main</w:t>
      </w:r>
      <w:r w:rsidR="008C2CFF">
        <w:rPr>
          <w:rFonts w:eastAsia="Times New Roman"/>
        </w:rPr>
        <w:t xml:space="preserve"> window</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676421"/>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8C2CFF">
        <w:t xml:space="preserve">rence noise bandwidth 2500 Hz; they must lie in the range –50 to +49 </w:t>
      </w:r>
      <w:proofErr w:type="spellStart"/>
      <w:r w:rsidR="008C2CFF">
        <w:t>dB.</w:t>
      </w:r>
      <w:proofErr w:type="spellEnd"/>
      <w:r w:rsidR="008C2CFF">
        <w:t xml:space="preserve">  </w:t>
      </w:r>
      <w:r w:rsidR="00EB379E">
        <w:t xml:space="preserve">Thus, in example message #2 </w:t>
      </w:r>
      <w:r w:rsidR="008C2CFF">
        <w:t xml:space="preserve">above </w:t>
      </w:r>
      <w:r w:rsidR="00EB379E">
        <w:t xml:space="preserve">K1ABC is telling G0XYZ that his signal is 19 dB </w:t>
      </w:r>
      <w:r w:rsidR="004806DA">
        <w:t xml:space="preserve">below </w:t>
      </w:r>
      <w:r w:rsidR="00EB379E">
        <w:t xml:space="preserve">the noise power in </w:t>
      </w:r>
      <w:r w:rsidR="00926C1B">
        <w:t xml:space="preserve">bandwidth </w:t>
      </w:r>
      <w:r w:rsidR="008C2CFF">
        <w:t>2500 Hz.  I</w:t>
      </w:r>
      <w:r w:rsidR="00EB379E">
        <w:t xml:space="preserve">n message #3 G0XYZ acknowledges receipt of that report and responds with a –22 dB </w:t>
      </w:r>
      <w:r w:rsidR="00EB379E">
        <w:lastRenderedPageBreak/>
        <w:t>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rsidR="00EB379E">
        <w:t>o about –26 dB, and the JT9 dec</w:t>
      </w:r>
      <w:r w:rsidR="004806DA">
        <w:t xml:space="preserve">oder </w:t>
      </w:r>
      <w:r w:rsidR="008C2CFF">
        <w:t xml:space="preserve">also </w:t>
      </w:r>
      <w:r w:rsidR="004806DA">
        <w:t>begins to fail at about this</w:t>
      </w:r>
      <w:r w:rsidR="00EB379E">
        <w:t xml:space="preserve"> limit.</w:t>
      </w:r>
    </w:p>
    <w:p w:rsidR="00B30CA2" w:rsidRDefault="00CD2CAD" w:rsidP="00EB379E">
      <w:pPr>
        <w:rPr>
          <w:rFonts w:eastAsia="Times New Roman"/>
        </w:rPr>
      </w:pPr>
      <w:r>
        <w:t xml:space="preserve">Free-format messages such as “TNX JOE 73 GL” </w:t>
      </w:r>
      <w:r w:rsidR="000F2BF0">
        <w:t xml:space="preserve">or “5W VERT 73 GL” </w:t>
      </w:r>
      <w:r>
        <w:t>can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JT9 is not a mode suitable for extensive conversations or rag-chewing</w:t>
      </w:r>
      <w:r w:rsidR="00926C1B">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676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xml:space="preserve">, or to higher values to </w:t>
      </w:r>
      <w:r w:rsidR="00E21114">
        <w:t xml:space="preserve">compress </w:t>
      </w:r>
      <w:r w:rsidR="00DD44FC">
        <w:t xml:space="preserve">the </w:t>
      </w:r>
      <w:r w:rsidR="00DD44FC">
        <w:lastRenderedPageBreak/>
        <w:t>spectral display</w:t>
      </w:r>
      <w:r>
        <w:t xml:space="preserve">.  Normal operation with </w:t>
      </w:r>
      <w:r w:rsidR="00E21114">
        <w:t xml:space="preserve">a </w:t>
      </w:r>
      <w:r>
        <w:t xml:space="preserve">convenient window size works well at 2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w:t>
      </w:r>
      <w:r w:rsidR="00E21114">
        <w:t>the amplitude scale</w:t>
      </w:r>
      <w:r>
        <w:t xml:space="preserve"> and </w:t>
      </w:r>
      <w:r w:rsidR="00E21114">
        <w:t xml:space="preserve">reference level </w:t>
      </w:r>
      <w:r>
        <w:t xml:space="preserve">for waterfall </w:t>
      </w:r>
      <w:r w:rsidR="00227615">
        <w:t>colors.  Values around 0 for both parameters are usually about right, but your preferences may differ.</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lower and upper limits of the second (wideband)</w:t>
      </w:r>
      <w:r w:rsidR="00E21114">
        <w:t xml:space="preserve"> pass through the JT9 decoder and corresponding positions of the blue markers on the frequency scale.</w:t>
      </w:r>
    </w:p>
    <w:p w:rsidR="00227615" w:rsidRPr="00782AE1" w:rsidRDefault="00227615" w:rsidP="00782AE1">
      <w:r>
        <w:t xml:space="preserve">The </w:t>
      </w:r>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8763E5" w:rsidRDefault="008763E5">
      <w:r>
        <w:br w:type="page"/>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xml:space="preserve">.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rsidR="003D2DA7">
        <w:t xml:space="preserve">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w:t>
      </w:r>
      <w:r w:rsidR="008763E5">
        <w:t>submode JT9-2</w:t>
      </w:r>
      <w:r>
        <w:t>, even-numbered</w:t>
      </w:r>
      <w:r w:rsidR="008763E5">
        <w:t xml:space="preserve"> sequences</w:t>
      </w:r>
      <w:r>
        <w:t xml:space="preserve"> starting with 0 at the top of a UTC hour).  Uncheck this box to transmit in the odd intervals.  This selection is made automatically when you doubl</w:t>
      </w:r>
      <w:r w:rsidR="008763E5">
        <w:t xml:space="preserve">e-click on a decoded text line </w:t>
      </w:r>
      <w:r>
        <w:t>as described in the Basic O</w:t>
      </w:r>
      <w:r w:rsidR="008901F2">
        <w:t>perating Tutorial, pages 6 – 9</w:t>
      </w:r>
      <w:r w:rsidR="008763E5">
        <w:t xml:space="preserve"> of this Guide</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w:t>
      </w:r>
      <w:r w:rsidR="00C1576F">
        <w:lastRenderedPageBreak/>
        <w:t xml:space="preserve">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 xml:space="preserve">will fall in the </w:t>
      </w:r>
      <w:r w:rsidR="008763E5">
        <w:t xml:space="preserve">approximate </w:t>
      </w:r>
      <w:r w:rsidR="00926C1B">
        <w:t>range –26 to +1</w:t>
      </w:r>
      <w:r w:rsidR="00C1576F">
        <w:t xml:space="preserve">0 </w:t>
      </w:r>
      <w:proofErr w:type="spellStart"/>
      <w:r w:rsidR="00C1576F">
        <w:t>d</w:t>
      </w:r>
      <w:r w:rsidR="008901F2">
        <w:t>B.</w:t>
      </w:r>
      <w:proofErr w:type="spellEnd"/>
      <w:r w:rsidR="008901F2">
        <w:t xml:space="preserve">  W</w:t>
      </w:r>
      <w:r w:rsidR="00C1576F">
        <w:t xml:space="preserve">hen signals are stronger than about 0 dB, you </w:t>
      </w:r>
      <w:r w:rsidR="00926C1B">
        <w:t xml:space="preserve">and your QSO partner </w:t>
      </w:r>
      <w:r w:rsidR="00C1576F">
        <w:t xml:space="preserve">should </w:t>
      </w:r>
      <w:r w:rsidR="005108C8">
        <w:t xml:space="preserve">probably </w:t>
      </w:r>
      <w:r w:rsidR="00C1576F">
        <w:t>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Traditional controls carried over from</w:t>
      </w:r>
      <w:r w:rsidR="008763E5">
        <w:t xml:space="preserve"> program</w:t>
      </w:r>
      <w:r>
        <w:t xml:space="preserve">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8763E5" w:rsidRDefault="008763E5">
      <w:r>
        <w:br w:type="page"/>
      </w:r>
    </w:p>
    <w:p w:rsidR="0079490A" w:rsidRDefault="0079490A" w:rsidP="00FF124E">
      <w:r>
        <w:lastRenderedPageBreak/>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57676423"/>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676424"/>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14:anchorId="20528FDC" wp14:editId="1A65AFB5">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771478" w:rsidP="003B0EF3">
      <w:pPr>
        <w:ind w:left="720"/>
      </w:pPr>
      <w:r>
        <w:rPr>
          <w:noProof/>
        </w:rPr>
        <w:drawing>
          <wp:inline distT="0" distB="0" distL="0" distR="0">
            <wp:extent cx="2176272"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6272" cy="3200400"/>
                    </a:xfrm>
                    <a:prstGeom prst="rect">
                      <a:avLst/>
                    </a:prstGeom>
                    <a:noFill/>
                    <a:ln>
                      <a:noFill/>
                    </a:ln>
                  </pic:spPr>
                </pic:pic>
              </a:graphicData>
            </a:graphic>
          </wp:inline>
        </w:drawing>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DF4D84" w:rsidP="001E2713">
      <w:pPr>
        <w:ind w:left="720"/>
      </w:pPr>
      <w:r>
        <w:rPr>
          <w:noProof/>
        </w:rPr>
        <w:drawing>
          <wp:inline distT="0" distB="0" distL="0" distR="0">
            <wp:extent cx="933450" cy="63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638175"/>
                    </a:xfrm>
                    <a:prstGeom prst="rect">
                      <a:avLst/>
                    </a:prstGeom>
                    <a:noFill/>
                    <a:ln>
                      <a:noFill/>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676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DF4D84" w:rsidRDefault="00DF4D84">
      <w:pPr>
        <w:rPr>
          <w:rFonts w:asciiTheme="majorHAnsi" w:eastAsiaTheme="majorEastAsia" w:hAnsiTheme="majorHAnsi" w:cstheme="majorBidi"/>
          <w:b/>
          <w:bCs/>
          <w:color w:val="365F91" w:themeColor="accent1" w:themeShade="BF"/>
          <w:sz w:val="28"/>
          <w:szCs w:val="28"/>
        </w:rPr>
      </w:pPr>
      <w:r>
        <w:br w:type="page"/>
      </w:r>
    </w:p>
    <w:p w:rsidR="00BA324D" w:rsidRDefault="00BA324D" w:rsidP="00BA324D">
      <w:pPr>
        <w:pStyle w:val="Heading1"/>
      </w:pPr>
      <w:bookmarkStart w:id="10" w:name="_Toc357676426"/>
      <w:r>
        <w:lastRenderedPageBreak/>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D1568A" w:rsidP="001F3FCD">
      <w:pPr>
        <w:pStyle w:val="Heading1"/>
      </w:pPr>
      <w:bookmarkStart w:id="11" w:name="_Toc357676427"/>
      <w:r>
        <w:t>Under the Hood</w:t>
      </w:r>
      <w:bookmarkEnd w:id="11"/>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lastRenderedPageBreak/>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 xml:space="preserve">waveform in the sound card </w:t>
      </w:r>
      <w:r w:rsidR="00914917">
        <w:t>(</w:t>
      </w:r>
      <w:r w:rsidR="004036A2">
        <w:t>or equivalent USB interface</w:t>
      </w:r>
      <w:r w:rsidR="00914917">
        <w:t>)</w:t>
      </w:r>
      <w:r w:rsidR="004036A2">
        <w:t>.</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914917">
        <w:t xml:space="preserve">, </w:t>
      </w:r>
      <w:r w:rsidR="00914917" w:rsidRPr="00914917">
        <w:rPr>
          <w:b/>
        </w:rPr>
        <w:t>Cumulative</w:t>
      </w:r>
      <w:r w:rsidR="00914917">
        <w:t xml:space="preserve">, and </w:t>
      </w:r>
      <w:r w:rsidR="00914917" w:rsidRPr="00914917">
        <w:rPr>
          <w:b/>
        </w:rPr>
        <w:t>JT9 Sync</w:t>
      </w:r>
      <w:r w:rsidR="00914917">
        <w:t xml:space="preserve"> curves that can be </w:t>
      </w:r>
      <w:r>
        <w:t>displayed below the waterfall in the Wide Graph window.  As shown in the screenshot on page</w:t>
      </w:r>
      <w:r w:rsidR="00914917">
        <w:t xml:space="preserve"> 7, a   JT9-1</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pulse </w:t>
      </w:r>
      <w:r w:rsidR="00A105BE">
        <w:t xml:space="preserve">about 16 Hz wide.  </w:t>
      </w:r>
      <w:r>
        <w:t>By convention, the nominal frequency of a JT9 signal is tha</w:t>
      </w:r>
      <w:r w:rsidR="00914917">
        <w:t>t of the sync tone at the left edge.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0449A2">
        <w:t>the selected QSO Frequency,”</w:t>
      </w:r>
      <w:r w:rsidR="001E658C">
        <w:t xml:space="preserve"> and then </w:t>
      </w:r>
      <w:r w:rsidR="00914917">
        <w:t xml:space="preserve">in </w:t>
      </w:r>
      <w:r w:rsidR="001E658C">
        <w:t>the full range between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676428"/>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676429"/>
      <w:r>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r>
      <w:proofErr w:type="spellStart"/>
      <w:r>
        <w:rPr>
          <w:rFonts w:ascii="Courier New" w:hAnsi="Courier New"/>
          <w:sz w:val="22"/>
        </w:rPr>
        <w:t>Qt</w:t>
      </w:r>
      <w:proofErr w:type="spellEnd"/>
      <w:r>
        <w:rPr>
          <w:rFonts w:ascii="Courier New" w:hAnsi="Courier New"/>
          <w:sz w:val="22"/>
        </w:rPr>
        <w:t xml:space="preserve">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spellStart"/>
      <w:proofErr w:type="gramStart"/>
      <w:r>
        <w:rPr>
          <w:rFonts w:ascii="Courier New" w:hAnsi="Courier New"/>
          <w:sz w:val="22"/>
        </w:rPr>
        <w:t>wsjtx_log.adi</w:t>
      </w:r>
      <w:proofErr w:type="spellEnd"/>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467B73">
      <w:pPr>
        <w:pStyle w:val="Heading1"/>
        <w:spacing w:before="100" w:after="100"/>
      </w:pPr>
      <w:bookmarkStart w:id="15" w:name="_Toc357676430"/>
      <w:r>
        <w:lastRenderedPageBreak/>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6" w:name="_Toc26540272"/>
      <w:bookmarkStart w:id="17" w:name="_Toc142881090"/>
      <w:r>
        <w:br w:type="page"/>
      </w:r>
    </w:p>
    <w:p w:rsidR="003D7807" w:rsidRDefault="00692842" w:rsidP="003D7807">
      <w:pPr>
        <w:pStyle w:val="Heading1"/>
        <w:spacing w:before="120"/>
      </w:pPr>
      <w:bookmarkStart w:id="18" w:name="_Toc357676431"/>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363" w:rsidRDefault="00654363" w:rsidP="00BC5C98">
      <w:pPr>
        <w:spacing w:before="0" w:after="0" w:line="240" w:lineRule="auto"/>
      </w:pPr>
      <w:r>
        <w:separator/>
      </w:r>
    </w:p>
  </w:endnote>
  <w:endnote w:type="continuationSeparator" w:id="0">
    <w:p w:rsidR="00654363" w:rsidRDefault="00654363"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8C2CFF" w:rsidRDefault="008C2CFF">
        <w:pPr>
          <w:pStyle w:val="Footer"/>
          <w:jc w:val="center"/>
        </w:pPr>
        <w:r>
          <w:fldChar w:fldCharType="begin"/>
        </w:r>
        <w:r>
          <w:instrText xml:space="preserve"> PAGE   \* MERGEFORMAT </w:instrText>
        </w:r>
        <w:r>
          <w:fldChar w:fldCharType="separate"/>
        </w:r>
        <w:r w:rsidR="00DC5ED5">
          <w:rPr>
            <w:noProof/>
          </w:rPr>
          <w:t>6</w:t>
        </w:r>
        <w:r>
          <w:rPr>
            <w:noProof/>
          </w:rPr>
          <w:fldChar w:fldCharType="end"/>
        </w:r>
      </w:p>
    </w:sdtContent>
  </w:sdt>
  <w:p w:rsidR="008C2CFF" w:rsidRDefault="008C2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363" w:rsidRDefault="00654363" w:rsidP="00BC5C98">
      <w:pPr>
        <w:spacing w:before="0" w:after="0" w:line="240" w:lineRule="auto"/>
      </w:pPr>
      <w:r>
        <w:separator/>
      </w:r>
    </w:p>
  </w:footnote>
  <w:footnote w:type="continuationSeparator" w:id="0">
    <w:p w:rsidR="00654363" w:rsidRDefault="00654363" w:rsidP="00BC5C98">
      <w:pPr>
        <w:spacing w:before="0" w:after="0" w:line="240" w:lineRule="auto"/>
      </w:pPr>
      <w:r>
        <w:continuationSeparator/>
      </w:r>
    </w:p>
  </w:footnote>
  <w:footnote w:id="1">
    <w:p w:rsidR="009C6112" w:rsidRDefault="009C6112"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8711B"/>
    <w:rsid w:val="00297487"/>
    <w:rsid w:val="002A7762"/>
    <w:rsid w:val="002C5629"/>
    <w:rsid w:val="002C76F4"/>
    <w:rsid w:val="002D0597"/>
    <w:rsid w:val="002E26F5"/>
    <w:rsid w:val="002E6D5F"/>
    <w:rsid w:val="003247C4"/>
    <w:rsid w:val="003260FA"/>
    <w:rsid w:val="0033681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3E73"/>
    <w:rsid w:val="005F4A5B"/>
    <w:rsid w:val="00600AF6"/>
    <w:rsid w:val="00602D6D"/>
    <w:rsid w:val="0060358A"/>
    <w:rsid w:val="00607BE5"/>
    <w:rsid w:val="00623FB5"/>
    <w:rsid w:val="00625907"/>
    <w:rsid w:val="006275D9"/>
    <w:rsid w:val="00635D20"/>
    <w:rsid w:val="0064712A"/>
    <w:rsid w:val="00654363"/>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50FB"/>
    <w:rsid w:val="008C76B0"/>
    <w:rsid w:val="008D4196"/>
    <w:rsid w:val="008F30E6"/>
    <w:rsid w:val="0091043E"/>
    <w:rsid w:val="00914917"/>
    <w:rsid w:val="00916B18"/>
    <w:rsid w:val="00926C1B"/>
    <w:rsid w:val="00931AF9"/>
    <w:rsid w:val="009414F1"/>
    <w:rsid w:val="00942398"/>
    <w:rsid w:val="00945324"/>
    <w:rsid w:val="00945764"/>
    <w:rsid w:val="009552D4"/>
    <w:rsid w:val="00963764"/>
    <w:rsid w:val="00964042"/>
    <w:rsid w:val="00965189"/>
    <w:rsid w:val="0096793A"/>
    <w:rsid w:val="00974908"/>
    <w:rsid w:val="0097772A"/>
    <w:rsid w:val="00983936"/>
    <w:rsid w:val="00984A71"/>
    <w:rsid w:val="009878DB"/>
    <w:rsid w:val="009A0310"/>
    <w:rsid w:val="009B7DF0"/>
    <w:rsid w:val="009C6112"/>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1433D"/>
    <w:rsid w:val="00E21114"/>
    <w:rsid w:val="00E21575"/>
    <w:rsid w:val="00E21E1E"/>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0F95"/>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html" TargetMode="Externa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CA91C-B68C-4638-B3B8-E80FA34B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24</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3</cp:revision>
  <cp:lastPrinted>2013-05-30T19:28:00Z</cp:lastPrinted>
  <dcterms:created xsi:type="dcterms:W3CDTF">2013-07-02T12:58:00Z</dcterms:created>
  <dcterms:modified xsi:type="dcterms:W3CDTF">2013-07-02T15:52:00Z</dcterms:modified>
</cp:coreProperties>
</file>