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FE832" w14:textId="0F14BBE4" w:rsidR="0022240C" w:rsidRDefault="00C8018B" w:rsidP="003C1A83">
      <w:pPr>
        <w:spacing w:line="480" w:lineRule="auto"/>
        <w:rPr>
          <w:rFonts w:ascii="Times New Roman" w:hAnsi="Times New Roman" w:cs="Times New Roman"/>
          <w:sz w:val="24"/>
          <w:szCs w:val="24"/>
        </w:rPr>
      </w:pPr>
      <w:r>
        <w:rPr>
          <w:rFonts w:ascii="Times New Roman" w:hAnsi="Times New Roman" w:cs="Times New Roman"/>
          <w:sz w:val="24"/>
          <w:szCs w:val="24"/>
        </w:rPr>
        <w:t xml:space="preserve">Malte </w:t>
      </w:r>
      <w:proofErr w:type="spellStart"/>
      <w:r>
        <w:rPr>
          <w:rFonts w:ascii="Times New Roman" w:hAnsi="Times New Roman" w:cs="Times New Roman"/>
          <w:sz w:val="24"/>
          <w:szCs w:val="24"/>
        </w:rPr>
        <w:t>Thesenvitz</w:t>
      </w:r>
      <w:proofErr w:type="spellEnd"/>
    </w:p>
    <w:p w14:paraId="2978DB04" w14:textId="5E8661A9" w:rsidR="00C8018B" w:rsidRDefault="00C8018B" w:rsidP="003C1A83">
      <w:pPr>
        <w:spacing w:line="480" w:lineRule="auto"/>
        <w:rPr>
          <w:rFonts w:ascii="Times New Roman" w:hAnsi="Times New Roman" w:cs="Times New Roman"/>
          <w:sz w:val="24"/>
          <w:szCs w:val="24"/>
        </w:rPr>
      </w:pPr>
      <w:r>
        <w:rPr>
          <w:rFonts w:ascii="Times New Roman" w:hAnsi="Times New Roman" w:cs="Times New Roman"/>
          <w:sz w:val="24"/>
          <w:szCs w:val="24"/>
        </w:rPr>
        <w:t>Professor Dr. Jeffery Smith</w:t>
      </w:r>
    </w:p>
    <w:p w14:paraId="5B673476" w14:textId="29B9F8B1" w:rsidR="00C8018B" w:rsidRDefault="00C8018B" w:rsidP="003C1A83">
      <w:pPr>
        <w:spacing w:line="480" w:lineRule="auto"/>
        <w:rPr>
          <w:rFonts w:ascii="Times New Roman" w:hAnsi="Times New Roman" w:cs="Times New Roman"/>
          <w:sz w:val="24"/>
          <w:szCs w:val="24"/>
        </w:rPr>
      </w:pPr>
      <w:r>
        <w:rPr>
          <w:rFonts w:ascii="Times New Roman" w:hAnsi="Times New Roman" w:cs="Times New Roman"/>
          <w:sz w:val="24"/>
          <w:szCs w:val="24"/>
        </w:rPr>
        <w:t>BRMB 5250</w:t>
      </w:r>
    </w:p>
    <w:p w14:paraId="0F04C21C" w14:textId="326D0333" w:rsidR="0022240C" w:rsidRDefault="00C8018B" w:rsidP="00C8018B">
      <w:pPr>
        <w:spacing w:line="480" w:lineRule="auto"/>
        <w:jc w:val="center"/>
        <w:rPr>
          <w:rFonts w:ascii="Times New Roman" w:hAnsi="Times New Roman" w:cs="Times New Roman"/>
          <w:sz w:val="24"/>
          <w:szCs w:val="24"/>
        </w:rPr>
      </w:pPr>
      <w:r>
        <w:rPr>
          <w:rFonts w:ascii="Times New Roman" w:hAnsi="Times New Roman" w:cs="Times New Roman"/>
          <w:sz w:val="24"/>
          <w:szCs w:val="24"/>
        </w:rPr>
        <w:t>Why Goldman Sachs committed</w:t>
      </w:r>
      <w:r w:rsidR="00401F36">
        <w:rPr>
          <w:rFonts w:ascii="Times New Roman" w:hAnsi="Times New Roman" w:cs="Times New Roman"/>
          <w:sz w:val="24"/>
          <w:szCs w:val="24"/>
        </w:rPr>
        <w:t xml:space="preserve"> Fraud.</w:t>
      </w:r>
    </w:p>
    <w:p w14:paraId="7F59C82B" w14:textId="77777777" w:rsidR="0022240C" w:rsidRDefault="0022240C" w:rsidP="003C1A83">
      <w:pPr>
        <w:spacing w:line="480" w:lineRule="auto"/>
        <w:rPr>
          <w:rFonts w:ascii="Times New Roman" w:hAnsi="Times New Roman" w:cs="Times New Roman"/>
          <w:sz w:val="24"/>
          <w:szCs w:val="24"/>
        </w:rPr>
      </w:pPr>
    </w:p>
    <w:p w14:paraId="73C6D859" w14:textId="4F3B36E5" w:rsidR="002874D4" w:rsidRDefault="001A3D4E" w:rsidP="003C1A83">
      <w:pPr>
        <w:spacing w:line="480" w:lineRule="auto"/>
        <w:rPr>
          <w:rFonts w:ascii="Times New Roman" w:hAnsi="Times New Roman" w:cs="Times New Roman"/>
          <w:sz w:val="24"/>
          <w:szCs w:val="24"/>
        </w:rPr>
      </w:pPr>
      <w:r>
        <w:rPr>
          <w:rFonts w:ascii="Times New Roman" w:hAnsi="Times New Roman" w:cs="Times New Roman"/>
          <w:sz w:val="24"/>
          <w:szCs w:val="24"/>
        </w:rPr>
        <w:t>In 20</w:t>
      </w:r>
      <w:r w:rsidR="009206FA">
        <w:rPr>
          <w:rFonts w:ascii="Times New Roman" w:hAnsi="Times New Roman" w:cs="Times New Roman"/>
          <w:sz w:val="24"/>
          <w:szCs w:val="24"/>
        </w:rPr>
        <w:t xml:space="preserve">10, </w:t>
      </w:r>
      <w:r w:rsidR="007A68F3">
        <w:rPr>
          <w:rFonts w:ascii="Times New Roman" w:hAnsi="Times New Roman" w:cs="Times New Roman"/>
          <w:sz w:val="24"/>
          <w:szCs w:val="24"/>
        </w:rPr>
        <w:t xml:space="preserve">the investment banking firm </w:t>
      </w:r>
      <w:r w:rsidR="009206FA" w:rsidRPr="0055174F">
        <w:rPr>
          <w:rFonts w:ascii="Times New Roman" w:hAnsi="Times New Roman" w:cs="Times New Roman"/>
          <w:i/>
          <w:iCs/>
          <w:sz w:val="24"/>
          <w:szCs w:val="24"/>
        </w:rPr>
        <w:t>Goldman Sachs</w:t>
      </w:r>
      <w:r w:rsidR="00256A1D">
        <w:rPr>
          <w:rFonts w:ascii="Times New Roman" w:hAnsi="Times New Roman" w:cs="Times New Roman"/>
          <w:sz w:val="24"/>
          <w:szCs w:val="24"/>
        </w:rPr>
        <w:t xml:space="preserve"> </w:t>
      </w:r>
      <w:r w:rsidR="007A68F3">
        <w:rPr>
          <w:rFonts w:ascii="Times New Roman" w:hAnsi="Times New Roman" w:cs="Times New Roman"/>
          <w:sz w:val="24"/>
          <w:szCs w:val="24"/>
        </w:rPr>
        <w:t xml:space="preserve">and its </w:t>
      </w:r>
      <w:r w:rsidR="00B67069">
        <w:rPr>
          <w:rFonts w:ascii="Times New Roman" w:hAnsi="Times New Roman" w:cs="Times New Roman"/>
          <w:sz w:val="24"/>
          <w:szCs w:val="24"/>
        </w:rPr>
        <w:t xml:space="preserve">Vice President </w:t>
      </w:r>
      <w:r w:rsidR="00CF6E70">
        <w:rPr>
          <w:rFonts w:ascii="Times New Roman" w:hAnsi="Times New Roman" w:cs="Times New Roman"/>
          <w:sz w:val="24"/>
          <w:szCs w:val="24"/>
        </w:rPr>
        <w:t xml:space="preserve">Fabrice </w:t>
      </w:r>
      <w:proofErr w:type="spellStart"/>
      <w:r w:rsidR="00CF6E70">
        <w:rPr>
          <w:rFonts w:ascii="Times New Roman" w:hAnsi="Times New Roman" w:cs="Times New Roman"/>
          <w:sz w:val="24"/>
          <w:szCs w:val="24"/>
        </w:rPr>
        <w:t>Tourre</w:t>
      </w:r>
      <w:proofErr w:type="spellEnd"/>
      <w:r w:rsidR="00CF6E70">
        <w:rPr>
          <w:rFonts w:ascii="Times New Roman" w:hAnsi="Times New Roman" w:cs="Times New Roman"/>
          <w:sz w:val="24"/>
          <w:szCs w:val="24"/>
        </w:rPr>
        <w:t xml:space="preserve"> </w:t>
      </w:r>
      <w:r w:rsidR="00256A1D">
        <w:rPr>
          <w:rFonts w:ascii="Times New Roman" w:hAnsi="Times New Roman" w:cs="Times New Roman"/>
          <w:sz w:val="24"/>
          <w:szCs w:val="24"/>
        </w:rPr>
        <w:t>w</w:t>
      </w:r>
      <w:r w:rsidR="00555D8B">
        <w:rPr>
          <w:rFonts w:ascii="Times New Roman" w:hAnsi="Times New Roman" w:cs="Times New Roman"/>
          <w:sz w:val="24"/>
          <w:szCs w:val="24"/>
        </w:rPr>
        <w:t>ere</w:t>
      </w:r>
      <w:r w:rsidR="00256A1D">
        <w:rPr>
          <w:rFonts w:ascii="Times New Roman" w:hAnsi="Times New Roman" w:cs="Times New Roman"/>
          <w:sz w:val="24"/>
          <w:szCs w:val="24"/>
        </w:rPr>
        <w:t xml:space="preserve"> charged </w:t>
      </w:r>
      <w:r w:rsidR="00D532A2">
        <w:rPr>
          <w:rFonts w:ascii="Times New Roman" w:hAnsi="Times New Roman" w:cs="Times New Roman"/>
          <w:sz w:val="24"/>
          <w:szCs w:val="24"/>
        </w:rPr>
        <w:t xml:space="preserve">by the </w:t>
      </w:r>
      <w:r w:rsidR="00D532A2" w:rsidRPr="0055174F">
        <w:rPr>
          <w:rFonts w:ascii="Times New Roman" w:hAnsi="Times New Roman" w:cs="Times New Roman"/>
          <w:i/>
          <w:iCs/>
          <w:sz w:val="24"/>
          <w:szCs w:val="24"/>
        </w:rPr>
        <w:t xml:space="preserve">Security and Stock Exchange </w:t>
      </w:r>
      <w:r w:rsidR="00CD3A8F" w:rsidRPr="0055174F">
        <w:rPr>
          <w:rFonts w:ascii="Times New Roman" w:hAnsi="Times New Roman" w:cs="Times New Roman"/>
          <w:i/>
          <w:iCs/>
          <w:sz w:val="24"/>
          <w:szCs w:val="24"/>
        </w:rPr>
        <w:t>Commission</w:t>
      </w:r>
      <w:r w:rsidR="00D532A2">
        <w:rPr>
          <w:rFonts w:ascii="Times New Roman" w:hAnsi="Times New Roman" w:cs="Times New Roman"/>
          <w:sz w:val="24"/>
          <w:szCs w:val="24"/>
        </w:rPr>
        <w:t xml:space="preserve"> </w:t>
      </w:r>
      <w:r w:rsidR="00CD3A8F">
        <w:rPr>
          <w:rFonts w:ascii="Times New Roman" w:hAnsi="Times New Roman" w:cs="Times New Roman"/>
          <w:sz w:val="24"/>
          <w:szCs w:val="24"/>
        </w:rPr>
        <w:t xml:space="preserve">(SEC) </w:t>
      </w:r>
      <w:r w:rsidR="00D532A2">
        <w:rPr>
          <w:rFonts w:ascii="Times New Roman" w:hAnsi="Times New Roman" w:cs="Times New Roman"/>
          <w:sz w:val="24"/>
          <w:szCs w:val="24"/>
        </w:rPr>
        <w:t>for</w:t>
      </w:r>
      <w:r w:rsidR="00555D8B">
        <w:rPr>
          <w:rFonts w:ascii="Times New Roman" w:hAnsi="Times New Roman" w:cs="Times New Roman"/>
          <w:sz w:val="24"/>
          <w:szCs w:val="24"/>
        </w:rPr>
        <w:t xml:space="preserve"> </w:t>
      </w:r>
      <w:r w:rsidR="004D30A8">
        <w:rPr>
          <w:rFonts w:ascii="Times New Roman" w:hAnsi="Times New Roman" w:cs="Times New Roman"/>
          <w:sz w:val="24"/>
          <w:szCs w:val="24"/>
        </w:rPr>
        <w:t>fra</w:t>
      </w:r>
      <w:r w:rsidR="007A783E">
        <w:rPr>
          <w:rFonts w:ascii="Times New Roman" w:hAnsi="Times New Roman" w:cs="Times New Roman"/>
          <w:sz w:val="24"/>
          <w:szCs w:val="24"/>
        </w:rPr>
        <w:t>u</w:t>
      </w:r>
      <w:r w:rsidR="00CD3A8F">
        <w:rPr>
          <w:rFonts w:ascii="Times New Roman" w:hAnsi="Times New Roman" w:cs="Times New Roman"/>
          <w:sz w:val="24"/>
          <w:szCs w:val="24"/>
        </w:rPr>
        <w:t>d</w:t>
      </w:r>
      <w:r w:rsidR="00097512">
        <w:rPr>
          <w:rFonts w:ascii="Times New Roman" w:hAnsi="Times New Roman" w:cs="Times New Roman"/>
          <w:sz w:val="24"/>
          <w:szCs w:val="24"/>
        </w:rPr>
        <w:t xml:space="preserve"> by </w:t>
      </w:r>
      <w:r w:rsidR="00DD6B74">
        <w:rPr>
          <w:rFonts w:ascii="Times New Roman" w:hAnsi="Times New Roman" w:cs="Times New Roman"/>
          <w:sz w:val="24"/>
          <w:szCs w:val="24"/>
        </w:rPr>
        <w:t>false representation</w:t>
      </w:r>
      <w:r w:rsidR="00CD3A8F">
        <w:rPr>
          <w:rFonts w:ascii="Times New Roman" w:hAnsi="Times New Roman" w:cs="Times New Roman"/>
          <w:sz w:val="24"/>
          <w:szCs w:val="24"/>
        </w:rPr>
        <w:t xml:space="preserve">. The SEC </w:t>
      </w:r>
      <w:r w:rsidR="007A396D">
        <w:rPr>
          <w:rFonts w:ascii="Times New Roman" w:hAnsi="Times New Roman" w:cs="Times New Roman"/>
          <w:sz w:val="24"/>
          <w:szCs w:val="24"/>
        </w:rPr>
        <w:t xml:space="preserve">accused Goldman Sachs for misrepresenting information in a </w:t>
      </w:r>
      <w:r w:rsidR="00061A70">
        <w:rPr>
          <w:rFonts w:ascii="Times New Roman" w:hAnsi="Times New Roman" w:cs="Times New Roman"/>
          <w:sz w:val="24"/>
          <w:szCs w:val="24"/>
        </w:rPr>
        <w:t xml:space="preserve">deal between </w:t>
      </w:r>
      <w:r w:rsidR="00061A70" w:rsidRPr="00F55CE9">
        <w:rPr>
          <w:rFonts w:ascii="Times New Roman" w:hAnsi="Times New Roman" w:cs="Times New Roman"/>
          <w:i/>
          <w:iCs/>
          <w:sz w:val="24"/>
          <w:szCs w:val="24"/>
        </w:rPr>
        <w:t xml:space="preserve">ACA </w:t>
      </w:r>
      <w:r w:rsidR="0055174F" w:rsidRPr="00F55CE9">
        <w:rPr>
          <w:rFonts w:ascii="Times New Roman" w:hAnsi="Times New Roman" w:cs="Times New Roman"/>
          <w:i/>
          <w:iCs/>
          <w:sz w:val="24"/>
          <w:szCs w:val="24"/>
        </w:rPr>
        <w:t>Management LLC</w:t>
      </w:r>
      <w:r w:rsidR="0055174F">
        <w:rPr>
          <w:rFonts w:ascii="Times New Roman" w:hAnsi="Times New Roman" w:cs="Times New Roman"/>
          <w:sz w:val="24"/>
          <w:szCs w:val="24"/>
        </w:rPr>
        <w:t xml:space="preserve"> (ACA) </w:t>
      </w:r>
      <w:r w:rsidR="00061A70">
        <w:rPr>
          <w:rFonts w:ascii="Times New Roman" w:hAnsi="Times New Roman" w:cs="Times New Roman"/>
          <w:sz w:val="24"/>
          <w:szCs w:val="24"/>
        </w:rPr>
        <w:t xml:space="preserve">and </w:t>
      </w:r>
      <w:r w:rsidR="00061A70" w:rsidRPr="00F55CE9">
        <w:rPr>
          <w:rFonts w:ascii="Times New Roman" w:hAnsi="Times New Roman" w:cs="Times New Roman"/>
          <w:i/>
          <w:iCs/>
          <w:sz w:val="24"/>
          <w:szCs w:val="24"/>
        </w:rPr>
        <w:t xml:space="preserve">Paulsen </w:t>
      </w:r>
      <w:r w:rsidR="005F20FA" w:rsidRPr="00F55CE9">
        <w:rPr>
          <w:rFonts w:ascii="Times New Roman" w:hAnsi="Times New Roman" w:cs="Times New Roman"/>
          <w:i/>
          <w:iCs/>
          <w:sz w:val="24"/>
          <w:szCs w:val="24"/>
        </w:rPr>
        <w:t>&amp; Company</w:t>
      </w:r>
      <w:r w:rsidR="005F20FA">
        <w:rPr>
          <w:rFonts w:ascii="Times New Roman" w:hAnsi="Times New Roman" w:cs="Times New Roman"/>
          <w:sz w:val="24"/>
          <w:szCs w:val="24"/>
        </w:rPr>
        <w:t xml:space="preserve">. </w:t>
      </w:r>
      <w:r w:rsidR="00ED5C9D">
        <w:rPr>
          <w:rFonts w:ascii="Times New Roman" w:hAnsi="Times New Roman" w:cs="Times New Roman"/>
          <w:sz w:val="24"/>
          <w:szCs w:val="24"/>
        </w:rPr>
        <w:t xml:space="preserve">Essentially, the SEC believed that </w:t>
      </w:r>
      <w:r w:rsidR="00B51964">
        <w:rPr>
          <w:rFonts w:ascii="Times New Roman" w:hAnsi="Times New Roman" w:cs="Times New Roman"/>
          <w:sz w:val="24"/>
          <w:szCs w:val="24"/>
        </w:rPr>
        <w:t xml:space="preserve">Goldman had deliberately withheld critical information from ACA in order to </w:t>
      </w:r>
      <w:r w:rsidR="002E147A">
        <w:rPr>
          <w:rFonts w:ascii="Times New Roman" w:hAnsi="Times New Roman" w:cs="Times New Roman"/>
          <w:sz w:val="24"/>
          <w:szCs w:val="24"/>
        </w:rPr>
        <w:t xml:space="preserve">convince them to invest in one of Goldman’s </w:t>
      </w:r>
      <w:r w:rsidR="003B76E7">
        <w:rPr>
          <w:rFonts w:ascii="Times New Roman" w:hAnsi="Times New Roman" w:cs="Times New Roman"/>
          <w:sz w:val="24"/>
          <w:szCs w:val="24"/>
        </w:rPr>
        <w:t xml:space="preserve">complicated </w:t>
      </w:r>
      <w:r w:rsidR="00AA25CC">
        <w:rPr>
          <w:rFonts w:ascii="Times New Roman" w:hAnsi="Times New Roman" w:cs="Times New Roman"/>
          <w:sz w:val="24"/>
          <w:szCs w:val="24"/>
        </w:rPr>
        <w:t>finan</w:t>
      </w:r>
      <w:r w:rsidR="003C1A83">
        <w:rPr>
          <w:rFonts w:ascii="Times New Roman" w:hAnsi="Times New Roman" w:cs="Times New Roman"/>
          <w:sz w:val="24"/>
          <w:szCs w:val="24"/>
        </w:rPr>
        <w:t>c</w:t>
      </w:r>
      <w:r w:rsidR="00AA25CC">
        <w:rPr>
          <w:rFonts w:ascii="Times New Roman" w:hAnsi="Times New Roman" w:cs="Times New Roman"/>
          <w:sz w:val="24"/>
          <w:szCs w:val="24"/>
        </w:rPr>
        <w:t>ial instrument</w:t>
      </w:r>
      <w:r w:rsidR="00EA597F">
        <w:rPr>
          <w:rFonts w:ascii="Times New Roman" w:hAnsi="Times New Roman" w:cs="Times New Roman"/>
          <w:sz w:val="24"/>
          <w:szCs w:val="24"/>
        </w:rPr>
        <w:t>s</w:t>
      </w:r>
      <w:r w:rsidR="00AA25CC">
        <w:rPr>
          <w:rFonts w:ascii="Times New Roman" w:hAnsi="Times New Roman" w:cs="Times New Roman"/>
          <w:sz w:val="24"/>
          <w:szCs w:val="24"/>
        </w:rPr>
        <w:t xml:space="preserve"> </w:t>
      </w:r>
      <w:r w:rsidR="00C41701">
        <w:rPr>
          <w:rFonts w:ascii="Times New Roman" w:hAnsi="Times New Roman" w:cs="Times New Roman"/>
          <w:sz w:val="24"/>
          <w:szCs w:val="24"/>
        </w:rPr>
        <w:t xml:space="preserve">which was </w:t>
      </w:r>
      <w:r w:rsidR="00AA25CC">
        <w:rPr>
          <w:rFonts w:ascii="Times New Roman" w:hAnsi="Times New Roman" w:cs="Times New Roman"/>
          <w:sz w:val="24"/>
          <w:szCs w:val="24"/>
        </w:rPr>
        <w:t xml:space="preserve">known as </w:t>
      </w:r>
      <w:r w:rsidR="00BB0FF2" w:rsidRPr="003C1A83">
        <w:rPr>
          <w:rFonts w:ascii="Times New Roman" w:hAnsi="Times New Roman" w:cs="Times New Roman"/>
          <w:i/>
          <w:iCs/>
          <w:sz w:val="24"/>
          <w:szCs w:val="24"/>
        </w:rPr>
        <w:t>Abacus</w:t>
      </w:r>
      <w:r w:rsidR="003C1A83" w:rsidRPr="003C1A83">
        <w:rPr>
          <w:rFonts w:ascii="Times New Roman" w:hAnsi="Times New Roman" w:cs="Times New Roman"/>
          <w:i/>
          <w:iCs/>
          <w:sz w:val="24"/>
          <w:szCs w:val="24"/>
        </w:rPr>
        <w:t>-</w:t>
      </w:r>
      <w:r w:rsidR="00BB0FF2" w:rsidRPr="003C1A83">
        <w:rPr>
          <w:rFonts w:ascii="Times New Roman" w:hAnsi="Times New Roman" w:cs="Times New Roman"/>
          <w:i/>
          <w:iCs/>
          <w:sz w:val="24"/>
          <w:szCs w:val="24"/>
        </w:rPr>
        <w:t>AC1</w:t>
      </w:r>
      <w:r w:rsidR="003C1A83">
        <w:rPr>
          <w:rFonts w:ascii="Times New Roman" w:hAnsi="Times New Roman" w:cs="Times New Roman"/>
          <w:i/>
          <w:iCs/>
          <w:sz w:val="24"/>
          <w:szCs w:val="24"/>
        </w:rPr>
        <w:t xml:space="preserve"> </w:t>
      </w:r>
      <w:r w:rsidR="003C1A83">
        <w:rPr>
          <w:rFonts w:ascii="Times New Roman" w:hAnsi="Times New Roman" w:cs="Times New Roman"/>
          <w:sz w:val="24"/>
          <w:szCs w:val="24"/>
        </w:rPr>
        <w:t>(Abacus).</w:t>
      </w:r>
      <w:r w:rsidR="00CA1FA2">
        <w:rPr>
          <w:rFonts w:ascii="Times New Roman" w:hAnsi="Times New Roman" w:cs="Times New Roman"/>
          <w:sz w:val="24"/>
          <w:szCs w:val="24"/>
        </w:rPr>
        <w:t xml:space="preserve"> </w:t>
      </w:r>
      <w:r w:rsidR="00C41701">
        <w:rPr>
          <w:rFonts w:ascii="Times New Roman" w:hAnsi="Times New Roman" w:cs="Times New Roman"/>
          <w:sz w:val="24"/>
          <w:szCs w:val="24"/>
        </w:rPr>
        <w:t>When the case was brought to court</w:t>
      </w:r>
      <w:r w:rsidR="00D61C7D">
        <w:rPr>
          <w:rFonts w:ascii="Times New Roman" w:hAnsi="Times New Roman" w:cs="Times New Roman"/>
          <w:sz w:val="24"/>
          <w:szCs w:val="24"/>
        </w:rPr>
        <w:t xml:space="preserve">, </w:t>
      </w:r>
      <w:r w:rsidR="00CA1FA2">
        <w:rPr>
          <w:rFonts w:ascii="Times New Roman" w:hAnsi="Times New Roman" w:cs="Times New Roman"/>
          <w:sz w:val="24"/>
          <w:szCs w:val="24"/>
        </w:rPr>
        <w:t xml:space="preserve">Goldman </w:t>
      </w:r>
      <w:r w:rsidR="00E80E7A">
        <w:rPr>
          <w:rFonts w:ascii="Times New Roman" w:hAnsi="Times New Roman" w:cs="Times New Roman"/>
          <w:sz w:val="24"/>
          <w:szCs w:val="24"/>
        </w:rPr>
        <w:t xml:space="preserve">defended </w:t>
      </w:r>
      <w:r w:rsidR="00C41701">
        <w:rPr>
          <w:rFonts w:ascii="Times New Roman" w:hAnsi="Times New Roman" w:cs="Times New Roman"/>
          <w:sz w:val="24"/>
          <w:szCs w:val="24"/>
        </w:rPr>
        <w:t>themselves</w:t>
      </w:r>
      <w:r w:rsidR="0099024D">
        <w:rPr>
          <w:rFonts w:ascii="Times New Roman" w:hAnsi="Times New Roman" w:cs="Times New Roman"/>
          <w:sz w:val="24"/>
          <w:szCs w:val="24"/>
        </w:rPr>
        <w:t xml:space="preserve"> by stating that </w:t>
      </w:r>
      <w:r w:rsidR="00F35BE7">
        <w:rPr>
          <w:rFonts w:ascii="Times New Roman" w:hAnsi="Times New Roman" w:cs="Times New Roman"/>
          <w:sz w:val="24"/>
          <w:szCs w:val="24"/>
        </w:rPr>
        <w:t>their</w:t>
      </w:r>
      <w:r w:rsidR="0099024D">
        <w:rPr>
          <w:rFonts w:ascii="Times New Roman" w:hAnsi="Times New Roman" w:cs="Times New Roman"/>
          <w:sz w:val="24"/>
          <w:szCs w:val="24"/>
        </w:rPr>
        <w:t xml:space="preserve"> role as a market-maker </w:t>
      </w:r>
      <w:r w:rsidR="001F718E">
        <w:rPr>
          <w:rFonts w:ascii="Times New Roman" w:hAnsi="Times New Roman" w:cs="Times New Roman"/>
          <w:sz w:val="24"/>
          <w:szCs w:val="24"/>
        </w:rPr>
        <w:t xml:space="preserve">“would not entail any fiduciary </w:t>
      </w:r>
      <w:r w:rsidR="00D61C7D">
        <w:rPr>
          <w:rFonts w:ascii="Times New Roman" w:hAnsi="Times New Roman" w:cs="Times New Roman"/>
          <w:sz w:val="24"/>
          <w:szCs w:val="24"/>
        </w:rPr>
        <w:t xml:space="preserve">duty to any of their </w:t>
      </w:r>
      <w:r w:rsidR="008A7251">
        <w:rPr>
          <w:rFonts w:ascii="Times New Roman" w:hAnsi="Times New Roman" w:cs="Times New Roman"/>
          <w:sz w:val="24"/>
          <w:szCs w:val="24"/>
        </w:rPr>
        <w:t>counterparties” (</w:t>
      </w:r>
      <w:proofErr w:type="spellStart"/>
      <w:r w:rsidR="00EA597F">
        <w:rPr>
          <w:rFonts w:ascii="Times New Roman" w:hAnsi="Times New Roman" w:cs="Times New Roman"/>
          <w:sz w:val="24"/>
          <w:szCs w:val="24"/>
        </w:rPr>
        <w:t>Schrieber</w:t>
      </w:r>
      <w:proofErr w:type="spellEnd"/>
      <w:r w:rsidR="00ED20CE">
        <w:rPr>
          <w:rFonts w:ascii="Times New Roman" w:hAnsi="Times New Roman" w:cs="Times New Roman"/>
          <w:sz w:val="24"/>
          <w:szCs w:val="24"/>
        </w:rPr>
        <w:t xml:space="preserve">, page </w:t>
      </w:r>
      <w:r w:rsidR="00827796">
        <w:rPr>
          <w:rFonts w:ascii="Times New Roman" w:hAnsi="Times New Roman" w:cs="Times New Roman"/>
          <w:sz w:val="24"/>
          <w:szCs w:val="24"/>
        </w:rPr>
        <w:t>14)</w:t>
      </w:r>
      <w:r w:rsidR="00DB7927">
        <w:rPr>
          <w:rFonts w:ascii="Times New Roman" w:hAnsi="Times New Roman" w:cs="Times New Roman"/>
          <w:sz w:val="24"/>
          <w:szCs w:val="24"/>
        </w:rPr>
        <w:t xml:space="preserve">. </w:t>
      </w:r>
      <w:r w:rsidR="00DC0439">
        <w:rPr>
          <w:rFonts w:ascii="Times New Roman" w:hAnsi="Times New Roman" w:cs="Times New Roman"/>
          <w:sz w:val="24"/>
          <w:szCs w:val="24"/>
        </w:rPr>
        <w:t xml:space="preserve">While this argument can be classified as partially successful, Goldman eventually settled the lawsuit with a </w:t>
      </w:r>
      <w:r w:rsidR="00EC483C">
        <w:rPr>
          <w:rFonts w:ascii="Times New Roman" w:hAnsi="Times New Roman" w:cs="Times New Roman"/>
          <w:sz w:val="24"/>
          <w:szCs w:val="24"/>
        </w:rPr>
        <w:t xml:space="preserve">$550 million payment to the SEC, </w:t>
      </w:r>
      <w:r w:rsidR="00C87842">
        <w:rPr>
          <w:rFonts w:ascii="Times New Roman" w:hAnsi="Times New Roman" w:cs="Times New Roman"/>
          <w:sz w:val="24"/>
          <w:szCs w:val="24"/>
        </w:rPr>
        <w:t xml:space="preserve">I will try to </w:t>
      </w:r>
      <w:r w:rsidR="002A5C5D">
        <w:rPr>
          <w:rFonts w:ascii="Times New Roman" w:hAnsi="Times New Roman" w:cs="Times New Roman"/>
          <w:sz w:val="24"/>
          <w:szCs w:val="24"/>
        </w:rPr>
        <w:t>offer an explanation</w:t>
      </w:r>
      <w:r w:rsidR="00707538">
        <w:rPr>
          <w:rFonts w:ascii="Times New Roman" w:hAnsi="Times New Roman" w:cs="Times New Roman"/>
          <w:sz w:val="24"/>
          <w:szCs w:val="24"/>
        </w:rPr>
        <w:t xml:space="preserve"> to why Goldman should have</w:t>
      </w:r>
      <w:r w:rsidR="002A5C5D">
        <w:rPr>
          <w:rFonts w:ascii="Times New Roman" w:hAnsi="Times New Roman" w:cs="Times New Roman"/>
          <w:sz w:val="24"/>
          <w:szCs w:val="24"/>
        </w:rPr>
        <w:t xml:space="preserve"> indeed</w:t>
      </w:r>
      <w:r w:rsidR="00707538">
        <w:rPr>
          <w:rFonts w:ascii="Times New Roman" w:hAnsi="Times New Roman" w:cs="Times New Roman"/>
          <w:sz w:val="24"/>
          <w:szCs w:val="24"/>
        </w:rPr>
        <w:t xml:space="preserve"> been charged</w:t>
      </w:r>
      <w:r w:rsidR="002A5C5D">
        <w:rPr>
          <w:rFonts w:ascii="Times New Roman" w:hAnsi="Times New Roman" w:cs="Times New Roman"/>
          <w:sz w:val="24"/>
          <w:szCs w:val="24"/>
        </w:rPr>
        <w:t xml:space="preserve"> with </w:t>
      </w:r>
      <w:r w:rsidR="00C82ED5">
        <w:rPr>
          <w:rFonts w:ascii="Times New Roman" w:hAnsi="Times New Roman" w:cs="Times New Roman"/>
          <w:sz w:val="24"/>
          <w:szCs w:val="24"/>
        </w:rPr>
        <w:t xml:space="preserve">fraudulent conduct. To do so, I will first examine the definition of fraud. </w:t>
      </w:r>
      <w:r w:rsidR="007C6885">
        <w:rPr>
          <w:rFonts w:ascii="Times New Roman" w:hAnsi="Times New Roman" w:cs="Times New Roman"/>
          <w:sz w:val="24"/>
          <w:szCs w:val="24"/>
        </w:rPr>
        <w:t>More specifically,</w:t>
      </w:r>
      <w:r w:rsidR="00C82ED5">
        <w:rPr>
          <w:rFonts w:ascii="Times New Roman" w:hAnsi="Times New Roman" w:cs="Times New Roman"/>
          <w:sz w:val="24"/>
          <w:szCs w:val="24"/>
        </w:rPr>
        <w:t xml:space="preserve"> I will </w:t>
      </w:r>
      <w:r w:rsidR="00603BE4">
        <w:rPr>
          <w:rFonts w:ascii="Times New Roman" w:hAnsi="Times New Roman" w:cs="Times New Roman"/>
          <w:sz w:val="24"/>
          <w:szCs w:val="24"/>
        </w:rPr>
        <w:t xml:space="preserve">analyze the </w:t>
      </w:r>
      <w:r w:rsidR="000A0EC4">
        <w:rPr>
          <w:rFonts w:ascii="Times New Roman" w:hAnsi="Times New Roman" w:cs="Times New Roman"/>
          <w:sz w:val="24"/>
          <w:szCs w:val="24"/>
        </w:rPr>
        <w:t>three</w:t>
      </w:r>
      <w:r w:rsidR="00603BE4">
        <w:rPr>
          <w:rFonts w:ascii="Times New Roman" w:hAnsi="Times New Roman" w:cs="Times New Roman"/>
          <w:sz w:val="24"/>
          <w:szCs w:val="24"/>
        </w:rPr>
        <w:t xml:space="preserve"> key components that define fraudulent behavior and </w:t>
      </w:r>
      <w:r w:rsidR="007C6885">
        <w:rPr>
          <w:rFonts w:ascii="Times New Roman" w:hAnsi="Times New Roman" w:cs="Times New Roman"/>
          <w:sz w:val="24"/>
          <w:szCs w:val="24"/>
        </w:rPr>
        <w:t xml:space="preserve">then </w:t>
      </w:r>
      <w:r w:rsidR="00603BE4">
        <w:rPr>
          <w:rFonts w:ascii="Times New Roman" w:hAnsi="Times New Roman" w:cs="Times New Roman"/>
          <w:sz w:val="24"/>
          <w:szCs w:val="24"/>
        </w:rPr>
        <w:t>relate them to the Goldman case</w:t>
      </w:r>
      <w:r w:rsidR="00E9542E">
        <w:rPr>
          <w:rFonts w:ascii="Times New Roman" w:hAnsi="Times New Roman" w:cs="Times New Roman"/>
          <w:sz w:val="24"/>
          <w:szCs w:val="24"/>
        </w:rPr>
        <w:t>.</w:t>
      </w:r>
    </w:p>
    <w:p w14:paraId="00F1CC14" w14:textId="3BC13414" w:rsidR="007C6885" w:rsidRDefault="001041A3" w:rsidP="003C1A83">
      <w:pPr>
        <w:spacing w:line="480" w:lineRule="auto"/>
        <w:rPr>
          <w:rFonts w:ascii="Times New Roman" w:hAnsi="Times New Roman" w:cs="Times New Roman"/>
          <w:sz w:val="24"/>
          <w:szCs w:val="24"/>
        </w:rPr>
      </w:pPr>
      <w:r>
        <w:rPr>
          <w:rFonts w:ascii="Times New Roman" w:hAnsi="Times New Roman" w:cs="Times New Roman"/>
          <w:sz w:val="24"/>
          <w:szCs w:val="24"/>
        </w:rPr>
        <w:t>Generally speaking, frau</w:t>
      </w:r>
      <w:r w:rsidR="00EE21E1">
        <w:rPr>
          <w:rFonts w:ascii="Times New Roman" w:hAnsi="Times New Roman" w:cs="Times New Roman"/>
          <w:sz w:val="24"/>
          <w:szCs w:val="24"/>
        </w:rPr>
        <w:t>d</w:t>
      </w:r>
      <w:r>
        <w:rPr>
          <w:rFonts w:ascii="Times New Roman" w:hAnsi="Times New Roman" w:cs="Times New Roman"/>
          <w:sz w:val="24"/>
          <w:szCs w:val="24"/>
        </w:rPr>
        <w:t xml:space="preserve"> is defined as </w:t>
      </w:r>
      <w:r w:rsidR="00923540">
        <w:rPr>
          <w:rFonts w:ascii="Times New Roman" w:hAnsi="Times New Roman" w:cs="Times New Roman"/>
          <w:sz w:val="24"/>
          <w:szCs w:val="24"/>
        </w:rPr>
        <w:t xml:space="preserve">the material misrepresentation </w:t>
      </w:r>
      <w:r w:rsidR="00EE21E1">
        <w:rPr>
          <w:rFonts w:ascii="Times New Roman" w:hAnsi="Times New Roman" w:cs="Times New Roman"/>
          <w:sz w:val="24"/>
          <w:szCs w:val="24"/>
        </w:rPr>
        <w:t>of in</w:t>
      </w:r>
      <w:r w:rsidR="008607BE">
        <w:rPr>
          <w:rFonts w:ascii="Times New Roman" w:hAnsi="Times New Roman" w:cs="Times New Roman"/>
          <w:sz w:val="24"/>
          <w:szCs w:val="24"/>
        </w:rPr>
        <w:t>f</w:t>
      </w:r>
      <w:r w:rsidR="00EE21E1">
        <w:rPr>
          <w:rFonts w:ascii="Times New Roman" w:hAnsi="Times New Roman" w:cs="Times New Roman"/>
          <w:sz w:val="24"/>
          <w:szCs w:val="24"/>
        </w:rPr>
        <w:t xml:space="preserve">ormation that is made available </w:t>
      </w:r>
      <w:r w:rsidR="005F5A39">
        <w:rPr>
          <w:rFonts w:ascii="Times New Roman" w:hAnsi="Times New Roman" w:cs="Times New Roman"/>
          <w:sz w:val="24"/>
          <w:szCs w:val="24"/>
        </w:rPr>
        <w:t xml:space="preserve">with an intent to deceive </w:t>
      </w:r>
      <w:r w:rsidR="00F13CD9">
        <w:rPr>
          <w:rFonts w:ascii="Times New Roman" w:hAnsi="Times New Roman" w:cs="Times New Roman"/>
          <w:sz w:val="24"/>
          <w:szCs w:val="24"/>
        </w:rPr>
        <w:t xml:space="preserve">that causes harm to </w:t>
      </w:r>
      <w:r w:rsidR="008607BE">
        <w:rPr>
          <w:rFonts w:ascii="Times New Roman" w:hAnsi="Times New Roman" w:cs="Times New Roman"/>
          <w:sz w:val="24"/>
          <w:szCs w:val="24"/>
        </w:rPr>
        <w:t>a</w:t>
      </w:r>
      <w:r w:rsidR="00F13CD9">
        <w:rPr>
          <w:rFonts w:ascii="Times New Roman" w:hAnsi="Times New Roman" w:cs="Times New Roman"/>
          <w:sz w:val="24"/>
          <w:szCs w:val="24"/>
        </w:rPr>
        <w:t xml:space="preserve"> party that has come to rely upon that information.</w:t>
      </w:r>
      <w:r w:rsidR="008607BE">
        <w:rPr>
          <w:rFonts w:ascii="Times New Roman" w:hAnsi="Times New Roman" w:cs="Times New Roman"/>
          <w:sz w:val="24"/>
          <w:szCs w:val="24"/>
        </w:rPr>
        <w:t xml:space="preserve"> </w:t>
      </w:r>
      <w:r w:rsidR="00DF5DC1">
        <w:rPr>
          <w:rFonts w:ascii="Times New Roman" w:hAnsi="Times New Roman" w:cs="Times New Roman"/>
          <w:sz w:val="24"/>
          <w:szCs w:val="24"/>
        </w:rPr>
        <w:t xml:space="preserve">To me, </w:t>
      </w:r>
      <w:r w:rsidR="000A0EC4">
        <w:rPr>
          <w:rFonts w:ascii="Times New Roman" w:hAnsi="Times New Roman" w:cs="Times New Roman"/>
          <w:sz w:val="24"/>
          <w:szCs w:val="24"/>
        </w:rPr>
        <w:t>three</w:t>
      </w:r>
      <w:r w:rsidR="00DF5DC1">
        <w:rPr>
          <w:rFonts w:ascii="Times New Roman" w:hAnsi="Times New Roman" w:cs="Times New Roman"/>
          <w:sz w:val="24"/>
          <w:szCs w:val="24"/>
        </w:rPr>
        <w:t xml:space="preserve"> points stand out. First, fraud always involves some kind of wrong </w:t>
      </w:r>
      <w:r w:rsidR="00DF5DC1">
        <w:rPr>
          <w:rFonts w:ascii="Times New Roman" w:hAnsi="Times New Roman" w:cs="Times New Roman"/>
          <w:sz w:val="24"/>
          <w:szCs w:val="24"/>
        </w:rPr>
        <w:lastRenderedPageBreak/>
        <w:t xml:space="preserve">information. Second, </w:t>
      </w:r>
      <w:r w:rsidR="000A0EC4">
        <w:rPr>
          <w:rFonts w:ascii="Times New Roman" w:hAnsi="Times New Roman" w:cs="Times New Roman"/>
          <w:sz w:val="24"/>
          <w:szCs w:val="24"/>
        </w:rPr>
        <w:t xml:space="preserve">there is an intent to deceive. </w:t>
      </w:r>
      <w:r w:rsidR="00BE0DC0">
        <w:rPr>
          <w:rFonts w:ascii="Times New Roman" w:hAnsi="Times New Roman" w:cs="Times New Roman"/>
          <w:sz w:val="24"/>
          <w:szCs w:val="24"/>
        </w:rPr>
        <w:t>And t</w:t>
      </w:r>
      <w:r w:rsidR="000A0EC4">
        <w:rPr>
          <w:rFonts w:ascii="Times New Roman" w:hAnsi="Times New Roman" w:cs="Times New Roman"/>
          <w:sz w:val="24"/>
          <w:szCs w:val="24"/>
        </w:rPr>
        <w:t>hird, a party gets harmed due to this misinformation</w:t>
      </w:r>
      <w:r w:rsidR="00BE0DC0">
        <w:rPr>
          <w:rFonts w:ascii="Times New Roman" w:hAnsi="Times New Roman" w:cs="Times New Roman"/>
          <w:sz w:val="24"/>
          <w:szCs w:val="24"/>
        </w:rPr>
        <w:t xml:space="preserve"> because </w:t>
      </w:r>
      <w:r w:rsidR="00FA71B1">
        <w:rPr>
          <w:rFonts w:ascii="Times New Roman" w:hAnsi="Times New Roman" w:cs="Times New Roman"/>
          <w:sz w:val="24"/>
          <w:szCs w:val="24"/>
        </w:rPr>
        <w:t>they</w:t>
      </w:r>
      <w:r w:rsidR="00BE0DC0">
        <w:rPr>
          <w:rFonts w:ascii="Times New Roman" w:hAnsi="Times New Roman" w:cs="Times New Roman"/>
          <w:sz w:val="24"/>
          <w:szCs w:val="24"/>
        </w:rPr>
        <w:t xml:space="preserve"> believed it to be true</w:t>
      </w:r>
      <w:r w:rsidR="000A0EC4">
        <w:rPr>
          <w:rFonts w:ascii="Times New Roman" w:hAnsi="Times New Roman" w:cs="Times New Roman"/>
          <w:sz w:val="24"/>
          <w:szCs w:val="24"/>
        </w:rPr>
        <w:t>.</w:t>
      </w:r>
      <w:r w:rsidR="00592596">
        <w:rPr>
          <w:rFonts w:ascii="Times New Roman" w:hAnsi="Times New Roman" w:cs="Times New Roman"/>
          <w:sz w:val="24"/>
          <w:szCs w:val="24"/>
        </w:rPr>
        <w:br/>
      </w:r>
      <w:r w:rsidR="003329FF">
        <w:rPr>
          <w:rFonts w:ascii="Times New Roman" w:hAnsi="Times New Roman" w:cs="Times New Roman"/>
          <w:sz w:val="24"/>
          <w:szCs w:val="24"/>
        </w:rPr>
        <w:t xml:space="preserve">In Goldman’s case, the evidence is strong and clear that </w:t>
      </w:r>
      <w:r w:rsidR="00082CA1">
        <w:rPr>
          <w:rFonts w:ascii="Times New Roman" w:hAnsi="Times New Roman" w:cs="Times New Roman"/>
          <w:sz w:val="24"/>
          <w:szCs w:val="24"/>
        </w:rPr>
        <w:t>the behavior of</w:t>
      </w:r>
      <w:r w:rsidR="00A5377C">
        <w:rPr>
          <w:rFonts w:ascii="Times New Roman" w:hAnsi="Times New Roman" w:cs="Times New Roman"/>
          <w:sz w:val="24"/>
          <w:szCs w:val="24"/>
        </w:rPr>
        <w:t xml:space="preserve"> </w:t>
      </w:r>
      <w:proofErr w:type="spellStart"/>
      <w:r w:rsidR="00A5377C">
        <w:rPr>
          <w:rFonts w:ascii="Times New Roman" w:hAnsi="Times New Roman" w:cs="Times New Roman"/>
          <w:sz w:val="24"/>
          <w:szCs w:val="24"/>
        </w:rPr>
        <w:t>Tourre</w:t>
      </w:r>
      <w:proofErr w:type="spellEnd"/>
      <w:r w:rsidR="00A5377C">
        <w:rPr>
          <w:rFonts w:ascii="Times New Roman" w:hAnsi="Times New Roman" w:cs="Times New Roman"/>
          <w:sz w:val="24"/>
          <w:szCs w:val="24"/>
        </w:rPr>
        <w:t xml:space="preserve"> an</w:t>
      </w:r>
      <w:r w:rsidR="002F1E22">
        <w:rPr>
          <w:rFonts w:ascii="Times New Roman" w:hAnsi="Times New Roman" w:cs="Times New Roman"/>
          <w:sz w:val="24"/>
          <w:szCs w:val="24"/>
        </w:rPr>
        <w:t xml:space="preserve">d other Goldman employees during meetings with ACA was dishonest and </w:t>
      </w:r>
      <w:r w:rsidR="0026785B">
        <w:rPr>
          <w:rFonts w:ascii="Times New Roman" w:hAnsi="Times New Roman" w:cs="Times New Roman"/>
          <w:sz w:val="24"/>
          <w:szCs w:val="24"/>
        </w:rPr>
        <w:t xml:space="preserve">deceptive. To understand why, we need to look a little </w:t>
      </w:r>
      <w:r w:rsidR="00454146">
        <w:rPr>
          <w:rFonts w:ascii="Times New Roman" w:hAnsi="Times New Roman" w:cs="Times New Roman"/>
          <w:sz w:val="24"/>
          <w:szCs w:val="24"/>
        </w:rPr>
        <w:t xml:space="preserve">closer at how the </w:t>
      </w:r>
      <w:r w:rsidR="00295A96">
        <w:rPr>
          <w:rFonts w:ascii="Times New Roman" w:hAnsi="Times New Roman" w:cs="Times New Roman"/>
          <w:sz w:val="24"/>
          <w:szCs w:val="24"/>
        </w:rPr>
        <w:t xml:space="preserve">financial instrument </w:t>
      </w:r>
      <w:r w:rsidR="00454146">
        <w:rPr>
          <w:rFonts w:ascii="Times New Roman" w:hAnsi="Times New Roman" w:cs="Times New Roman"/>
          <w:sz w:val="24"/>
          <w:szCs w:val="24"/>
        </w:rPr>
        <w:t xml:space="preserve">Abacus </w:t>
      </w:r>
      <w:r w:rsidR="00247922">
        <w:rPr>
          <w:rFonts w:ascii="Times New Roman" w:hAnsi="Times New Roman" w:cs="Times New Roman"/>
          <w:sz w:val="24"/>
          <w:szCs w:val="24"/>
        </w:rPr>
        <w:t xml:space="preserve">works. </w:t>
      </w:r>
      <w:r w:rsidR="00F90F0D">
        <w:rPr>
          <w:rFonts w:ascii="Times New Roman" w:hAnsi="Times New Roman" w:cs="Times New Roman"/>
          <w:sz w:val="24"/>
          <w:szCs w:val="24"/>
        </w:rPr>
        <w:t xml:space="preserve">On paper, Abacus is a </w:t>
      </w:r>
      <w:r w:rsidR="009037A5">
        <w:rPr>
          <w:rFonts w:ascii="Times New Roman" w:hAnsi="Times New Roman" w:cs="Times New Roman"/>
          <w:sz w:val="24"/>
          <w:szCs w:val="24"/>
        </w:rPr>
        <w:t>synthesized</w:t>
      </w:r>
      <w:r w:rsidR="00F90F0D">
        <w:rPr>
          <w:rFonts w:ascii="Times New Roman" w:hAnsi="Times New Roman" w:cs="Times New Roman"/>
          <w:sz w:val="24"/>
          <w:szCs w:val="24"/>
        </w:rPr>
        <w:t xml:space="preserve"> </w:t>
      </w:r>
      <w:r w:rsidR="00913953">
        <w:rPr>
          <w:rFonts w:ascii="Times New Roman" w:hAnsi="Times New Roman" w:cs="Times New Roman"/>
          <w:sz w:val="24"/>
          <w:szCs w:val="24"/>
        </w:rPr>
        <w:t xml:space="preserve">collateral debt </w:t>
      </w:r>
      <w:r w:rsidR="00183FDA">
        <w:rPr>
          <w:rFonts w:ascii="Times New Roman" w:hAnsi="Times New Roman" w:cs="Times New Roman"/>
          <w:sz w:val="24"/>
          <w:szCs w:val="24"/>
        </w:rPr>
        <w:t>obligation (CDO)</w:t>
      </w:r>
      <w:r w:rsidR="00C1136A">
        <w:rPr>
          <w:rFonts w:ascii="Times New Roman" w:hAnsi="Times New Roman" w:cs="Times New Roman"/>
          <w:sz w:val="24"/>
          <w:szCs w:val="24"/>
        </w:rPr>
        <w:t>. In laym</w:t>
      </w:r>
      <w:r w:rsidR="006A6553">
        <w:rPr>
          <w:rFonts w:ascii="Times New Roman" w:hAnsi="Times New Roman" w:cs="Times New Roman"/>
          <w:sz w:val="24"/>
          <w:szCs w:val="24"/>
        </w:rPr>
        <w:t xml:space="preserve">an’s terms, this means that in contrast to a traditional CDO, which </w:t>
      </w:r>
      <w:r w:rsidR="00344AD6">
        <w:rPr>
          <w:rFonts w:ascii="Times New Roman" w:hAnsi="Times New Roman" w:cs="Times New Roman"/>
          <w:sz w:val="24"/>
          <w:szCs w:val="24"/>
        </w:rPr>
        <w:t>is</w:t>
      </w:r>
      <w:r w:rsidR="00EB15CE">
        <w:rPr>
          <w:rFonts w:ascii="Times New Roman" w:hAnsi="Times New Roman" w:cs="Times New Roman"/>
          <w:sz w:val="24"/>
          <w:szCs w:val="24"/>
        </w:rPr>
        <w:t xml:space="preserve"> basically </w:t>
      </w:r>
      <w:r w:rsidR="00344AD6">
        <w:rPr>
          <w:rFonts w:ascii="Times New Roman" w:hAnsi="Times New Roman" w:cs="Times New Roman"/>
          <w:sz w:val="24"/>
          <w:szCs w:val="24"/>
        </w:rPr>
        <w:t xml:space="preserve">a </w:t>
      </w:r>
      <w:r w:rsidR="009F658A">
        <w:rPr>
          <w:rFonts w:ascii="Times New Roman" w:hAnsi="Times New Roman" w:cs="Times New Roman"/>
          <w:sz w:val="24"/>
          <w:szCs w:val="24"/>
        </w:rPr>
        <w:t>mort</w:t>
      </w:r>
      <w:r w:rsidR="00F5374A">
        <w:rPr>
          <w:rFonts w:ascii="Times New Roman" w:hAnsi="Times New Roman" w:cs="Times New Roman"/>
          <w:sz w:val="24"/>
          <w:szCs w:val="24"/>
        </w:rPr>
        <w:t>g</w:t>
      </w:r>
      <w:r w:rsidR="009F658A">
        <w:rPr>
          <w:rFonts w:ascii="Times New Roman" w:hAnsi="Times New Roman" w:cs="Times New Roman"/>
          <w:sz w:val="24"/>
          <w:szCs w:val="24"/>
        </w:rPr>
        <w:t>age</w:t>
      </w:r>
      <w:r w:rsidR="00EB15CE">
        <w:rPr>
          <w:rFonts w:ascii="Times New Roman" w:hAnsi="Times New Roman" w:cs="Times New Roman"/>
          <w:sz w:val="24"/>
          <w:szCs w:val="24"/>
        </w:rPr>
        <w:t>-backed secur</w:t>
      </w:r>
      <w:r w:rsidR="009F658A">
        <w:rPr>
          <w:rFonts w:ascii="Times New Roman" w:hAnsi="Times New Roman" w:cs="Times New Roman"/>
          <w:sz w:val="24"/>
          <w:szCs w:val="24"/>
        </w:rPr>
        <w:t>i</w:t>
      </w:r>
      <w:r w:rsidR="00EB15CE">
        <w:rPr>
          <w:rFonts w:ascii="Times New Roman" w:hAnsi="Times New Roman" w:cs="Times New Roman"/>
          <w:sz w:val="24"/>
          <w:szCs w:val="24"/>
        </w:rPr>
        <w:t>t</w:t>
      </w:r>
      <w:r w:rsidR="00344AD6">
        <w:rPr>
          <w:rFonts w:ascii="Times New Roman" w:hAnsi="Times New Roman" w:cs="Times New Roman"/>
          <w:sz w:val="24"/>
          <w:szCs w:val="24"/>
        </w:rPr>
        <w:t>y</w:t>
      </w:r>
      <w:r w:rsidR="009F658A">
        <w:rPr>
          <w:rFonts w:ascii="Times New Roman" w:hAnsi="Times New Roman" w:cs="Times New Roman"/>
          <w:sz w:val="24"/>
          <w:szCs w:val="24"/>
        </w:rPr>
        <w:t xml:space="preserve"> that ideally generate</w:t>
      </w:r>
      <w:r w:rsidR="00344AD6">
        <w:rPr>
          <w:rFonts w:ascii="Times New Roman" w:hAnsi="Times New Roman" w:cs="Times New Roman"/>
          <w:sz w:val="24"/>
          <w:szCs w:val="24"/>
        </w:rPr>
        <w:t xml:space="preserve">s </w:t>
      </w:r>
      <w:r w:rsidR="009F658A">
        <w:rPr>
          <w:rFonts w:ascii="Times New Roman" w:hAnsi="Times New Roman" w:cs="Times New Roman"/>
          <w:sz w:val="24"/>
          <w:szCs w:val="24"/>
        </w:rPr>
        <w:t>continuous cash</w:t>
      </w:r>
      <w:r w:rsidR="00F5374A">
        <w:rPr>
          <w:rFonts w:ascii="Times New Roman" w:hAnsi="Times New Roman" w:cs="Times New Roman"/>
          <w:sz w:val="24"/>
          <w:szCs w:val="24"/>
        </w:rPr>
        <w:t xml:space="preserve"> </w:t>
      </w:r>
      <w:r w:rsidR="009F658A">
        <w:rPr>
          <w:rFonts w:ascii="Times New Roman" w:hAnsi="Times New Roman" w:cs="Times New Roman"/>
          <w:sz w:val="24"/>
          <w:szCs w:val="24"/>
        </w:rPr>
        <w:t xml:space="preserve">flows through </w:t>
      </w:r>
      <w:r w:rsidR="00F5374A">
        <w:rPr>
          <w:rFonts w:ascii="Times New Roman" w:hAnsi="Times New Roman" w:cs="Times New Roman"/>
          <w:sz w:val="24"/>
          <w:szCs w:val="24"/>
        </w:rPr>
        <w:t xml:space="preserve">interest and principal payments, </w:t>
      </w:r>
      <w:r w:rsidR="00344AD6">
        <w:rPr>
          <w:rFonts w:ascii="Times New Roman" w:hAnsi="Times New Roman" w:cs="Times New Roman"/>
          <w:sz w:val="24"/>
          <w:szCs w:val="24"/>
        </w:rPr>
        <w:t xml:space="preserve">a </w:t>
      </w:r>
      <w:r w:rsidR="00F5374A">
        <w:rPr>
          <w:rFonts w:ascii="Times New Roman" w:hAnsi="Times New Roman" w:cs="Times New Roman"/>
          <w:sz w:val="24"/>
          <w:szCs w:val="24"/>
        </w:rPr>
        <w:t>synthetic CDO do</w:t>
      </w:r>
      <w:r w:rsidR="00344AD6">
        <w:rPr>
          <w:rFonts w:ascii="Times New Roman" w:hAnsi="Times New Roman" w:cs="Times New Roman"/>
          <w:sz w:val="24"/>
          <w:szCs w:val="24"/>
        </w:rPr>
        <w:t>es</w:t>
      </w:r>
      <w:r w:rsidR="00F5374A">
        <w:rPr>
          <w:rFonts w:ascii="Times New Roman" w:hAnsi="Times New Roman" w:cs="Times New Roman"/>
          <w:sz w:val="24"/>
          <w:szCs w:val="24"/>
        </w:rPr>
        <w:t xml:space="preserve"> not have </w:t>
      </w:r>
      <w:r w:rsidR="003B3C26">
        <w:rPr>
          <w:rFonts w:ascii="Times New Roman" w:hAnsi="Times New Roman" w:cs="Times New Roman"/>
          <w:sz w:val="24"/>
          <w:szCs w:val="24"/>
        </w:rPr>
        <w:t>actual underlying asset</w:t>
      </w:r>
      <w:r w:rsidR="00B83F68">
        <w:rPr>
          <w:rFonts w:ascii="Times New Roman" w:hAnsi="Times New Roman" w:cs="Times New Roman"/>
          <w:sz w:val="24"/>
          <w:szCs w:val="24"/>
        </w:rPr>
        <w:t>s</w:t>
      </w:r>
      <w:r w:rsidR="00F5374A">
        <w:rPr>
          <w:rFonts w:ascii="Times New Roman" w:hAnsi="Times New Roman" w:cs="Times New Roman"/>
          <w:sz w:val="24"/>
          <w:szCs w:val="24"/>
        </w:rPr>
        <w:t xml:space="preserve">. In other words, </w:t>
      </w:r>
      <w:r w:rsidR="00344AD6">
        <w:rPr>
          <w:rFonts w:ascii="Times New Roman" w:hAnsi="Times New Roman" w:cs="Times New Roman"/>
          <w:sz w:val="24"/>
          <w:szCs w:val="24"/>
        </w:rPr>
        <w:t>a synthetic CDO</w:t>
      </w:r>
      <w:r w:rsidR="00F5374A">
        <w:rPr>
          <w:rFonts w:ascii="Times New Roman" w:hAnsi="Times New Roman" w:cs="Times New Roman"/>
          <w:sz w:val="24"/>
          <w:szCs w:val="24"/>
        </w:rPr>
        <w:t xml:space="preserve"> lack</w:t>
      </w:r>
      <w:r w:rsidR="00344AD6">
        <w:rPr>
          <w:rFonts w:ascii="Times New Roman" w:hAnsi="Times New Roman" w:cs="Times New Roman"/>
          <w:sz w:val="24"/>
          <w:szCs w:val="24"/>
        </w:rPr>
        <w:t>s</w:t>
      </w:r>
      <w:r w:rsidR="00F5374A">
        <w:rPr>
          <w:rFonts w:ascii="Times New Roman" w:hAnsi="Times New Roman" w:cs="Times New Roman"/>
          <w:sz w:val="24"/>
          <w:szCs w:val="24"/>
        </w:rPr>
        <w:t xml:space="preserve"> the “physical backbone” of</w:t>
      </w:r>
      <w:r w:rsidR="00344AD6">
        <w:rPr>
          <w:rFonts w:ascii="Times New Roman" w:hAnsi="Times New Roman" w:cs="Times New Roman"/>
          <w:sz w:val="24"/>
          <w:szCs w:val="24"/>
        </w:rPr>
        <w:t xml:space="preserve"> </w:t>
      </w:r>
      <w:r w:rsidR="00A340F2">
        <w:rPr>
          <w:rFonts w:ascii="Times New Roman" w:hAnsi="Times New Roman" w:cs="Times New Roman"/>
          <w:sz w:val="24"/>
          <w:szCs w:val="24"/>
        </w:rPr>
        <w:t>a</w:t>
      </w:r>
      <w:r w:rsidR="00344AD6">
        <w:rPr>
          <w:rFonts w:ascii="Times New Roman" w:hAnsi="Times New Roman" w:cs="Times New Roman"/>
          <w:sz w:val="24"/>
          <w:szCs w:val="24"/>
        </w:rPr>
        <w:t xml:space="preserve"> </w:t>
      </w:r>
      <w:r w:rsidR="00DA227E">
        <w:rPr>
          <w:rFonts w:ascii="Times New Roman" w:hAnsi="Times New Roman" w:cs="Times New Roman"/>
          <w:sz w:val="24"/>
          <w:szCs w:val="24"/>
        </w:rPr>
        <w:t>classic</w:t>
      </w:r>
      <w:r w:rsidR="003B3C26">
        <w:rPr>
          <w:rFonts w:ascii="Times New Roman" w:hAnsi="Times New Roman" w:cs="Times New Roman"/>
          <w:sz w:val="24"/>
          <w:szCs w:val="24"/>
        </w:rPr>
        <w:t xml:space="preserve"> CDO. </w:t>
      </w:r>
      <w:r w:rsidR="001E5910">
        <w:rPr>
          <w:rFonts w:ascii="Times New Roman" w:hAnsi="Times New Roman" w:cs="Times New Roman"/>
          <w:sz w:val="24"/>
          <w:szCs w:val="24"/>
        </w:rPr>
        <w:t>Moreover, to invest in a synthetic CDO, you always need t</w:t>
      </w:r>
      <w:r w:rsidR="00DA227E">
        <w:rPr>
          <w:rFonts w:ascii="Times New Roman" w:hAnsi="Times New Roman" w:cs="Times New Roman"/>
          <w:sz w:val="24"/>
          <w:szCs w:val="24"/>
        </w:rPr>
        <w:t>wo</w:t>
      </w:r>
      <w:r w:rsidR="001E5910">
        <w:rPr>
          <w:rFonts w:ascii="Times New Roman" w:hAnsi="Times New Roman" w:cs="Times New Roman"/>
          <w:sz w:val="24"/>
          <w:szCs w:val="24"/>
        </w:rPr>
        <w:t xml:space="preserve"> counterparties. On</w:t>
      </w:r>
      <w:r w:rsidR="00344AD6">
        <w:rPr>
          <w:rFonts w:ascii="Times New Roman" w:hAnsi="Times New Roman" w:cs="Times New Roman"/>
          <w:sz w:val="24"/>
          <w:szCs w:val="24"/>
        </w:rPr>
        <w:t>e</w:t>
      </w:r>
      <w:r w:rsidR="001E5910">
        <w:rPr>
          <w:rFonts w:ascii="Times New Roman" w:hAnsi="Times New Roman" w:cs="Times New Roman"/>
          <w:sz w:val="24"/>
          <w:szCs w:val="24"/>
        </w:rPr>
        <w:t xml:space="preserve"> side</w:t>
      </w:r>
      <w:r w:rsidR="00B83F68">
        <w:rPr>
          <w:rFonts w:ascii="Times New Roman" w:hAnsi="Times New Roman" w:cs="Times New Roman"/>
          <w:sz w:val="24"/>
          <w:szCs w:val="24"/>
        </w:rPr>
        <w:t xml:space="preserve"> </w:t>
      </w:r>
      <w:proofErr w:type="gramStart"/>
      <w:r w:rsidR="003E12F7">
        <w:rPr>
          <w:rFonts w:ascii="Times New Roman" w:hAnsi="Times New Roman" w:cs="Times New Roman"/>
          <w:sz w:val="24"/>
          <w:szCs w:val="24"/>
        </w:rPr>
        <w:t>bet</w:t>
      </w:r>
      <w:r w:rsidR="00B83F68">
        <w:rPr>
          <w:rFonts w:ascii="Times New Roman" w:hAnsi="Times New Roman" w:cs="Times New Roman"/>
          <w:sz w:val="24"/>
          <w:szCs w:val="24"/>
        </w:rPr>
        <w:t>s</w:t>
      </w:r>
      <w:proofErr w:type="gramEnd"/>
      <w:r w:rsidR="008577E7">
        <w:rPr>
          <w:rFonts w:ascii="Times New Roman" w:hAnsi="Times New Roman" w:cs="Times New Roman"/>
          <w:sz w:val="24"/>
          <w:szCs w:val="24"/>
        </w:rPr>
        <w:t xml:space="preserve"> on the synthetic CDO, in this case on the housing market, and the other party bets against it. </w:t>
      </w:r>
      <w:r w:rsidR="00DA227E">
        <w:rPr>
          <w:rFonts w:ascii="Times New Roman" w:hAnsi="Times New Roman" w:cs="Times New Roman"/>
          <w:sz w:val="24"/>
          <w:szCs w:val="24"/>
        </w:rPr>
        <w:t>And that is what happened in 2007.</w:t>
      </w:r>
      <w:r w:rsidR="006807F9">
        <w:rPr>
          <w:rFonts w:ascii="Times New Roman" w:hAnsi="Times New Roman" w:cs="Times New Roman"/>
          <w:sz w:val="24"/>
          <w:szCs w:val="24"/>
        </w:rPr>
        <w:t xml:space="preserve"> Paulsen &amp; Company approached Gol</w:t>
      </w:r>
      <w:r w:rsidR="00CF44D2">
        <w:rPr>
          <w:rFonts w:ascii="Times New Roman" w:hAnsi="Times New Roman" w:cs="Times New Roman"/>
          <w:sz w:val="24"/>
          <w:szCs w:val="24"/>
        </w:rPr>
        <w:t xml:space="preserve">dman with the </w:t>
      </w:r>
      <w:r w:rsidR="00CF33F5">
        <w:rPr>
          <w:rFonts w:ascii="Times New Roman" w:hAnsi="Times New Roman" w:cs="Times New Roman"/>
          <w:sz w:val="24"/>
          <w:szCs w:val="24"/>
        </w:rPr>
        <w:t xml:space="preserve">intent to </w:t>
      </w:r>
      <w:r w:rsidR="00B83F68">
        <w:rPr>
          <w:rFonts w:ascii="Times New Roman" w:hAnsi="Times New Roman" w:cs="Times New Roman"/>
          <w:sz w:val="24"/>
          <w:szCs w:val="24"/>
        </w:rPr>
        <w:t>take a gamble</w:t>
      </w:r>
      <w:r w:rsidR="00CF33F5">
        <w:rPr>
          <w:rFonts w:ascii="Times New Roman" w:hAnsi="Times New Roman" w:cs="Times New Roman"/>
          <w:sz w:val="24"/>
          <w:szCs w:val="24"/>
        </w:rPr>
        <w:t xml:space="preserve"> against the housing market and </w:t>
      </w:r>
      <w:r w:rsidR="00DA227E">
        <w:rPr>
          <w:rFonts w:ascii="Times New Roman" w:hAnsi="Times New Roman" w:cs="Times New Roman"/>
          <w:sz w:val="24"/>
          <w:szCs w:val="24"/>
        </w:rPr>
        <w:t xml:space="preserve">to </w:t>
      </w:r>
      <w:r w:rsidR="00CF33F5">
        <w:rPr>
          <w:rFonts w:ascii="Times New Roman" w:hAnsi="Times New Roman" w:cs="Times New Roman"/>
          <w:sz w:val="24"/>
          <w:szCs w:val="24"/>
        </w:rPr>
        <w:t xml:space="preserve">invest into </w:t>
      </w:r>
      <w:r w:rsidR="005004C0">
        <w:rPr>
          <w:rFonts w:ascii="Times New Roman" w:hAnsi="Times New Roman" w:cs="Times New Roman"/>
          <w:sz w:val="24"/>
          <w:szCs w:val="24"/>
        </w:rPr>
        <w:t xml:space="preserve">Abacus. Goldman’s responsibility was it to find the second party needed to complete the deal. </w:t>
      </w:r>
      <w:r w:rsidR="00094DFB">
        <w:rPr>
          <w:rFonts w:ascii="Times New Roman" w:hAnsi="Times New Roman" w:cs="Times New Roman"/>
          <w:sz w:val="24"/>
          <w:szCs w:val="24"/>
        </w:rPr>
        <w:t xml:space="preserve">A couple weeks after this request from Paulsen, Goldman and ACA started </w:t>
      </w:r>
      <w:r w:rsidR="00432AD4">
        <w:rPr>
          <w:rFonts w:ascii="Times New Roman" w:hAnsi="Times New Roman" w:cs="Times New Roman"/>
          <w:sz w:val="24"/>
          <w:szCs w:val="24"/>
        </w:rPr>
        <w:t xml:space="preserve">negotiations about a possible interaction in </w:t>
      </w:r>
      <w:r w:rsidR="00E5436F">
        <w:rPr>
          <w:rFonts w:ascii="Times New Roman" w:hAnsi="Times New Roman" w:cs="Times New Roman"/>
          <w:sz w:val="24"/>
          <w:szCs w:val="24"/>
        </w:rPr>
        <w:t xml:space="preserve">this </w:t>
      </w:r>
      <w:r w:rsidR="008A1BD2">
        <w:rPr>
          <w:rFonts w:ascii="Times New Roman" w:hAnsi="Times New Roman" w:cs="Times New Roman"/>
          <w:sz w:val="24"/>
          <w:szCs w:val="24"/>
        </w:rPr>
        <w:t xml:space="preserve">arrangement. However, during these negotiations, Goldman made it seem </w:t>
      </w:r>
      <w:r w:rsidR="00D51878">
        <w:rPr>
          <w:rFonts w:ascii="Times New Roman" w:hAnsi="Times New Roman" w:cs="Times New Roman"/>
          <w:sz w:val="24"/>
          <w:szCs w:val="24"/>
        </w:rPr>
        <w:t>like</w:t>
      </w:r>
      <w:r w:rsidR="008A1BD2">
        <w:rPr>
          <w:rFonts w:ascii="Times New Roman" w:hAnsi="Times New Roman" w:cs="Times New Roman"/>
          <w:sz w:val="24"/>
          <w:szCs w:val="24"/>
        </w:rPr>
        <w:t xml:space="preserve"> Paulsen and ACA were both betting </w:t>
      </w:r>
      <w:r w:rsidR="00D51878">
        <w:rPr>
          <w:rFonts w:ascii="Times New Roman" w:hAnsi="Times New Roman" w:cs="Times New Roman"/>
          <w:sz w:val="24"/>
          <w:szCs w:val="24"/>
        </w:rPr>
        <w:t>on the housing market.</w:t>
      </w:r>
      <w:r w:rsidR="00A340F2">
        <w:rPr>
          <w:rFonts w:ascii="Times New Roman" w:hAnsi="Times New Roman" w:cs="Times New Roman"/>
          <w:sz w:val="24"/>
          <w:szCs w:val="24"/>
        </w:rPr>
        <w:t xml:space="preserve"> For instance, after one of these negotiation meetings, an ACA representative reached out to a Goldman employee via email and </w:t>
      </w:r>
      <w:r w:rsidR="00DF3939">
        <w:rPr>
          <w:rFonts w:ascii="Times New Roman" w:hAnsi="Times New Roman" w:cs="Times New Roman"/>
          <w:sz w:val="24"/>
          <w:szCs w:val="24"/>
        </w:rPr>
        <w:t xml:space="preserve">stated that </w:t>
      </w:r>
      <w:r w:rsidR="009D3B92">
        <w:rPr>
          <w:rFonts w:ascii="Times New Roman" w:hAnsi="Times New Roman" w:cs="Times New Roman"/>
          <w:sz w:val="24"/>
          <w:szCs w:val="24"/>
        </w:rPr>
        <w:t>Paulson’s equity position</w:t>
      </w:r>
      <w:r w:rsidR="008714F0">
        <w:rPr>
          <w:rFonts w:ascii="Times New Roman" w:hAnsi="Times New Roman" w:cs="Times New Roman"/>
          <w:sz w:val="24"/>
          <w:szCs w:val="24"/>
        </w:rPr>
        <w:t xml:space="preserve"> would</w:t>
      </w:r>
      <w:r w:rsidR="009D3B92">
        <w:rPr>
          <w:rFonts w:ascii="Times New Roman" w:hAnsi="Times New Roman" w:cs="Times New Roman"/>
          <w:sz w:val="24"/>
          <w:szCs w:val="24"/>
        </w:rPr>
        <w:t xml:space="preserve"> seem understandable, but </w:t>
      </w:r>
      <w:r w:rsidR="00AD20D5">
        <w:rPr>
          <w:rFonts w:ascii="Times New Roman" w:hAnsi="Times New Roman" w:cs="Times New Roman"/>
          <w:sz w:val="24"/>
          <w:szCs w:val="24"/>
        </w:rPr>
        <w:t>the structure of Abacus look</w:t>
      </w:r>
      <w:r w:rsidR="00652B4A">
        <w:rPr>
          <w:rFonts w:ascii="Times New Roman" w:hAnsi="Times New Roman" w:cs="Times New Roman"/>
          <w:sz w:val="24"/>
          <w:szCs w:val="24"/>
        </w:rPr>
        <w:t>ed</w:t>
      </w:r>
      <w:r w:rsidR="00AD20D5">
        <w:rPr>
          <w:rFonts w:ascii="Times New Roman" w:hAnsi="Times New Roman" w:cs="Times New Roman"/>
          <w:sz w:val="24"/>
          <w:szCs w:val="24"/>
        </w:rPr>
        <w:t xml:space="preserve"> difficult from a debt </w:t>
      </w:r>
      <w:r w:rsidR="004716D6">
        <w:rPr>
          <w:rFonts w:ascii="Times New Roman" w:hAnsi="Times New Roman" w:cs="Times New Roman"/>
          <w:sz w:val="24"/>
          <w:szCs w:val="24"/>
        </w:rPr>
        <w:t>investor perspective (</w:t>
      </w:r>
      <w:proofErr w:type="spellStart"/>
      <w:r w:rsidR="00600BDA">
        <w:rPr>
          <w:rFonts w:ascii="Times New Roman" w:hAnsi="Times New Roman" w:cs="Times New Roman"/>
          <w:sz w:val="24"/>
          <w:szCs w:val="24"/>
        </w:rPr>
        <w:t>Schrieber</w:t>
      </w:r>
      <w:proofErr w:type="spellEnd"/>
      <w:r w:rsidR="004716D6">
        <w:rPr>
          <w:rFonts w:ascii="Times New Roman" w:hAnsi="Times New Roman" w:cs="Times New Roman"/>
          <w:sz w:val="24"/>
          <w:szCs w:val="24"/>
        </w:rPr>
        <w:t xml:space="preserve">, </w:t>
      </w:r>
      <w:r w:rsidR="00652B4A">
        <w:rPr>
          <w:rFonts w:ascii="Times New Roman" w:hAnsi="Times New Roman" w:cs="Times New Roman"/>
          <w:sz w:val="24"/>
          <w:szCs w:val="24"/>
        </w:rPr>
        <w:t xml:space="preserve">page 12). </w:t>
      </w:r>
      <w:r w:rsidR="008714F0">
        <w:rPr>
          <w:rFonts w:ascii="Times New Roman" w:hAnsi="Times New Roman" w:cs="Times New Roman"/>
          <w:sz w:val="24"/>
          <w:szCs w:val="24"/>
        </w:rPr>
        <w:t xml:space="preserve">Cleary, this suggests that ACA was not aware that </w:t>
      </w:r>
      <w:r w:rsidR="00FC6FF9">
        <w:rPr>
          <w:rFonts w:ascii="Times New Roman" w:hAnsi="Times New Roman" w:cs="Times New Roman"/>
          <w:sz w:val="24"/>
          <w:szCs w:val="24"/>
        </w:rPr>
        <w:t xml:space="preserve">Paulson was actually betting against them. They thought that both parties were on the same side of the bet. This demonstrates that Goldman </w:t>
      </w:r>
      <w:r w:rsidR="00623798">
        <w:rPr>
          <w:rFonts w:ascii="Times New Roman" w:hAnsi="Times New Roman" w:cs="Times New Roman"/>
          <w:sz w:val="24"/>
          <w:szCs w:val="24"/>
        </w:rPr>
        <w:t xml:space="preserve">portrayed the </w:t>
      </w:r>
      <w:r w:rsidR="006E331C">
        <w:rPr>
          <w:rFonts w:ascii="Times New Roman" w:hAnsi="Times New Roman" w:cs="Times New Roman"/>
          <w:sz w:val="24"/>
          <w:szCs w:val="24"/>
        </w:rPr>
        <w:t>situation</w:t>
      </w:r>
      <w:r w:rsidR="00623798">
        <w:rPr>
          <w:rFonts w:ascii="Times New Roman" w:hAnsi="Times New Roman" w:cs="Times New Roman"/>
          <w:sz w:val="24"/>
          <w:szCs w:val="24"/>
        </w:rPr>
        <w:t xml:space="preserve"> </w:t>
      </w:r>
      <w:r w:rsidR="0068469F">
        <w:rPr>
          <w:rFonts w:ascii="Times New Roman" w:hAnsi="Times New Roman" w:cs="Times New Roman"/>
          <w:sz w:val="24"/>
          <w:szCs w:val="24"/>
        </w:rPr>
        <w:lastRenderedPageBreak/>
        <w:t>completely different</w:t>
      </w:r>
      <w:r w:rsidR="006E331C">
        <w:rPr>
          <w:rFonts w:ascii="Times New Roman" w:hAnsi="Times New Roman" w:cs="Times New Roman"/>
          <w:sz w:val="24"/>
          <w:szCs w:val="24"/>
        </w:rPr>
        <w:t xml:space="preserve"> than it actually was</w:t>
      </w:r>
      <w:r w:rsidR="0068469F">
        <w:rPr>
          <w:rFonts w:ascii="Times New Roman" w:hAnsi="Times New Roman" w:cs="Times New Roman"/>
          <w:sz w:val="24"/>
          <w:szCs w:val="24"/>
        </w:rPr>
        <w:t xml:space="preserve">. </w:t>
      </w:r>
      <w:r w:rsidR="00DA227E">
        <w:rPr>
          <w:rFonts w:ascii="Times New Roman" w:hAnsi="Times New Roman" w:cs="Times New Roman"/>
          <w:sz w:val="24"/>
          <w:szCs w:val="24"/>
        </w:rPr>
        <w:t>The</w:t>
      </w:r>
      <w:r w:rsidR="006E331C">
        <w:rPr>
          <w:rFonts w:ascii="Times New Roman" w:hAnsi="Times New Roman" w:cs="Times New Roman"/>
          <w:sz w:val="24"/>
          <w:szCs w:val="24"/>
        </w:rPr>
        <w:t xml:space="preserve">refore, they </w:t>
      </w:r>
      <w:r w:rsidR="00DA227E">
        <w:rPr>
          <w:rFonts w:ascii="Times New Roman" w:hAnsi="Times New Roman" w:cs="Times New Roman"/>
          <w:sz w:val="24"/>
          <w:szCs w:val="24"/>
        </w:rPr>
        <w:t>misrepresented the details of the Abacus deal to ACA.</w:t>
      </w:r>
    </w:p>
    <w:p w14:paraId="38B8867D" w14:textId="70C0DB08" w:rsidR="003E12F7" w:rsidRDefault="003E12F7" w:rsidP="003C1A83">
      <w:pPr>
        <w:spacing w:line="480" w:lineRule="auto"/>
        <w:rPr>
          <w:rFonts w:ascii="Times New Roman" w:hAnsi="Times New Roman" w:cs="Times New Roman"/>
          <w:sz w:val="24"/>
          <w:szCs w:val="24"/>
        </w:rPr>
      </w:pPr>
      <w:r>
        <w:rPr>
          <w:rFonts w:ascii="Times New Roman" w:hAnsi="Times New Roman" w:cs="Times New Roman"/>
          <w:sz w:val="24"/>
          <w:szCs w:val="24"/>
        </w:rPr>
        <w:t xml:space="preserve">Second, we need to ask whether Goldman intentionally </w:t>
      </w:r>
      <w:r w:rsidR="00DC3BBE">
        <w:rPr>
          <w:rFonts w:ascii="Times New Roman" w:hAnsi="Times New Roman" w:cs="Times New Roman"/>
          <w:sz w:val="24"/>
          <w:szCs w:val="24"/>
        </w:rPr>
        <w:t>withheld th</w:t>
      </w:r>
      <w:r w:rsidR="00AF042F">
        <w:rPr>
          <w:rFonts w:ascii="Times New Roman" w:hAnsi="Times New Roman" w:cs="Times New Roman"/>
          <w:sz w:val="24"/>
          <w:szCs w:val="24"/>
        </w:rPr>
        <w:t>is</w:t>
      </w:r>
      <w:r w:rsidR="00DC3BBE">
        <w:rPr>
          <w:rFonts w:ascii="Times New Roman" w:hAnsi="Times New Roman" w:cs="Times New Roman"/>
          <w:sz w:val="24"/>
          <w:szCs w:val="24"/>
        </w:rPr>
        <w:t xml:space="preserve"> crucial information from ACA. </w:t>
      </w:r>
      <w:r w:rsidR="00ED69CC">
        <w:rPr>
          <w:rFonts w:ascii="Times New Roman" w:hAnsi="Times New Roman" w:cs="Times New Roman"/>
          <w:sz w:val="24"/>
          <w:szCs w:val="24"/>
        </w:rPr>
        <w:t xml:space="preserve">To be honest, </w:t>
      </w:r>
      <w:r w:rsidR="00AF042F">
        <w:rPr>
          <w:rFonts w:ascii="Times New Roman" w:hAnsi="Times New Roman" w:cs="Times New Roman"/>
          <w:sz w:val="24"/>
          <w:szCs w:val="24"/>
        </w:rPr>
        <w:t>I believe that this question can</w:t>
      </w:r>
      <w:r w:rsidR="00082968">
        <w:rPr>
          <w:rFonts w:ascii="Times New Roman" w:hAnsi="Times New Roman" w:cs="Times New Roman"/>
          <w:sz w:val="24"/>
          <w:szCs w:val="24"/>
        </w:rPr>
        <w:t xml:space="preserve"> only be answered definitely by those people who were in the negotiation rooms</w:t>
      </w:r>
      <w:r w:rsidR="00ED69CC">
        <w:rPr>
          <w:rFonts w:ascii="Times New Roman" w:hAnsi="Times New Roman" w:cs="Times New Roman"/>
          <w:sz w:val="24"/>
          <w:szCs w:val="24"/>
        </w:rPr>
        <w:t xml:space="preserve"> at the time. However, </w:t>
      </w:r>
      <w:r w:rsidR="00F43887">
        <w:rPr>
          <w:rFonts w:ascii="Times New Roman" w:hAnsi="Times New Roman" w:cs="Times New Roman"/>
          <w:sz w:val="24"/>
          <w:szCs w:val="24"/>
        </w:rPr>
        <w:t xml:space="preserve">at the time </w:t>
      </w:r>
      <w:r w:rsidR="00AD2D9A">
        <w:rPr>
          <w:rFonts w:ascii="Times New Roman" w:hAnsi="Times New Roman" w:cs="Times New Roman"/>
          <w:sz w:val="24"/>
          <w:szCs w:val="24"/>
        </w:rPr>
        <w:t>the culture at Goldman Sachs</w:t>
      </w:r>
      <w:r w:rsidR="00F43887">
        <w:rPr>
          <w:rFonts w:ascii="Times New Roman" w:hAnsi="Times New Roman" w:cs="Times New Roman"/>
          <w:sz w:val="24"/>
          <w:szCs w:val="24"/>
        </w:rPr>
        <w:t xml:space="preserve">, </w:t>
      </w:r>
      <w:r w:rsidR="00C15FDE">
        <w:rPr>
          <w:rFonts w:ascii="Times New Roman" w:hAnsi="Times New Roman" w:cs="Times New Roman"/>
          <w:sz w:val="24"/>
          <w:szCs w:val="24"/>
        </w:rPr>
        <w:t>as well as the traditions at most Wall Street investment banks</w:t>
      </w:r>
      <w:r w:rsidR="00DA227E">
        <w:rPr>
          <w:rFonts w:ascii="Times New Roman" w:hAnsi="Times New Roman" w:cs="Times New Roman"/>
          <w:sz w:val="24"/>
          <w:szCs w:val="24"/>
        </w:rPr>
        <w:t>,</w:t>
      </w:r>
      <w:r w:rsidR="00C15FDE">
        <w:rPr>
          <w:rFonts w:ascii="Times New Roman" w:hAnsi="Times New Roman" w:cs="Times New Roman"/>
          <w:sz w:val="24"/>
          <w:szCs w:val="24"/>
        </w:rPr>
        <w:t xml:space="preserve"> strongly implies that the Goldman employees were worried </w:t>
      </w:r>
      <w:r w:rsidR="006E331C">
        <w:rPr>
          <w:rFonts w:ascii="Times New Roman" w:hAnsi="Times New Roman" w:cs="Times New Roman"/>
          <w:sz w:val="24"/>
          <w:szCs w:val="24"/>
        </w:rPr>
        <w:t xml:space="preserve">mainly </w:t>
      </w:r>
      <w:r w:rsidR="00C15FDE">
        <w:rPr>
          <w:rFonts w:ascii="Times New Roman" w:hAnsi="Times New Roman" w:cs="Times New Roman"/>
          <w:sz w:val="24"/>
          <w:szCs w:val="24"/>
        </w:rPr>
        <w:t xml:space="preserve">about getting the deal between Paulsen and ACA done. </w:t>
      </w:r>
      <w:r w:rsidR="00946136">
        <w:rPr>
          <w:rFonts w:ascii="Times New Roman" w:hAnsi="Times New Roman" w:cs="Times New Roman"/>
          <w:sz w:val="24"/>
          <w:szCs w:val="24"/>
        </w:rPr>
        <w:t>In the early 2000s, banks were constantly competing for new clients, new revenue streams.</w:t>
      </w:r>
      <w:r w:rsidR="008C793B">
        <w:rPr>
          <w:rFonts w:ascii="Times New Roman" w:hAnsi="Times New Roman" w:cs="Times New Roman"/>
          <w:sz w:val="24"/>
          <w:szCs w:val="24"/>
        </w:rPr>
        <w:t xml:space="preserve"> The times in which </w:t>
      </w:r>
      <w:r w:rsidR="00DB26B9">
        <w:rPr>
          <w:rFonts w:ascii="Times New Roman" w:hAnsi="Times New Roman" w:cs="Times New Roman"/>
          <w:sz w:val="24"/>
          <w:szCs w:val="24"/>
        </w:rPr>
        <w:t xml:space="preserve">the overwhelming majority of banks were registered partnerships, </w:t>
      </w:r>
      <w:r w:rsidR="00721267">
        <w:rPr>
          <w:rFonts w:ascii="Times New Roman" w:hAnsi="Times New Roman" w:cs="Times New Roman"/>
          <w:sz w:val="24"/>
          <w:szCs w:val="24"/>
        </w:rPr>
        <w:t xml:space="preserve">bank employees were </w:t>
      </w:r>
      <w:r w:rsidR="00C41701">
        <w:rPr>
          <w:rFonts w:ascii="Times New Roman" w:hAnsi="Times New Roman" w:cs="Times New Roman"/>
          <w:sz w:val="24"/>
          <w:szCs w:val="24"/>
        </w:rPr>
        <w:t>genuinely</w:t>
      </w:r>
      <w:r w:rsidR="00721267">
        <w:rPr>
          <w:rFonts w:ascii="Times New Roman" w:hAnsi="Times New Roman" w:cs="Times New Roman"/>
          <w:sz w:val="24"/>
          <w:szCs w:val="24"/>
        </w:rPr>
        <w:t xml:space="preserve"> concerned about the performance of their clients’ portfolios, and </w:t>
      </w:r>
      <w:r w:rsidR="00524623">
        <w:rPr>
          <w:rFonts w:ascii="Times New Roman" w:hAnsi="Times New Roman" w:cs="Times New Roman"/>
          <w:sz w:val="24"/>
          <w:szCs w:val="24"/>
        </w:rPr>
        <w:t>banking firms were not traded publicly</w:t>
      </w:r>
      <w:r w:rsidR="00DA227E">
        <w:rPr>
          <w:rFonts w:ascii="Times New Roman" w:hAnsi="Times New Roman" w:cs="Times New Roman"/>
          <w:sz w:val="24"/>
          <w:szCs w:val="24"/>
        </w:rPr>
        <w:t xml:space="preserve"> was long over.</w:t>
      </w:r>
      <w:r w:rsidR="002E26D2">
        <w:rPr>
          <w:rFonts w:ascii="Times New Roman" w:hAnsi="Times New Roman" w:cs="Times New Roman"/>
          <w:sz w:val="24"/>
          <w:szCs w:val="24"/>
        </w:rPr>
        <w:t xml:space="preserve"> Pushed by outside investors and</w:t>
      </w:r>
      <w:r w:rsidR="00946136">
        <w:rPr>
          <w:rFonts w:ascii="Times New Roman" w:hAnsi="Times New Roman" w:cs="Times New Roman"/>
          <w:sz w:val="24"/>
          <w:szCs w:val="24"/>
        </w:rPr>
        <w:t xml:space="preserve"> the</w:t>
      </w:r>
      <w:r w:rsidR="002E26D2">
        <w:rPr>
          <w:rFonts w:ascii="Times New Roman" w:hAnsi="Times New Roman" w:cs="Times New Roman"/>
          <w:sz w:val="24"/>
          <w:szCs w:val="24"/>
        </w:rPr>
        <w:t xml:space="preserve"> demands of the modern financial markets, publicly traded banks like Goldman Sachs were</w:t>
      </w:r>
      <w:r w:rsidR="00F61266">
        <w:rPr>
          <w:rFonts w:ascii="Times New Roman" w:hAnsi="Times New Roman" w:cs="Times New Roman"/>
          <w:sz w:val="24"/>
          <w:szCs w:val="24"/>
        </w:rPr>
        <w:t xml:space="preserve"> always seeking</w:t>
      </w:r>
      <w:r w:rsidR="002E26D2">
        <w:rPr>
          <w:rFonts w:ascii="Times New Roman" w:hAnsi="Times New Roman" w:cs="Times New Roman"/>
          <w:sz w:val="24"/>
          <w:szCs w:val="24"/>
        </w:rPr>
        <w:t xml:space="preserve"> </w:t>
      </w:r>
      <w:r w:rsidR="00307F4F">
        <w:rPr>
          <w:rFonts w:ascii="Times New Roman" w:hAnsi="Times New Roman" w:cs="Times New Roman"/>
          <w:sz w:val="24"/>
          <w:szCs w:val="24"/>
        </w:rPr>
        <w:t>short-term yield and maximized profits.</w:t>
      </w:r>
      <w:r w:rsidR="00946136">
        <w:rPr>
          <w:rFonts w:ascii="Times New Roman" w:hAnsi="Times New Roman" w:cs="Times New Roman"/>
          <w:sz w:val="24"/>
          <w:szCs w:val="24"/>
        </w:rPr>
        <w:t xml:space="preserve"> It was this development that caused the creation of more and more complicated financial instruments. Instead of successfully managing their clients</w:t>
      </w:r>
      <w:r w:rsidR="00F61266">
        <w:rPr>
          <w:rFonts w:ascii="Times New Roman" w:hAnsi="Times New Roman" w:cs="Times New Roman"/>
          <w:sz w:val="24"/>
          <w:szCs w:val="24"/>
        </w:rPr>
        <w:t>’</w:t>
      </w:r>
      <w:r w:rsidR="00946136">
        <w:rPr>
          <w:rFonts w:ascii="Times New Roman" w:hAnsi="Times New Roman" w:cs="Times New Roman"/>
          <w:sz w:val="24"/>
          <w:szCs w:val="24"/>
        </w:rPr>
        <w:t xml:space="preserve"> money, banks started to mainly market and sell their services and products to customers. Financial instruments like the Abacus were a direct consequence of this development. The more complex and entangled a service or offering was, the better for the bank since they could charge hidden or unexpected fees to their inattentive clients. I claim that something along these lines happened during the meetings between ACA and Goldman. Goldman employees were trying to sell a service, not matter the cost to meet company </w:t>
      </w:r>
      <w:r w:rsidR="0043337D">
        <w:rPr>
          <w:rFonts w:ascii="Times New Roman" w:hAnsi="Times New Roman" w:cs="Times New Roman"/>
          <w:sz w:val="24"/>
          <w:szCs w:val="24"/>
        </w:rPr>
        <w:t>revenue goals or individual</w:t>
      </w:r>
      <w:r w:rsidR="00946136">
        <w:rPr>
          <w:rFonts w:ascii="Times New Roman" w:hAnsi="Times New Roman" w:cs="Times New Roman"/>
          <w:sz w:val="24"/>
          <w:szCs w:val="24"/>
        </w:rPr>
        <w:t xml:space="preserve"> </w:t>
      </w:r>
      <w:r w:rsidR="0043337D">
        <w:rPr>
          <w:rFonts w:ascii="Times New Roman" w:hAnsi="Times New Roman" w:cs="Times New Roman"/>
          <w:sz w:val="24"/>
          <w:szCs w:val="24"/>
        </w:rPr>
        <w:t>performance bench marks</w:t>
      </w:r>
      <w:r w:rsidR="00946136">
        <w:rPr>
          <w:rFonts w:ascii="Times New Roman" w:hAnsi="Times New Roman" w:cs="Times New Roman"/>
          <w:sz w:val="24"/>
          <w:szCs w:val="24"/>
        </w:rPr>
        <w:t xml:space="preserve">. </w:t>
      </w:r>
      <w:r w:rsidR="0022240C">
        <w:rPr>
          <w:rFonts w:ascii="Times New Roman" w:hAnsi="Times New Roman" w:cs="Times New Roman"/>
          <w:sz w:val="24"/>
          <w:szCs w:val="24"/>
        </w:rPr>
        <w:t xml:space="preserve">This can also be seen by the fact that Goldman and Sachs had identified the </w:t>
      </w:r>
      <w:proofErr w:type="gramStart"/>
      <w:r w:rsidR="0022240C">
        <w:rPr>
          <w:rFonts w:ascii="Times New Roman" w:hAnsi="Times New Roman" w:cs="Times New Roman"/>
          <w:sz w:val="24"/>
          <w:szCs w:val="24"/>
        </w:rPr>
        <w:t>mortgage</w:t>
      </w:r>
      <w:r w:rsidR="00C8018B">
        <w:rPr>
          <w:rFonts w:ascii="Times New Roman" w:hAnsi="Times New Roman" w:cs="Times New Roman"/>
          <w:sz w:val="24"/>
          <w:szCs w:val="24"/>
        </w:rPr>
        <w:t xml:space="preserve"> </w:t>
      </w:r>
      <w:r w:rsidR="0022240C">
        <w:rPr>
          <w:rFonts w:ascii="Times New Roman" w:hAnsi="Times New Roman" w:cs="Times New Roman"/>
          <w:sz w:val="24"/>
          <w:szCs w:val="24"/>
        </w:rPr>
        <w:t>backed</w:t>
      </w:r>
      <w:proofErr w:type="gramEnd"/>
      <w:r w:rsidR="0022240C">
        <w:rPr>
          <w:rFonts w:ascii="Times New Roman" w:hAnsi="Times New Roman" w:cs="Times New Roman"/>
          <w:sz w:val="24"/>
          <w:szCs w:val="24"/>
        </w:rPr>
        <w:t xml:space="preserve"> securities as highly risky investments back in 2006. Everybody at Goldman was told to sell as much MBS as they could and bet against the housing market if </w:t>
      </w:r>
      <w:r w:rsidR="0022240C">
        <w:rPr>
          <w:rFonts w:ascii="Times New Roman" w:hAnsi="Times New Roman" w:cs="Times New Roman"/>
          <w:sz w:val="24"/>
          <w:szCs w:val="24"/>
        </w:rPr>
        <w:lastRenderedPageBreak/>
        <w:t xml:space="preserve">possible. Therefore, I wonder why a company would consider selling a product to an entity if the entire organizations believes that the product will not perform well. To me, it only makes sense to conclude that Goldman was purely trying to collect service fees from the transaction. </w:t>
      </w:r>
      <w:r w:rsidR="00946136">
        <w:rPr>
          <w:rFonts w:ascii="Times New Roman" w:hAnsi="Times New Roman" w:cs="Times New Roman"/>
          <w:sz w:val="24"/>
          <w:szCs w:val="24"/>
        </w:rPr>
        <w:t>Hence, I believe that Goldman employees intentionally withheld details to ACA so they would become part of the deal.</w:t>
      </w:r>
      <w:r w:rsidR="0043337D">
        <w:rPr>
          <w:rFonts w:ascii="Times New Roman" w:hAnsi="Times New Roman" w:cs="Times New Roman"/>
          <w:sz w:val="24"/>
          <w:szCs w:val="24"/>
        </w:rPr>
        <w:t xml:space="preserve"> </w:t>
      </w:r>
    </w:p>
    <w:p w14:paraId="7F245B06" w14:textId="6544752F" w:rsidR="0043337D" w:rsidRDefault="0043337D" w:rsidP="003C1A83">
      <w:pPr>
        <w:spacing w:line="480" w:lineRule="auto"/>
        <w:rPr>
          <w:rFonts w:ascii="Times New Roman" w:hAnsi="Times New Roman" w:cs="Times New Roman"/>
          <w:sz w:val="24"/>
          <w:szCs w:val="24"/>
        </w:rPr>
      </w:pPr>
      <w:r>
        <w:rPr>
          <w:rFonts w:ascii="Times New Roman" w:hAnsi="Times New Roman" w:cs="Times New Roman"/>
          <w:sz w:val="24"/>
          <w:szCs w:val="24"/>
        </w:rPr>
        <w:t>Lastly, we need to ad</w:t>
      </w:r>
      <w:r w:rsidR="008E1794">
        <w:rPr>
          <w:rFonts w:ascii="Times New Roman" w:hAnsi="Times New Roman" w:cs="Times New Roman"/>
          <w:sz w:val="24"/>
          <w:szCs w:val="24"/>
        </w:rPr>
        <w:t>d</w:t>
      </w:r>
      <w:r>
        <w:rPr>
          <w:rFonts w:ascii="Times New Roman" w:hAnsi="Times New Roman" w:cs="Times New Roman"/>
          <w:sz w:val="24"/>
          <w:szCs w:val="24"/>
        </w:rPr>
        <w:t>ress the question of whether ACA got harmed specifically because they took Goldman’s intentionally incomplete (or even wrong) information for true. I think that out of the three key points of fraud mentioned above, this one is arguably the hardest to prove. In the end,</w:t>
      </w:r>
      <w:r w:rsidR="006501D4">
        <w:rPr>
          <w:rFonts w:ascii="Times New Roman" w:hAnsi="Times New Roman" w:cs="Times New Roman"/>
          <w:sz w:val="24"/>
          <w:szCs w:val="24"/>
        </w:rPr>
        <w:t xml:space="preserve"> the</w:t>
      </w:r>
      <w:r>
        <w:rPr>
          <w:rFonts w:ascii="Times New Roman" w:hAnsi="Times New Roman" w:cs="Times New Roman"/>
          <w:sz w:val="24"/>
          <w:szCs w:val="24"/>
        </w:rPr>
        <w:t xml:space="preserve"> synthetic CDO could have performed fine from ACA’s perspective and Paulsen could have lost all its money. In other words, if it was impossible for Goldman to predict market movements, how can they be held accountable for the outcome of the transaction? To be fair, even though this question sounds reasonable, it distracts from the actual issue. The true problem is not that ACA lost </w:t>
      </w:r>
      <w:r w:rsidR="0022240C">
        <w:rPr>
          <w:rFonts w:ascii="Times New Roman" w:hAnsi="Times New Roman" w:cs="Times New Roman"/>
          <w:sz w:val="24"/>
          <w:szCs w:val="24"/>
        </w:rPr>
        <w:t xml:space="preserve">a lot of </w:t>
      </w:r>
      <w:r>
        <w:rPr>
          <w:rFonts w:ascii="Times New Roman" w:hAnsi="Times New Roman" w:cs="Times New Roman"/>
          <w:sz w:val="24"/>
          <w:szCs w:val="24"/>
        </w:rPr>
        <w:t>money on a complicated bet. The true problem is the fact that ACA allocated money to Abacus based on</w:t>
      </w:r>
      <w:r w:rsidR="0022240C">
        <w:rPr>
          <w:rFonts w:ascii="Times New Roman" w:hAnsi="Times New Roman" w:cs="Times New Roman"/>
          <w:sz w:val="24"/>
          <w:szCs w:val="24"/>
        </w:rPr>
        <w:t xml:space="preserve"> the fractional information Goldman did provide to them. Therefore, we need to ask whether ACA would have invested into Abacus if they would have been </w:t>
      </w:r>
      <w:r w:rsidR="00566F22">
        <w:rPr>
          <w:rFonts w:ascii="Times New Roman" w:hAnsi="Times New Roman" w:cs="Times New Roman"/>
          <w:sz w:val="24"/>
          <w:szCs w:val="24"/>
        </w:rPr>
        <w:t xml:space="preserve">made </w:t>
      </w:r>
      <w:r w:rsidR="0022240C">
        <w:rPr>
          <w:rFonts w:ascii="Times New Roman" w:hAnsi="Times New Roman" w:cs="Times New Roman"/>
          <w:sz w:val="24"/>
          <w:szCs w:val="24"/>
        </w:rPr>
        <w:t>aware that they are gambling with party which has analyzed the housing market and identified it to be a about to fall apart. Maybe. But probably not. At ACA, they probably got blinded by Goldman Sachs’</w:t>
      </w:r>
      <w:r w:rsidR="00C8018B">
        <w:rPr>
          <w:rFonts w:ascii="Times New Roman" w:hAnsi="Times New Roman" w:cs="Times New Roman"/>
          <w:sz w:val="24"/>
          <w:szCs w:val="24"/>
        </w:rPr>
        <w:t xml:space="preserve"> </w:t>
      </w:r>
      <w:r w:rsidR="0022240C">
        <w:rPr>
          <w:rFonts w:ascii="Times New Roman" w:hAnsi="Times New Roman" w:cs="Times New Roman"/>
          <w:sz w:val="24"/>
          <w:szCs w:val="24"/>
        </w:rPr>
        <w:t>reputation as one of Wall Streets’ most credible institutions and did not do the</w:t>
      </w:r>
      <w:r w:rsidR="00566F22">
        <w:rPr>
          <w:rFonts w:ascii="Times New Roman" w:hAnsi="Times New Roman" w:cs="Times New Roman"/>
          <w:sz w:val="24"/>
          <w:szCs w:val="24"/>
        </w:rPr>
        <w:t>ir own</w:t>
      </w:r>
      <w:r w:rsidR="0022240C">
        <w:rPr>
          <w:rFonts w:ascii="Times New Roman" w:hAnsi="Times New Roman" w:cs="Times New Roman"/>
          <w:sz w:val="24"/>
          <w:szCs w:val="24"/>
        </w:rPr>
        <w:t xml:space="preserve"> due diligence work on the investment as carefully as they should have. However, that does not free Goldman from any </w:t>
      </w:r>
      <w:r w:rsidR="00C8018B">
        <w:rPr>
          <w:rFonts w:ascii="Times New Roman" w:hAnsi="Times New Roman" w:cs="Times New Roman"/>
          <w:sz w:val="24"/>
          <w:szCs w:val="24"/>
        </w:rPr>
        <w:t>responsibility</w:t>
      </w:r>
      <w:r w:rsidR="0022240C">
        <w:rPr>
          <w:rFonts w:ascii="Times New Roman" w:hAnsi="Times New Roman" w:cs="Times New Roman"/>
          <w:sz w:val="24"/>
          <w:szCs w:val="24"/>
        </w:rPr>
        <w:t>. ACA agreed to the deal based on the information given to them and this information was incomplete due to Goldman’s actions. Therefore, Goldman shares a responsibility for the lost funds on ACA’s side.</w:t>
      </w:r>
    </w:p>
    <w:p w14:paraId="1BA0CF7B" w14:textId="6D512130" w:rsidR="0022240C" w:rsidRDefault="0022240C" w:rsidP="003C1A8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Thus, we see that Goldman’s behavior in the Paulson &amp; ACA deal indeed can be labeled as fraud. </w:t>
      </w:r>
      <w:r w:rsidR="009520F1">
        <w:rPr>
          <w:rFonts w:ascii="Times New Roman" w:hAnsi="Times New Roman" w:cs="Times New Roman"/>
          <w:sz w:val="24"/>
          <w:szCs w:val="24"/>
        </w:rPr>
        <w:t xml:space="preserve">As I outlined above, the behavior of Goldman’s employees clearly checks all three boxes of fraudulent behavior. </w:t>
      </w:r>
      <w:r>
        <w:rPr>
          <w:rFonts w:ascii="Times New Roman" w:hAnsi="Times New Roman" w:cs="Times New Roman"/>
          <w:sz w:val="24"/>
          <w:szCs w:val="24"/>
        </w:rPr>
        <w:t>Goldman intentionally withheld information from ACA</w:t>
      </w:r>
      <w:r w:rsidR="009520F1">
        <w:rPr>
          <w:rFonts w:ascii="Times New Roman" w:hAnsi="Times New Roman" w:cs="Times New Roman"/>
          <w:sz w:val="24"/>
          <w:szCs w:val="24"/>
        </w:rPr>
        <w:t xml:space="preserve"> in order to create a market transaction which would be </w:t>
      </w:r>
      <w:r w:rsidR="008E1794">
        <w:rPr>
          <w:rFonts w:ascii="Times New Roman" w:hAnsi="Times New Roman" w:cs="Times New Roman"/>
          <w:sz w:val="24"/>
          <w:szCs w:val="24"/>
        </w:rPr>
        <w:t>beneficial</w:t>
      </w:r>
      <w:r w:rsidR="009520F1">
        <w:rPr>
          <w:rFonts w:ascii="Times New Roman" w:hAnsi="Times New Roman" w:cs="Times New Roman"/>
          <w:sz w:val="24"/>
          <w:szCs w:val="24"/>
        </w:rPr>
        <w:t xml:space="preserve"> to Goldman and Paulson. ACA on the other hand,</w:t>
      </w:r>
      <w:r>
        <w:rPr>
          <w:rFonts w:ascii="Times New Roman" w:hAnsi="Times New Roman" w:cs="Times New Roman"/>
          <w:sz w:val="24"/>
          <w:szCs w:val="24"/>
        </w:rPr>
        <w:t xml:space="preserve"> ultimately </w:t>
      </w:r>
      <w:r w:rsidR="009520F1">
        <w:rPr>
          <w:rFonts w:ascii="Times New Roman" w:hAnsi="Times New Roman" w:cs="Times New Roman"/>
          <w:sz w:val="24"/>
          <w:szCs w:val="24"/>
        </w:rPr>
        <w:t>have to report a</w:t>
      </w:r>
      <w:r>
        <w:rPr>
          <w:rFonts w:ascii="Times New Roman" w:hAnsi="Times New Roman" w:cs="Times New Roman"/>
          <w:sz w:val="24"/>
          <w:szCs w:val="24"/>
        </w:rPr>
        <w:t xml:space="preserve"> financial loss of $840 million.</w:t>
      </w:r>
    </w:p>
    <w:p w14:paraId="5080259C" w14:textId="5F2FC270" w:rsidR="009520F1" w:rsidRDefault="009520F1" w:rsidP="003C1A83">
      <w:pPr>
        <w:spacing w:line="480" w:lineRule="auto"/>
        <w:rPr>
          <w:rFonts w:ascii="Times New Roman" w:hAnsi="Times New Roman" w:cs="Times New Roman"/>
          <w:sz w:val="24"/>
          <w:szCs w:val="24"/>
        </w:rPr>
      </w:pPr>
    </w:p>
    <w:p w14:paraId="150EB974" w14:textId="77777777" w:rsidR="008E1794" w:rsidRDefault="008E1794">
      <w:pPr>
        <w:pStyle w:val="NormalWeb"/>
        <w:ind w:left="567" w:hanging="567"/>
        <w:divId w:val="641345263"/>
      </w:pPr>
    </w:p>
    <w:p w14:paraId="598B2A1F" w14:textId="77777777" w:rsidR="008E1794" w:rsidRDefault="008E1794">
      <w:pPr>
        <w:pStyle w:val="NormalWeb"/>
        <w:ind w:left="567" w:hanging="567"/>
        <w:divId w:val="641345263"/>
      </w:pPr>
    </w:p>
    <w:p w14:paraId="116F6D7D" w14:textId="70ED455E" w:rsidR="008E1794" w:rsidRDefault="009520F1">
      <w:pPr>
        <w:pStyle w:val="NormalWeb"/>
        <w:ind w:left="567" w:hanging="567"/>
        <w:divId w:val="641345263"/>
      </w:pPr>
      <w:r>
        <w:t>Sources:</w:t>
      </w:r>
      <w:r w:rsidR="009404F9">
        <w:t xml:space="preserve"> </w:t>
      </w:r>
    </w:p>
    <w:p w14:paraId="68928DBC" w14:textId="3E3870A8" w:rsidR="008E1794" w:rsidRDefault="00C8018B" w:rsidP="00C8018B">
      <w:pPr>
        <w:pStyle w:val="NormalWeb"/>
        <w:numPr>
          <w:ilvl w:val="0"/>
          <w:numId w:val="1"/>
        </w:numPr>
        <w:divId w:val="1748654119"/>
      </w:pPr>
      <w:proofErr w:type="spellStart"/>
      <w:r>
        <w:t>Rotemberg</w:t>
      </w:r>
      <w:proofErr w:type="spellEnd"/>
      <w:r>
        <w:t xml:space="preserve">, Julio. “Subprime Meltdown: American Housing and Global Financial Turmoil.” </w:t>
      </w:r>
      <w:r>
        <w:rPr>
          <w:i/>
          <w:iCs/>
        </w:rPr>
        <w:t>Harvard Business School</w:t>
      </w:r>
      <w:r>
        <w:t xml:space="preserve">, 6 May 2006, pp. 1–13. </w:t>
      </w:r>
    </w:p>
    <w:p w14:paraId="7D9AA5D1" w14:textId="1A401CAA" w:rsidR="009404F9" w:rsidRDefault="009404F9" w:rsidP="00C8018B">
      <w:pPr>
        <w:pStyle w:val="NormalWeb"/>
        <w:numPr>
          <w:ilvl w:val="0"/>
          <w:numId w:val="1"/>
        </w:numPr>
        <w:divId w:val="641345263"/>
      </w:pPr>
      <w:proofErr w:type="spellStart"/>
      <w:r>
        <w:t>Schrieber</w:t>
      </w:r>
      <w:proofErr w:type="spellEnd"/>
      <w:r>
        <w:t xml:space="preserve">, Andrew. 2012, pp. 1–14, </w:t>
      </w:r>
      <w:r>
        <w:rPr>
          <w:i/>
          <w:iCs/>
        </w:rPr>
        <w:t>The Investment Bank Job</w:t>
      </w:r>
      <w:r>
        <w:t xml:space="preserve">. </w:t>
      </w:r>
    </w:p>
    <w:p w14:paraId="46432AB0" w14:textId="30D836D7" w:rsidR="009520F1" w:rsidRPr="002874D4" w:rsidRDefault="009520F1" w:rsidP="003C1A8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9520F1" w:rsidRPr="002874D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524FB" w14:textId="77777777" w:rsidR="00DB271E" w:rsidRDefault="00DB271E" w:rsidP="00673705">
      <w:pPr>
        <w:spacing w:after="0" w:line="240" w:lineRule="auto"/>
      </w:pPr>
      <w:r>
        <w:separator/>
      </w:r>
    </w:p>
  </w:endnote>
  <w:endnote w:type="continuationSeparator" w:id="0">
    <w:p w14:paraId="061A6884" w14:textId="77777777" w:rsidR="00DB271E" w:rsidRDefault="00DB271E" w:rsidP="00673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83CEE" w14:textId="77777777" w:rsidR="00673705" w:rsidRDefault="00673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6E2DA" w14:textId="77777777" w:rsidR="00673705" w:rsidRDefault="006737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C9DED" w14:textId="77777777" w:rsidR="00673705" w:rsidRDefault="00673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901B9" w14:textId="77777777" w:rsidR="00DB271E" w:rsidRDefault="00DB271E" w:rsidP="00673705">
      <w:pPr>
        <w:spacing w:after="0" w:line="240" w:lineRule="auto"/>
      </w:pPr>
      <w:r>
        <w:separator/>
      </w:r>
    </w:p>
  </w:footnote>
  <w:footnote w:type="continuationSeparator" w:id="0">
    <w:p w14:paraId="64A13DFE" w14:textId="77777777" w:rsidR="00DB271E" w:rsidRDefault="00DB271E" w:rsidP="00673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16499" w14:textId="77777777" w:rsidR="00673705" w:rsidRDefault="00673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83DB1" w14:textId="049CCA48" w:rsidR="00673705" w:rsidRDefault="00673705">
    <w:pPr>
      <w:pStyle w:val="Header"/>
    </w:pPr>
    <w:r>
      <w:t>Seattle University</w:t>
    </w:r>
    <w:r>
      <w:tab/>
    </w:r>
    <w:r>
      <w:tab/>
      <w:t xml:space="preserve">Malte </w:t>
    </w:r>
    <w:proofErr w:type="spellStart"/>
    <w:r>
      <w:t>Thesenvitz</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542E5" w14:textId="77777777" w:rsidR="00673705" w:rsidRDefault="00673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DC5BD8"/>
    <w:multiLevelType w:val="hybridMultilevel"/>
    <w:tmpl w:val="9058E7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D4"/>
    <w:rsid w:val="00041D71"/>
    <w:rsid w:val="00061A70"/>
    <w:rsid w:val="00082968"/>
    <w:rsid w:val="00082CA1"/>
    <w:rsid w:val="00094DFB"/>
    <w:rsid w:val="00097512"/>
    <w:rsid w:val="000A0EC4"/>
    <w:rsid w:val="001041A3"/>
    <w:rsid w:val="00183FDA"/>
    <w:rsid w:val="001A3D4E"/>
    <w:rsid w:val="001E5910"/>
    <w:rsid w:val="001F718E"/>
    <w:rsid w:val="002158A4"/>
    <w:rsid w:val="0022240C"/>
    <w:rsid w:val="00247922"/>
    <w:rsid w:val="00256A1D"/>
    <w:rsid w:val="0026785B"/>
    <w:rsid w:val="002874D4"/>
    <w:rsid w:val="00293477"/>
    <w:rsid w:val="00295A96"/>
    <w:rsid w:val="002A5C5D"/>
    <w:rsid w:val="002E147A"/>
    <w:rsid w:val="002E26D2"/>
    <w:rsid w:val="002F1E22"/>
    <w:rsid w:val="00307F4F"/>
    <w:rsid w:val="00320030"/>
    <w:rsid w:val="003329FF"/>
    <w:rsid w:val="00344AD6"/>
    <w:rsid w:val="003B3C26"/>
    <w:rsid w:val="003B76E7"/>
    <w:rsid w:val="003C1A83"/>
    <w:rsid w:val="003E12F7"/>
    <w:rsid w:val="00401F36"/>
    <w:rsid w:val="00432AD4"/>
    <w:rsid w:val="0043337D"/>
    <w:rsid w:val="00454146"/>
    <w:rsid w:val="004716D6"/>
    <w:rsid w:val="004D30A8"/>
    <w:rsid w:val="005004C0"/>
    <w:rsid w:val="00524623"/>
    <w:rsid w:val="0055174F"/>
    <w:rsid w:val="00555D8B"/>
    <w:rsid w:val="00566F22"/>
    <w:rsid w:val="00575FB8"/>
    <w:rsid w:val="00592596"/>
    <w:rsid w:val="005925F7"/>
    <w:rsid w:val="005F20FA"/>
    <w:rsid w:val="005F5A39"/>
    <w:rsid w:val="00600BDA"/>
    <w:rsid w:val="00603BE4"/>
    <w:rsid w:val="00623798"/>
    <w:rsid w:val="006501D4"/>
    <w:rsid w:val="00652B4A"/>
    <w:rsid w:val="00673705"/>
    <w:rsid w:val="006807F9"/>
    <w:rsid w:val="0068469F"/>
    <w:rsid w:val="006A6553"/>
    <w:rsid w:val="006E331C"/>
    <w:rsid w:val="00707538"/>
    <w:rsid w:val="00711DB7"/>
    <w:rsid w:val="00721267"/>
    <w:rsid w:val="007A396D"/>
    <w:rsid w:val="007A68F3"/>
    <w:rsid w:val="007A783E"/>
    <w:rsid w:val="007B0132"/>
    <w:rsid w:val="007C6885"/>
    <w:rsid w:val="00823DC7"/>
    <w:rsid w:val="00827796"/>
    <w:rsid w:val="008577E7"/>
    <w:rsid w:val="008607BE"/>
    <w:rsid w:val="008714F0"/>
    <w:rsid w:val="008A1BD2"/>
    <w:rsid w:val="008A7251"/>
    <w:rsid w:val="008C793B"/>
    <w:rsid w:val="008E1794"/>
    <w:rsid w:val="009037A5"/>
    <w:rsid w:val="00913953"/>
    <w:rsid w:val="009206FA"/>
    <w:rsid w:val="00923540"/>
    <w:rsid w:val="009404F9"/>
    <w:rsid w:val="00946136"/>
    <w:rsid w:val="009520F1"/>
    <w:rsid w:val="0099024D"/>
    <w:rsid w:val="009D3B92"/>
    <w:rsid w:val="009F658A"/>
    <w:rsid w:val="00A340F2"/>
    <w:rsid w:val="00A5377C"/>
    <w:rsid w:val="00AA25CC"/>
    <w:rsid w:val="00AA5E33"/>
    <w:rsid w:val="00AD20D5"/>
    <w:rsid w:val="00AD2D9A"/>
    <w:rsid w:val="00AF042F"/>
    <w:rsid w:val="00AF23A9"/>
    <w:rsid w:val="00B51964"/>
    <w:rsid w:val="00B67069"/>
    <w:rsid w:val="00B83F68"/>
    <w:rsid w:val="00B93B74"/>
    <w:rsid w:val="00B94387"/>
    <w:rsid w:val="00BB0FF2"/>
    <w:rsid w:val="00BC0E21"/>
    <w:rsid w:val="00BE0DC0"/>
    <w:rsid w:val="00C1136A"/>
    <w:rsid w:val="00C15FDE"/>
    <w:rsid w:val="00C41701"/>
    <w:rsid w:val="00C630D2"/>
    <w:rsid w:val="00C74C85"/>
    <w:rsid w:val="00C8018B"/>
    <w:rsid w:val="00C82ED5"/>
    <w:rsid w:val="00C87842"/>
    <w:rsid w:val="00CA1FA2"/>
    <w:rsid w:val="00CD3A8F"/>
    <w:rsid w:val="00CF33F5"/>
    <w:rsid w:val="00CF44D2"/>
    <w:rsid w:val="00CF6E70"/>
    <w:rsid w:val="00D01460"/>
    <w:rsid w:val="00D51878"/>
    <w:rsid w:val="00D532A2"/>
    <w:rsid w:val="00D61C7D"/>
    <w:rsid w:val="00DA227E"/>
    <w:rsid w:val="00DB26B9"/>
    <w:rsid w:val="00DB271E"/>
    <w:rsid w:val="00DB7927"/>
    <w:rsid w:val="00DC0439"/>
    <w:rsid w:val="00DC3BBE"/>
    <w:rsid w:val="00DD6B74"/>
    <w:rsid w:val="00DF3939"/>
    <w:rsid w:val="00DF5DC1"/>
    <w:rsid w:val="00DF6791"/>
    <w:rsid w:val="00E5234D"/>
    <w:rsid w:val="00E5436F"/>
    <w:rsid w:val="00E767A8"/>
    <w:rsid w:val="00E80E7A"/>
    <w:rsid w:val="00E9542E"/>
    <w:rsid w:val="00EA597F"/>
    <w:rsid w:val="00EB15CE"/>
    <w:rsid w:val="00EC483C"/>
    <w:rsid w:val="00ED20CE"/>
    <w:rsid w:val="00ED5C9D"/>
    <w:rsid w:val="00ED69CC"/>
    <w:rsid w:val="00EE21E1"/>
    <w:rsid w:val="00F13CD9"/>
    <w:rsid w:val="00F32D25"/>
    <w:rsid w:val="00F35BE7"/>
    <w:rsid w:val="00F43887"/>
    <w:rsid w:val="00F5374A"/>
    <w:rsid w:val="00F55CE9"/>
    <w:rsid w:val="00F61266"/>
    <w:rsid w:val="00F90F0D"/>
    <w:rsid w:val="00FA71B1"/>
    <w:rsid w:val="00FC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41468"/>
  <w15:chartTrackingRefBased/>
  <w15:docId w15:val="{2786B766-605F-2348-8454-E90142A2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4F9"/>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73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05"/>
  </w:style>
  <w:style w:type="paragraph" w:styleId="Footer">
    <w:name w:val="footer"/>
    <w:basedOn w:val="Normal"/>
    <w:link w:val="FooterChar"/>
    <w:uiPriority w:val="99"/>
    <w:unhideWhenUsed/>
    <w:rsid w:val="00673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345263">
      <w:bodyDiv w:val="1"/>
      <w:marLeft w:val="0"/>
      <w:marRight w:val="0"/>
      <w:marTop w:val="0"/>
      <w:marBottom w:val="0"/>
      <w:divBdr>
        <w:top w:val="none" w:sz="0" w:space="0" w:color="auto"/>
        <w:left w:val="none" w:sz="0" w:space="0" w:color="auto"/>
        <w:bottom w:val="none" w:sz="0" w:space="0" w:color="auto"/>
        <w:right w:val="none" w:sz="0" w:space="0" w:color="auto"/>
      </w:divBdr>
      <w:divsChild>
        <w:div w:id="1842885956">
          <w:marLeft w:val="0"/>
          <w:marRight w:val="0"/>
          <w:marTop w:val="0"/>
          <w:marBottom w:val="0"/>
          <w:divBdr>
            <w:top w:val="none" w:sz="0" w:space="0" w:color="auto"/>
            <w:left w:val="none" w:sz="0" w:space="0" w:color="auto"/>
            <w:bottom w:val="none" w:sz="0" w:space="0" w:color="auto"/>
            <w:right w:val="none" w:sz="0" w:space="0" w:color="auto"/>
          </w:divBdr>
          <w:divsChild>
            <w:div w:id="17486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1226</Words>
  <Characters>6991</Characters>
  <Application>Microsoft Office Word</Application>
  <DocSecurity>0</DocSecurity>
  <Lines>58</Lines>
  <Paragraphs>16</Paragraphs>
  <ScaleCrop>false</ScaleCrop>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Thesenvitz</dc:creator>
  <cp:keywords/>
  <dc:description/>
  <cp:lastModifiedBy>Thesenvitz, Malte</cp:lastModifiedBy>
  <cp:revision>11</cp:revision>
  <dcterms:created xsi:type="dcterms:W3CDTF">2021-03-04T07:29:00Z</dcterms:created>
  <dcterms:modified xsi:type="dcterms:W3CDTF">2022-01-17T18:23:00Z</dcterms:modified>
</cp:coreProperties>
</file>