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Title"/>
      </w:pPr>
      <w:r>
        <w:t xml:space="preserve">Résumé</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Exportation pdf</w:t>
            </w:r>
          </w:p>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2024-03-04T10:57:16Z</dcterms:created>
  <dcterms:modified xsi:type="dcterms:W3CDTF">2024-03-04T10:57:16Z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2023-06-20</vt:lpwstr>
  </property>
  <property fmtid="{D5CDD505-2E9C-101B-9397-08002B2CF9AE}" pid="12" name="header-includes">
    <vt:lpwstr/>
  </property>
  <property fmtid="{D5CDD505-2E9C-101B-9397-08002B2CF9AE}" pid="13" name="image">
    <vt:lpwstr>https://upload.wikimedia.org/wikipedia/commons/thumb/9/96/Sass_Logo_Color.svg/1200px-Sass_Logo_Color.svg.png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