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  <w: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éléments</w:t>
      </w:r>
      <w:r>
        <w:rPr>
          <w:bCs/>
          <w:b/>
        </w:rPr>
        <w:t xml:space="preserve"> </w:t>
      </w:r>
      <w:r>
        <w:rPr>
          <w:bCs/>
          <w:b/>
        </w:rPr>
        <w:t xml:space="preserve">qui</w:t>
      </w:r>
      <w:r>
        <w:rPr>
          <w:bCs/>
          <w:b/>
        </w:rPr>
        <w:t xml:space="preserve"> </w:t>
      </w:r>
      <w:r>
        <w:rPr>
          <w:bCs/>
          <w:b/>
        </w:rPr>
        <w:t xml:space="preserve">suivent</w:t>
      </w:r>
      <w:r>
        <w:rPr>
          <w:bCs/>
          <w:b/>
        </w:rPr>
        <w:t xml:space="preserve"> </w:t>
      </w:r>
      <w:r>
        <w:rPr>
          <w:bCs/>
          <w:b/>
        </w:rPr>
        <w:t xml:space="preserve">ne</w:t>
      </w:r>
      <w:r>
        <w:rPr>
          <w:bCs/>
          <w:b/>
        </w:rPr>
        <w:t xml:space="preserve"> </w:t>
      </w:r>
      <w:r>
        <w:rPr>
          <w:bCs/>
          <w:b/>
        </w:rPr>
        <w:t xml:space="preserve">doivent</w:t>
      </w:r>
      <w:r>
        <w:rPr>
          <w:bCs/>
          <w:b/>
        </w:rPr>
        <w:t xml:space="preserve"> </w:t>
      </w:r>
      <w:r>
        <w:rPr>
          <w:bCs/>
          <w:b/>
        </w:rPr>
        <w:t xml:space="preserve">pas</w:t>
      </w:r>
      <w:r>
        <w:rPr>
          <w:bCs/>
          <w:b/>
        </w:rPr>
        <w:t xml:space="preserve"> </w:t>
      </w:r>
      <w:r>
        <w:rPr>
          <w:bCs/>
          <w:b/>
        </w:rPr>
        <w:t xml:space="preserve">être</w:t>
      </w:r>
      <w:r>
        <w:rPr>
          <w:bCs/>
          <w:b/>
        </w:rPr>
        <w:t xml:space="preserve"> </w:t>
      </w:r>
      <w:r>
        <w:rPr>
          <w:bCs/>
          <w:b/>
        </w:rPr>
        <w:t xml:space="preserve">appliqués</w:t>
      </w:r>
      <w:r>
        <w:rPr>
          <w:bCs/>
          <w:b/>
        </w:rPr>
        <w:t xml:space="preserve"> </w:t>
      </w:r>
      <w:r>
        <w:rPr>
          <w:bCs/>
          <w:b/>
        </w:rPr>
        <w:t xml:space="preserve">à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contenu</w:t>
      </w:r>
      <w:r>
        <w:rPr>
          <w:bCs/>
          <w:b/>
        </w:rPr>
        <w:t xml:space="preserve"> </w:t>
      </w:r>
      <w:r>
        <w:rPr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plus</w:t>
      </w:r>
      <w:r>
        <w:rPr>
          <w:bCs/>
          <w:b/>
        </w:rPr>
        <w:t xml:space="preserve"> </w:t>
      </w:r>
      <w:r>
        <w:rPr>
          <w:bCs/>
          <w:b/>
        </w:rPr>
        <w:t xml:space="preserve">enrichi</w:t>
      </w:r>
      <w:r>
        <w:rPr>
          <w:bCs/>
          <w:b/>
        </w:rPr>
        <w:t xml:space="preserve"> </w:t>
      </w:r>
      <w:r>
        <w:rPr>
          <w:bCs/>
          <w:b/>
        </w:rPr>
        <w:t xml:space="preserve">comme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site,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book</w:t>
      </w:r>
      <w:r>
        <w:rPr>
          <w:bCs/>
          <w:b/>
        </w:rPr>
        <w:t xml:space="preserve"> </w:t>
      </w:r>
      <w:r>
        <w:rPr>
          <w:bCs/>
          <w:b/>
        </w:rPr>
        <w:t xml:space="preserve">ou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blog</w:t>
      </w:r>
      <w:r>
        <w:t xml:space="preserve">.</w:t>
      </w:r>
    </w:p>
    <w:p>
      <w:pPr>
        <w:pStyle w:val="FirstParagraph"/>
      </w:pPr>
      <w:r>
        <w:t xml:space="preserve">Par défaut, en générant une simple page html de type notebook avec quarto,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de la compilation en html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suivra.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présentes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(métadonnées)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avec 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 </w:t>
      </w:r>
      <w:r>
        <w:t xml:space="preserve">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1f2430"/>
    </w:pPr>
  </w:style>
  <w:style w:type="character" w:customStyle="1" w:styleId="KeywordTok">
    <w:name w:val="KeywordTok"/>
    <w:basedOn w:val="VerbatimChar"/>
    <w:rPr>
      <w:color w:val="ffa759"/>
      <w:shd w:val="clear" w:fill="1f2430"/>
      <w:b/>
    </w:rPr>
  </w:style>
  <w:style w:type="character" w:customStyle="1" w:styleId="DataTypeTok">
    <w:name w:val="DataTypeTok"/>
    <w:basedOn w:val="VerbatimChar"/>
    <w:rPr>
      <w:color w:val="ffa759"/>
      <w:shd w:val="clear" w:fill="1f2430"/>
    </w:rPr>
  </w:style>
  <w:style w:type="character" w:customStyle="1" w:styleId="DecValTok">
    <w:name w:val="DecValTok"/>
    <w:basedOn w:val="VerbatimChar"/>
    <w:rPr>
      <w:color w:val="ffcc66"/>
      <w:shd w:val="clear" w:fill="1f2430"/>
    </w:rPr>
  </w:style>
  <w:style w:type="character" w:customStyle="1" w:styleId="BaseNTok">
    <w:name w:val="BaseNTok"/>
    <w:basedOn w:val="VerbatimChar"/>
    <w:rPr>
      <w:color w:val="ffcc66"/>
      <w:shd w:val="clear" w:fill="1f2430"/>
    </w:rPr>
  </w:style>
  <w:style w:type="character" w:customStyle="1" w:styleId="FloatTok">
    <w:name w:val="FloatTok"/>
    <w:basedOn w:val="VerbatimChar"/>
    <w:rPr>
      <w:color w:val="ffcc66"/>
      <w:shd w:val="clear" w:fill="1f2430"/>
    </w:rPr>
  </w:style>
  <w:style w:type="character" w:customStyle="1" w:styleId="ConstantTok">
    <w:name w:val="ConstantTok"/>
    <w:basedOn w:val="VerbatimChar"/>
    <w:rPr>
      <w:color w:val="d4bfff"/>
      <w:shd w:val="clear" w:fill="1f2430"/>
    </w:rPr>
  </w:style>
  <w:style w:type="character" w:customStyle="1" w:styleId="CharTok">
    <w:name w:val="CharTok"/>
    <w:basedOn w:val="VerbatimChar"/>
    <w:rPr>
      <w:color w:val="95e6cb"/>
      <w:shd w:val="clear" w:fill="1f2430"/>
    </w:rPr>
  </w:style>
  <w:style w:type="character" w:customStyle="1" w:styleId="SpecialCharTok">
    <w:name w:val="SpecialCharTok"/>
    <w:basedOn w:val="VerbatimChar"/>
    <w:rPr>
      <w:color w:val="95e6cb"/>
      <w:shd w:val="clear" w:fill="1f2430"/>
    </w:rPr>
  </w:style>
  <w:style w:type="character" w:customStyle="1" w:styleId="StringTok">
    <w:name w:val="StringTok"/>
    <w:basedOn w:val="VerbatimChar"/>
    <w:rPr>
      <w:color w:val="bae67e"/>
      <w:shd w:val="clear" w:fill="1f2430"/>
    </w:rPr>
  </w:style>
  <w:style w:type="character" w:customStyle="1" w:styleId="VerbatimStringTok">
    <w:name w:val="VerbatimStringTok"/>
    <w:basedOn w:val="VerbatimChar"/>
    <w:rPr>
      <w:color w:val="bae67e"/>
      <w:shd w:val="clear" w:fill="1f2430"/>
    </w:rPr>
  </w:style>
  <w:style w:type="character" w:customStyle="1" w:styleId="SpecialStringTok">
    <w:name w:val="SpecialStringTok"/>
    <w:basedOn w:val="VerbatimChar"/>
    <w:rPr>
      <w:color w:val="95e6cb"/>
      <w:shd w:val="clear" w:fill="1f2430"/>
    </w:rPr>
  </w:style>
  <w:style w:type="character" w:customStyle="1" w:styleId="ImportTok">
    <w:name w:val="ImportTok"/>
    <w:basedOn w:val="VerbatimChar"/>
    <w:rPr>
      <w:color w:val="bae67e"/>
      <w:shd w:val="clear" w:fill="1f2430"/>
    </w:rPr>
  </w:style>
  <w:style w:type="character" w:customStyle="1" w:styleId="CommentTok">
    <w:name w:val="CommentTok"/>
    <w:basedOn w:val="VerbatimChar"/>
    <w:rPr>
      <w:color w:val="5c6773"/>
      <w:shd w:val="clear" w:fill="1f2430"/>
      <w:i/>
    </w:rPr>
  </w:style>
  <w:style w:type="character" w:customStyle="1" w:styleId="DocumentationTok">
    <w:name w:val="DocumentationTok"/>
    <w:basedOn w:val="VerbatimChar"/>
    <w:rPr>
      <w:color w:val="5c6773"/>
      <w:shd w:val="clear" w:fill="1f2430"/>
    </w:rPr>
  </w:style>
  <w:style w:type="character" w:customStyle="1" w:styleId="AnnotationTok">
    <w:name w:val="AnnotationTok"/>
    <w:basedOn w:val="VerbatimChar"/>
    <w:rPr>
      <w:color w:val="ffe6b3"/>
      <w:shd w:val="clear" w:fill="1f2430"/>
    </w:rPr>
  </w:style>
  <w:style w:type="character" w:customStyle="1" w:styleId="CommentVarTok">
    <w:name w:val="CommentVarTok"/>
    <w:basedOn w:val="VerbatimChar"/>
    <w:rPr>
      <w:color w:val="d4bfff"/>
      <w:shd w:val="clear" w:fill="1f2430"/>
    </w:rPr>
  </w:style>
  <w:style w:type="character" w:customStyle="1" w:styleId="OtherTok">
    <w:name w:val="OtherTok"/>
    <w:basedOn w:val="VerbatimChar"/>
    <w:rPr>
      <w:color w:val="5ccfe6"/>
      <w:shd w:val="clear" w:fill="1f2430"/>
    </w:rPr>
  </w:style>
  <w:style w:type="character" w:customStyle="1" w:styleId="FunctionTok">
    <w:name w:val="FunctionTok"/>
    <w:basedOn w:val="VerbatimChar"/>
    <w:rPr>
      <w:color w:val="ffd580"/>
      <w:shd w:val="clear" w:fill="1f2430"/>
    </w:rPr>
  </w:style>
  <w:style w:type="character" w:customStyle="1" w:styleId="VariableTok">
    <w:name w:val="VariableTok"/>
    <w:basedOn w:val="VerbatimChar"/>
    <w:rPr>
      <w:color w:val="5ccfe6"/>
      <w:shd w:val="clear" w:fill="1f2430"/>
    </w:rPr>
  </w:style>
  <w:style w:type="character" w:customStyle="1" w:styleId="ControlFlowTok">
    <w:name w:val="ControlFlowTok"/>
    <w:basedOn w:val="VerbatimChar"/>
    <w:rPr>
      <w:color w:val="ffa759"/>
      <w:shd w:val="clear" w:fill="1f2430"/>
      <w:b/>
    </w:rPr>
  </w:style>
  <w:style w:type="character" w:customStyle="1" w:styleId="OperatorTok">
    <w:name w:val="OperatorTok"/>
    <w:basedOn w:val="VerbatimChar"/>
    <w:rPr>
      <w:color w:val="f29e74"/>
      <w:shd w:val="clear" w:fill="1f2430"/>
    </w:rPr>
  </w:style>
  <w:style w:type="character" w:customStyle="1" w:styleId="BuiltInTok">
    <w:name w:val="BuiltInTok"/>
    <w:basedOn w:val="VerbatimChar"/>
    <w:rPr>
      <w:color w:val="95e6cb"/>
      <w:shd w:val="clear" w:fill="1f2430"/>
    </w:rPr>
  </w:style>
  <w:style w:type="character" w:customStyle="1" w:styleId="ExtensionTok">
    <w:name w:val="ExtensionTok"/>
    <w:basedOn w:val="VerbatimChar"/>
    <w:rPr>
      <w:color w:val="73d0ff"/>
      <w:shd w:val="clear" w:fill="1f2430"/>
      <w:b/>
    </w:rPr>
  </w:style>
  <w:style w:type="character" w:customStyle="1" w:styleId="PreprocessorTok">
    <w:name w:val="PreprocessorTok"/>
    <w:basedOn w:val="VerbatimChar"/>
    <w:rPr>
      <w:color w:val="f28779"/>
      <w:shd w:val="clear" w:fill="1f2430"/>
    </w:rPr>
  </w:style>
  <w:style w:type="character" w:customStyle="1" w:styleId="AttributeTok">
    <w:name w:val="AttributeTok"/>
    <w:basedOn w:val="VerbatimChar"/>
    <w:rPr>
      <w:color w:val="73d0ff"/>
      <w:shd w:val="clear" w:fill="1f2430"/>
    </w:rPr>
  </w:style>
  <w:style w:type="character" w:customStyle="1" w:styleId="RegionMarkerTok">
    <w:name w:val="RegionMarkerTok"/>
    <w:basedOn w:val="VerbatimChar"/>
    <w:rPr>
      <w:color w:val="73d0ff"/>
      <w:shd w:val="clear" w:fill="2a4254"/>
    </w:rPr>
  </w:style>
  <w:style w:type="character" w:customStyle="1" w:styleId="InformationTok">
    <w:name w:val="InformationTok"/>
    <w:basedOn w:val="VerbatimChar"/>
    <w:rPr>
      <w:color w:val="ffcc66"/>
      <w:shd w:val="clear" w:fill="1f2430"/>
    </w:rPr>
  </w:style>
  <w:style w:type="character" w:customStyle="1" w:styleId="WarningTok">
    <w:name w:val="WarningTok"/>
    <w:basedOn w:val="VerbatimChar"/>
    <w:rPr>
      <w:color w:val="f28779"/>
      <w:shd w:val="clear" w:fill="1f2430"/>
    </w:rPr>
  </w:style>
  <w:style w:type="character" w:customStyle="1" w:styleId="AlertTok">
    <w:name w:val="AlertTok"/>
    <w:basedOn w:val="VerbatimChar"/>
    <w:rPr>
      <w:color w:val="ff3333"/>
      <w:shd w:val="clear" w:fill="332430"/>
      <w:b/>
    </w:rPr>
  </w:style>
  <w:style w:type="character" w:customStyle="1" w:styleId="ErrorTok">
    <w:name w:val="ErrorTok"/>
    <w:basedOn w:val="VerbatimChar"/>
    <w:rPr>
      <w:color w:val="ff3333"/>
      <w:shd w:val="clear" w:fill="1f2430"/>
      <w:u/>
    </w:rPr>
  </w:style>
  <w:style w:type="character" w:customStyle="1" w:styleId="NormalTok">
    <w:name w:val="NormalTok"/>
    <w:basedOn w:val="VerbatimChar"/>
    <w:rPr>
      <w:color w:val="cbccc6"/>
      <w:shd w:val="clear" w:fill="1f24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</dc:title>
  <dc:creator>Marc Thévenin</dc:creator>
  <dc:language>fr</dc:language>
  <cp:keywords/>
  <dcterms:created xsi:type="dcterms:W3CDTF">2024-03-01T09:00:30Z</dcterms:created>
  <dcterms:modified xsi:type="dcterms:W3CDTF">2024-03-01T09:00:30Z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 Les éléments qui suivent ne doivent pas être appliqués à un contenu html plus enrichi comme un site, un book ou un blog.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2023-07-10</vt:lpwstr>
  </property>
  <property fmtid="{D5CDD505-2E9C-101B-9397-08002B2CF9AE}" pid="12" name="header-includes">
    <vt:lpwstr/>
  </property>
  <property fmtid="{D5CDD505-2E9C-101B-9397-08002B2CF9AE}" pid="13" name="image">
    <vt:lpwstr>https://st4.depositphotos.com/28636338/38413/i/450/depositphotos_384138024-stock-photo-yaml-file-isolated-on-abstract.jpg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