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Override PartName="/word/media/rId22.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Quarto</w:t>
      </w:r>
      <w:r>
        <w:t xml:space="preserve"> </w:t>
      </w:r>
      <w:r>
        <w:t xml:space="preserve">[A</w:t>
      </w:r>
      <w:r>
        <w:t xml:space="preserve"> </w:t>
      </w:r>
      <w:r>
        <w:t xml:space="preserve">supprimer]</w:t>
      </w:r>
    </w:p>
    <w:p>
      <w:pPr>
        <w:pStyle w:val="Subtitle"/>
      </w:pPr>
      <w:r>
        <w:t xml:space="preserve">Difficulté</w:t>
      </w:r>
      <w:r>
        <w:t xml:space="preserve"> </w:t>
      </w:r>
      <w:r>
        <w:t xml:space="preserve"> </w:t>
      </w:r>
      <w:r>
        <w:t xml:space="preserve"> </w:t>
      </w:r>
    </w:p>
    <w:p>
      <w:pPr>
        <w:pStyle w:val="Author"/>
      </w:pPr>
      <w:r>
        <w:t xml:space="preserve">Marc</w:t>
      </w:r>
      <w:r>
        <w:t xml:space="preserve"> </w:t>
      </w:r>
      <w:r>
        <w:t xml:space="preserve">Thévenin</w:t>
      </w:r>
    </w:p>
    <w:p>
      <w:pPr>
        <w:pStyle w:val="Date"/>
      </w:pPr>
      <w:r>
        <w:t xml:space="preserve">2023-04-24</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FirstParagraph"/>
      </w:pPr>
      <w:r>
        <w:t xml:space="preserve">Lorem ipsum dolor sit amet, consectetur adipiscing elit. Curabitur posuere vestibulum facilisis. Aenean pretium orci augue, quis lobortis libero accumsan eu. Nam mollis lorem sit amet pellentesque ullamcorper. Curabitur lobortis libero eget malesuada vestibulum. Nam nec nibh massa. Pellentesque porttitor cursus tellus. Mauris urna erat, rhoncus sed faucibus sit amet, venenatis eu ipsum.</w:t>
      </w:r>
    </w:p>
    <w:p>
      <w:pPr>
        <w:numPr>
          <w:ilvl w:val="0"/>
          <w:numId w:val="1001"/>
        </w:numPr>
        <w:pStyle w:val="Compact"/>
      </w:pPr>
      <w:r>
        <w:t xml:space="preserve">A</w:t>
      </w:r>
    </w:p>
    <w:p>
      <w:pPr>
        <w:numPr>
          <w:ilvl w:val="0"/>
          <w:numId w:val="1001"/>
        </w:numPr>
        <w:pStyle w:val="Compact"/>
      </w:pPr>
      <w:r>
        <w:t xml:space="preserve">B</w:t>
      </w:r>
    </w:p>
    <w:p>
      <w:pPr>
        <w:numPr>
          <w:ilvl w:val="0"/>
          <w:numId w:val="1001"/>
        </w:numPr>
        <w:pStyle w:val="Compact"/>
      </w:pPr>
      <w:r>
        <w:t xml:space="preserve">C</w:t>
      </w:r>
    </w:p>
    <w:p>
      <w:pPr>
        <w:numPr>
          <w:ilvl w:val="1"/>
          <w:numId w:val="1002"/>
        </w:numPr>
        <w:pStyle w:val="Compact"/>
      </w:pPr>
      <w:r>
        <w:t xml:space="preserve">c</w:t>
      </w:r>
    </w:p>
    <w:p>
      <w:pPr>
        <w:numPr>
          <w:ilvl w:val="1"/>
          <w:numId w:val="1002"/>
        </w:numPr>
        <w:pStyle w:val="Compact"/>
      </w:pPr>
      <w:r>
        <w:t xml:space="preserve">c</w:t>
      </w:r>
    </w:p>
    <w:p>
      <w:pPr>
        <w:pStyle w:val="FirstParagraph"/>
      </w:pPr>
      <w:r>
        <w:t xml:space="preserve">Code inline:</w:t>
      </w:r>
      <w:r>
        <w:t xml:space="preserve"> </w:t>
      </w:r>
      <w:r>
        <w:rPr>
          <w:rStyle w:val="VerbatimChar"/>
        </w:rPr>
        <w:t xml:space="preserve">library(survival)</w:t>
      </w:r>
    </w:p>
    <w:p>
      <w:pPr>
        <w:pStyle w:val="BodyText"/>
      </w:pPr>
      <m:oMathPara>
        <m:oMathParaPr>
          <m:jc m:val="center"/>
        </m:oMathParaPr>
        <m:oMath>
          <m:r>
            <m:t>A</m:t>
          </m:r>
          <m:r>
            <m:rPr>
              <m:sty m:val="p"/>
            </m:rPr>
            <m:t>+</m:t>
          </m:r>
          <m:r>
            <m:t>B</m:t>
          </m:r>
          <m:r>
            <m:rPr>
              <m:sty m:val="p"/>
            </m:rPr>
            <m:t>=</m:t>
          </m:r>
          <m:nary>
            <m:naryPr>
              <m:chr m:val="∑"/>
              <m:limLoc m:val="undOvr"/>
              <m:subHide m:val="0"/>
              <m:supHide m:val="1"/>
            </m:naryPr>
            <m:sub>
              <m:r>
                <m:t>i</m:t>
              </m:r>
            </m:sub>
            <m:sup>
              <m:r>
                <m:t>​</m:t>
              </m:r>
            </m:sup>
            <m:e>
              <m:sSup>
                <m:e>
                  <m:r>
                    <m:t>e</m:t>
                  </m:r>
                </m:e>
                <m:sup>
                  <m:r>
                    <m:t>C</m:t>
                  </m:r>
                </m:sup>
              </m:sSup>
            </m:e>
          </m:nary>
          <m:r>
            <m:rPr>
              <m:sty m:val="p"/>
            </m:rPr>
            <m:t>+</m:t>
          </m:r>
          <m:f>
            <m:fPr>
              <m:type m:val="bar"/>
            </m:fPr>
            <m:num>
              <m:r>
                <m:t>D</m:t>
              </m:r>
            </m:num>
            <m:den>
              <m:r>
                <m:t>E</m:t>
              </m:r>
              <m:r>
                <m:rPr>
                  <m:sty m:val="p"/>
                </m:rPr>
                <m:t>+</m:t>
              </m:r>
              <m:r>
                <m:t>1</m:t>
              </m:r>
            </m:den>
          </m:f>
        </m:oMath>
      </m:oMathPara>
    </w:p>
    <w:bookmarkStart w:id="20" w:name="toto"/>
    <w:p>
      <w:pPr>
        <w:pStyle w:val="Heading1"/>
      </w:pPr>
      <w:r>
        <w:t xml:space="preserve">Toto</w:t>
      </w:r>
    </w:p>
    <w:p>
      <w:pPr>
        <w:pStyle w:val="SourceCode"/>
      </w:pPr>
      <w:r>
        <w:rPr>
          <w:rStyle w:val="DecValTok"/>
        </w:rPr>
        <w:t xml:space="preserve">0</w:t>
      </w:r>
      <w:r>
        <w:rPr>
          <w:rStyle w:val="SpecialCharTok"/>
        </w:rPr>
        <w:t xml:space="preserve">+</w:t>
      </w:r>
      <w:r>
        <w:rPr>
          <w:rStyle w:val="DecValTok"/>
        </w:rPr>
        <w:t xml:space="preserve">0</w:t>
      </w:r>
    </w:p>
    <w:p>
      <w:pPr>
        <w:pStyle w:val="SourceCode"/>
      </w:pPr>
      <w:r>
        <w:rPr>
          <w:rStyle w:val="VerbatimChar"/>
        </w:rPr>
        <w:t xml:space="preserve">[1] 0</w:t>
      </w:r>
    </w:p>
    <w:bookmarkEnd w:id="20"/>
    <w:bookmarkStart w:id="21" w:name="tableau"/>
    <w:p>
      <w:pPr>
        <w:pStyle w:val="Heading1"/>
      </w:pPr>
      <w:r>
        <w:t xml:space="preserve">Tableau</w:t>
      </w:r>
    </w:p>
    <w:p>
      <w:pPr>
        <w:pStyle w:val="TableCaption"/>
      </w:pPr>
      <w:r>
        <w:rPr>
          <w:bCs/>
          <w:b/>
        </w:rPr>
        <w:t xml:space="preserve">Je sais compter</w:t>
      </w:r>
    </w:p>
    <w:tbl>
      <w:tblPr>
        <w:tblStyle w:val="Table"/>
        <w:tblW w:type="auto" w:w="0"/>
        <w:tblLook w:firstRow="1" w:lastRow="0" w:firstColumn="0" w:lastColumn="0" w:noHBand="0" w:noVBand="0" w:val="0020"/>
        <w:jc w:val="start"/>
        <w:tblCaption w:val="Je sais compter"/>
      </w:tblPr>
      <w:tblGrid>
        <w:gridCol w:w="2640"/>
        <w:gridCol w:w="2640"/>
        <w:gridCol w:w="2640"/>
      </w:tblGrid>
      <w:tr>
        <w:trPr>
          <w:tblHeader w:val="true"/>
        </w:trPr>
        <w:tc>
          <w:tcPr/>
          <w:p>
            <w:pPr>
              <w:pStyle w:val="Compact"/>
              <w:jc w:val="left"/>
            </w:pPr>
            <w:r>
              <w:t xml:space="preserve">Col1</w:t>
            </w:r>
          </w:p>
        </w:tc>
        <w:tc>
          <w:tcPr/>
          <w:p>
            <w:pPr>
              <w:pStyle w:val="Compact"/>
              <w:jc w:val="left"/>
            </w:pPr>
            <w:r>
              <w:t xml:space="preserve">Col2</w:t>
            </w:r>
          </w:p>
        </w:tc>
        <w:tc>
          <w:tcPr/>
          <w:p>
            <w:pPr>
              <w:pStyle w:val="Compact"/>
              <w:jc w:val="left"/>
            </w:pPr>
            <w:r>
              <w:t xml:space="preserve">Col3</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7</w:t>
            </w:r>
          </w:p>
        </w:tc>
        <w:tc>
          <w:tcPr/>
          <w:p>
            <w:pPr>
              <w:pStyle w:val="Compact"/>
              <w:jc w:val="left"/>
            </w:pPr>
            <w:r>
              <w:t xml:space="preserve">8</w:t>
            </w:r>
          </w:p>
        </w:tc>
        <w:tc>
          <w:tcPr/>
          <w:p>
            <w:pPr>
              <w:pStyle w:val="Compact"/>
              <w:jc w:val="left"/>
            </w:pPr>
            <w:r>
              <w:t xml:space="preserve">9</w:t>
            </w:r>
          </w:p>
        </w:tc>
      </w:tr>
    </w:tbl>
    <w:bookmarkEnd w:id="21"/>
    <w:bookmarkStart w:id="38" w:name="caption"/>
    <w:p>
      <w:pPr>
        <w:pStyle w:val="Heading1"/>
      </w:pPr>
      <w:r>
        <w:t xml:space="preserve">Caption</w:t>
      </w:r>
    </w:p>
    <w:bookmarkStart w:id="25" w:name="astuce"/>
    <w:p>
      <w:pPr>
        <w:pStyle w:val="Heading2"/>
      </w:pPr>
      <w:r>
        <w:t xml:space="preserve">Astuce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C:\Users\thevenin_m\AppData\Local\Programs\Quarto\share\formats\docx\tip.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AAAAAAAAAAAAAAAAAAAAAAAAAAAAAAAAAAAAAAAAAAAAAAAAA</w:t>
            </w:r>
          </w:p>
        </w:tc>
      </w:tr>
    </w:tbl>
    <w:bookmarkEnd w:id="25"/>
    <w:bookmarkStart w:id="29" w:name="info"/>
    <w:p>
      <w:pPr>
        <w:pStyle w:val="Heading2"/>
      </w:pPr>
      <w:r>
        <w:t xml:space="preserve">Info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thevenin_m\AppData\Local\Program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Info</w:t>
            </w:r>
          </w:p>
        </w:tc>
      </w:tr>
      <w:tr>
        <w:trPr>
          <w:cantSplit/>
        </w:trPr>
        <w:tc>
          <w:tcPr>
            <w:tcMar>
              <w:top w:w="108" w:type="dxa"/>
              <w:bottom w:w="108" w:type="dxa"/>
            </w:tcMar>
          </w:tcPr>
          <w:p>
            <w:pPr>
              <w:pStyle w:val="BodyText"/>
            </w:pPr>
            <w:pPr>
              <w:spacing w:before="16" w:after="16"/>
            </w:pPr>
            <w:r>
              <w:t xml:space="preserve">BBBBBBBBBBBBBBBBBBBBBBBBBBBBBBBBBBBBBBBBBBBBBBBB</w:t>
            </w:r>
          </w:p>
        </w:tc>
      </w:tr>
    </w:tbl>
    <w:bookmarkEnd w:id="29"/>
    <w:bookmarkStart w:id="33" w:name="important"/>
    <w:p>
      <w:pPr>
        <w:pStyle w:val="Heading2"/>
      </w:pPr>
      <w:r>
        <w:t xml:space="preserve">Important</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thevenin_m\AppData\Local\Programs\Quarto\share\formats\docx\important.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CCCCCCCCCCCCCCCCCCCCCCCCCCCCCCCCCCCCCCCCCCCCCCCC</w:t>
            </w:r>
          </w:p>
        </w:tc>
      </w:tr>
    </w:tbl>
    <w:bookmarkEnd w:id="33"/>
    <w:bookmarkStart w:id="37" w:name="warning"/>
    <w:p>
      <w:pPr>
        <w:pStyle w:val="Heading2"/>
      </w:pPr>
      <w:r>
        <w:t xml:space="preserve">Warning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Users\thevenin_m\AppData\Local\Program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DDDDDDDDDDDDDDDDDDDDDDDDDDDDDDDDDDDDDDDDDDDDDDDD</w:t>
            </w:r>
          </w:p>
        </w:tc>
      </w:tr>
    </w:tbl>
    <w:bookmarkEnd w:id="37"/>
    <w:bookmarkEnd w:id="38"/>
    <w:bookmarkStart w:id="39" w:name="output"/>
    <w:p>
      <w:pPr>
        <w:pStyle w:val="Heading1"/>
      </w:pPr>
      <w:r>
        <w:t xml:space="preserve">Output</w:t>
      </w:r>
    </w:p>
    <w:p>
      <w:pPr>
        <w:pStyle w:val="SourceCode"/>
      </w:pPr>
      <w:r>
        <w:rPr>
          <w:rStyle w:val="FunctionTok"/>
        </w:rPr>
        <w:t xml:space="preserve">library</w:t>
      </w:r>
      <w:r>
        <w:rPr>
          <w:rStyle w:val="NormalTok"/>
        </w:rPr>
        <w:t xml:space="preserve">(gtsummary)</w:t>
      </w:r>
      <w:r>
        <w:br/>
      </w:r>
      <w:r>
        <w:rPr>
          <w:rStyle w:val="CommentTok"/>
        </w:rPr>
        <w:t xml:space="preserve"># make dataset with a few variables to summarize</w:t>
      </w:r>
      <w:r>
        <w:br/>
      </w:r>
      <w:r>
        <w:rPr>
          <w:rStyle w:val="NormalTok"/>
        </w:rPr>
        <w:t xml:space="preserve">trial2 </w:t>
      </w:r>
      <w:r>
        <w:rPr>
          <w:rStyle w:val="OtherTok"/>
        </w:rPr>
        <w:t xml:space="preserve">&lt;-</w:t>
      </w:r>
      <w:r>
        <w:rPr>
          <w:rStyle w:val="NormalTok"/>
        </w:rPr>
        <w:t xml:space="preserve"> trial </w:t>
      </w:r>
      <w:r>
        <w:rPr>
          <w:rStyle w:val="SpecialCharTok"/>
        </w:rPr>
        <w:t xml:space="preserve">%&gt;%</w:t>
      </w:r>
      <w:r>
        <w:rPr>
          <w:rStyle w:val="NormalTok"/>
        </w:rPr>
        <w:t xml:space="preserve"> </w:t>
      </w:r>
      <w:r>
        <w:rPr>
          <w:rStyle w:val="FunctionTok"/>
        </w:rPr>
        <w:t xml:space="preserve">select</w:t>
      </w:r>
      <w:r>
        <w:rPr>
          <w:rStyle w:val="NormalTok"/>
        </w:rPr>
        <w:t xml:space="preserve">(age, grade, response, trt)</w:t>
      </w:r>
      <w:r>
        <w:br/>
      </w:r>
      <w:r>
        <w:br/>
      </w:r>
      <w:r>
        <w:rPr>
          <w:rStyle w:val="CommentTok"/>
        </w:rPr>
        <w:t xml:space="preserve"># summarize the data with our package</w:t>
      </w:r>
      <w:r>
        <w:br/>
      </w:r>
      <w:r>
        <w:rPr>
          <w:rStyle w:val="NormalTok"/>
        </w:rPr>
        <w:t xml:space="preserve">table1 </w:t>
      </w:r>
      <w:r>
        <w:rPr>
          <w:rStyle w:val="OtherTok"/>
        </w:rPr>
        <w:t xml:space="preserve">&lt;-</w:t>
      </w:r>
      <w:r>
        <w:rPr>
          <w:rStyle w:val="NormalTok"/>
        </w:rPr>
        <w:t xml:space="preserve"> </w:t>
      </w:r>
      <w:r>
        <w:rPr>
          <w:rStyle w:val="FunctionTok"/>
        </w:rPr>
        <w:t xml:space="preserve">tbl_summary</w:t>
      </w:r>
      <w:r>
        <w:rPr>
          <w:rStyle w:val="NormalTok"/>
        </w:rPr>
        <w:t xml:space="preserve">(trial2)</w:t>
      </w:r>
      <w:r>
        <w:br/>
      </w:r>
      <w:r>
        <w:rPr>
          <w:rStyle w:val="NormalTok"/>
        </w:rPr>
        <w:t xml:space="preserve">table1</w:t>
      </w:r>
    </w:p>
    <w:p>
      <w:pPr>
        <w:pStyle w:val="SourceCode"/>
      </w:pPr>
      <w:r>
        <w:rPr>
          <w:rStyle w:val="VerbatimChar"/>
        </w:rPr>
        <w:t xml:space="preserve">Table printed with `knitr::kable()`, not {gt}. Learn why at</w:t>
      </w:r>
      <w:r>
        <w:br/>
      </w:r>
      <w:r>
        <w:rPr>
          <w:rStyle w:val="VerbatimChar"/>
        </w:rPr>
        <w:t xml:space="preserve">https://www.danieldsjoberg.com/gtsummary/articles/rmarkdown.html</w:t>
      </w:r>
      <w:r>
        <w:br/>
      </w:r>
      <w:r>
        <w:rPr>
          <w:rStyle w:val="VerbatimChar"/>
        </w:rPr>
        <w:t xml:space="preserve">To suppress this message, include `message = FALSE` in the code chunk header.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200</w:t>
            </w:r>
          </w:p>
        </w:tc>
      </w:tr>
      <w:tr>
        <w:tc>
          <w:tcPr/>
          <w:p>
            <w:pPr>
              <w:pStyle w:val="Compact"/>
              <w:jc w:val="left"/>
            </w:pPr>
            <w:r>
              <w:t xml:space="preserve">Age</w:t>
            </w:r>
          </w:p>
        </w:tc>
        <w:tc>
          <w:tcPr/>
          <w:p>
            <w:pPr>
              <w:pStyle w:val="Compact"/>
              <w:jc w:val="center"/>
            </w:pPr>
            <w:r>
              <w:t xml:space="preserve">47 (38, 57)</w:t>
            </w:r>
          </w:p>
        </w:tc>
      </w:tr>
      <w:tr>
        <w:tc>
          <w:tcPr/>
          <w:p>
            <w:pPr>
              <w:pStyle w:val="Compact"/>
              <w:jc w:val="left"/>
            </w:pPr>
            <w:r>
              <w:t xml:space="preserve">Unknown</w:t>
            </w:r>
          </w:p>
        </w:tc>
        <w:tc>
          <w:tcPr/>
          <w:p>
            <w:pPr>
              <w:pStyle w:val="Compact"/>
              <w:jc w:val="center"/>
            </w:pPr>
            <w:r>
              <w:t xml:space="preserve">11</w:t>
            </w:r>
          </w:p>
        </w:tc>
      </w:tr>
      <w:tr>
        <w:tc>
          <w:tcPr/>
          <w:p>
            <w:pPr>
              <w:pStyle w:val="Compact"/>
              <w:jc w:val="left"/>
            </w:pPr>
            <w:r>
              <w:t xml:space="preserve">Grade</w:t>
            </w:r>
          </w:p>
        </w:tc>
        <w:tc>
          <w:tcPr/>
          <w:p>
            <w:pPr>
              <w:pStyle w:val="Compact"/>
            </w:pPr>
          </w:p>
        </w:tc>
      </w:tr>
      <w:tr>
        <w:tc>
          <w:tcPr/>
          <w:p>
            <w:pPr>
              <w:pStyle w:val="Compact"/>
              <w:jc w:val="left"/>
            </w:pPr>
            <w:r>
              <w:t xml:space="preserve">I</w:t>
            </w:r>
          </w:p>
        </w:tc>
        <w:tc>
          <w:tcPr/>
          <w:p>
            <w:pPr>
              <w:pStyle w:val="Compact"/>
              <w:jc w:val="center"/>
            </w:pPr>
            <w:r>
              <w:t xml:space="preserve">68 (34%)</w:t>
            </w:r>
          </w:p>
        </w:tc>
      </w:tr>
      <w:tr>
        <w:tc>
          <w:tcPr/>
          <w:p>
            <w:pPr>
              <w:pStyle w:val="Compact"/>
              <w:jc w:val="left"/>
            </w:pPr>
            <w:r>
              <w:t xml:space="preserve">II</w:t>
            </w:r>
          </w:p>
        </w:tc>
        <w:tc>
          <w:tcPr/>
          <w:p>
            <w:pPr>
              <w:pStyle w:val="Compact"/>
              <w:jc w:val="center"/>
            </w:pPr>
            <w:r>
              <w:t xml:space="preserve">68 (34%)</w:t>
            </w:r>
          </w:p>
        </w:tc>
      </w:tr>
      <w:tr>
        <w:tc>
          <w:tcPr/>
          <w:p>
            <w:pPr>
              <w:pStyle w:val="Compact"/>
              <w:jc w:val="left"/>
            </w:pPr>
            <w:r>
              <w:t xml:space="preserve">III</w:t>
            </w:r>
          </w:p>
        </w:tc>
        <w:tc>
          <w:tcPr/>
          <w:p>
            <w:pPr>
              <w:pStyle w:val="Compact"/>
              <w:jc w:val="center"/>
            </w:pPr>
            <w:r>
              <w:t xml:space="preserve">64 (32%)</w:t>
            </w:r>
          </w:p>
        </w:tc>
      </w:tr>
      <w:tr>
        <w:tc>
          <w:tcPr/>
          <w:p>
            <w:pPr>
              <w:pStyle w:val="Compact"/>
              <w:jc w:val="left"/>
            </w:pPr>
            <w:r>
              <w:t xml:space="preserve">Tumor Response</w:t>
            </w:r>
          </w:p>
        </w:tc>
        <w:tc>
          <w:tcPr/>
          <w:p>
            <w:pPr>
              <w:pStyle w:val="Compact"/>
              <w:jc w:val="center"/>
            </w:pPr>
            <w:r>
              <w:t xml:space="preserve">61 (32%)</w:t>
            </w:r>
          </w:p>
        </w:tc>
      </w:tr>
      <w:tr>
        <w:tc>
          <w:tcPr/>
          <w:p>
            <w:pPr>
              <w:pStyle w:val="Compact"/>
              <w:jc w:val="left"/>
            </w:pPr>
            <w:r>
              <w:t xml:space="preserve">Unknown</w:t>
            </w:r>
          </w:p>
        </w:tc>
        <w:tc>
          <w:tcPr/>
          <w:p>
            <w:pPr>
              <w:pStyle w:val="Compact"/>
              <w:jc w:val="center"/>
            </w:pPr>
            <w:r>
              <w:t xml:space="preserve">7</w:t>
            </w:r>
          </w:p>
        </w:tc>
      </w:tr>
      <w:tr>
        <w:tc>
          <w:tcPr/>
          <w:p>
            <w:pPr>
              <w:pStyle w:val="Compact"/>
              <w:jc w:val="left"/>
            </w:pPr>
            <w:r>
              <w:t xml:space="preserve">Chemotherapy Treatment</w:t>
            </w:r>
          </w:p>
        </w:tc>
        <w:tc>
          <w:tcPr/>
          <w:p>
            <w:pPr>
              <w:pStyle w:val="Compact"/>
            </w:pPr>
          </w:p>
        </w:tc>
      </w:tr>
      <w:tr>
        <w:tc>
          <w:tcPr/>
          <w:p>
            <w:pPr>
              <w:pStyle w:val="Compact"/>
              <w:jc w:val="left"/>
            </w:pPr>
            <w:r>
              <w:t xml:space="preserve">Drug A</w:t>
            </w:r>
          </w:p>
        </w:tc>
        <w:tc>
          <w:tcPr/>
          <w:p>
            <w:pPr>
              <w:pStyle w:val="Compact"/>
              <w:jc w:val="center"/>
            </w:pPr>
            <w:r>
              <w:t xml:space="preserve">98 (49%)</w:t>
            </w:r>
          </w:p>
        </w:tc>
      </w:tr>
      <w:tr>
        <w:tc>
          <w:tcPr/>
          <w:p>
            <w:pPr>
              <w:pStyle w:val="Compact"/>
              <w:jc w:val="left"/>
            </w:pPr>
            <w:r>
              <w:t xml:space="preserve">Drug B</w:t>
            </w:r>
          </w:p>
        </w:tc>
        <w:tc>
          <w:tcPr/>
          <w:p>
            <w:pPr>
              <w:pStyle w:val="Compact"/>
              <w:jc w:val="center"/>
            </w:pPr>
            <w:r>
              <w:t xml:space="preserve">102 (51%)</w:t>
            </w:r>
          </w:p>
        </w:tc>
      </w:tr>
    </w:tbl>
    <w:p>
      <w:pPr>
        <w:pStyle w:val="SourceCode"/>
      </w:pPr>
      <w:r>
        <w:rPr>
          <w:rStyle w:val="FunctionTok"/>
        </w:rPr>
        <w:t xml:space="preserve">library</w:t>
      </w:r>
      <w:r>
        <w:rPr>
          <w:rStyle w:val="NormalTok"/>
        </w:rPr>
        <w:t xml:space="preserve">(survival)</w:t>
      </w:r>
      <w:r>
        <w:br/>
      </w:r>
      <w:r>
        <w:rPr>
          <w:rStyle w:val="FunctionTok"/>
        </w:rPr>
        <w:t xml:space="preserve">coxph</w:t>
      </w:r>
      <w:r>
        <w:rPr>
          <w:rStyle w:val="NormalTok"/>
        </w:rPr>
        <w:t xml:space="preserve">(</w:t>
      </w:r>
      <w:r>
        <w:rPr>
          <w:rStyle w:val="FunctionTok"/>
        </w:rPr>
        <w:t xml:space="preserve">Surv</w:t>
      </w:r>
      <w:r>
        <w:rPr>
          <w:rStyle w:val="NormalTok"/>
        </w:rPr>
        <w:t xml:space="preserve">(ttdeath, death) </w:t>
      </w:r>
      <w:r>
        <w:rPr>
          <w:rStyle w:val="SpecialCharTok"/>
        </w:rPr>
        <w:t xml:space="preserve">~</w:t>
      </w:r>
      <w:r>
        <w:rPr>
          <w:rStyle w:val="NormalTok"/>
        </w:rPr>
        <w:t xml:space="preserve"> trt </w:t>
      </w:r>
      <w:r>
        <w:rPr>
          <w:rStyle w:val="SpecialCharTok"/>
        </w:rPr>
        <w:t xml:space="preserve">+</w:t>
      </w:r>
      <w:r>
        <w:rPr>
          <w:rStyle w:val="NormalTok"/>
        </w:rPr>
        <w:t xml:space="preserve"> grade </w:t>
      </w:r>
      <w:r>
        <w:rPr>
          <w:rStyle w:val="SpecialCharTok"/>
        </w:rPr>
        <w:t xml:space="preserve">+</w:t>
      </w:r>
      <w:r>
        <w:rPr>
          <w:rStyle w:val="NormalTok"/>
        </w:rPr>
        <w:t xml:space="preserve"> age, trial)</w:t>
      </w:r>
    </w:p>
    <w:p>
      <w:pPr>
        <w:pStyle w:val="SourceCode"/>
      </w:pPr>
      <w:r>
        <w:rPr>
          <w:rStyle w:val="VerbatimChar"/>
        </w:rPr>
        <w:t xml:space="preserve">Call:</w:t>
      </w:r>
      <w:r>
        <w:br/>
      </w:r>
      <w:r>
        <w:rPr>
          <w:rStyle w:val="VerbatimChar"/>
        </w:rPr>
        <w:t xml:space="preserve">coxph(formula = Surv(ttdeath, death) ~ trt + grade + age, data = trial)</w:t>
      </w:r>
      <w:r>
        <w:br/>
      </w:r>
      <w:r>
        <w:br/>
      </w:r>
      <w:r>
        <w:rPr>
          <w:rStyle w:val="VerbatimChar"/>
        </w:rPr>
        <w:t xml:space="preserve">              coef exp(coef) se(coef)     z      p</w:t>
      </w:r>
      <w:r>
        <w:br/>
      </w:r>
      <w:r>
        <w:rPr>
          <w:rStyle w:val="VerbatimChar"/>
        </w:rPr>
        <w:t xml:space="preserve">trtDrug B 0.263963  1.302080 0.198442 1.330 0.1835</w:t>
      </w:r>
      <w:r>
        <w:br/>
      </w:r>
      <w:r>
        <w:rPr>
          <w:rStyle w:val="VerbatimChar"/>
        </w:rPr>
        <w:t xml:space="preserve">gradeII   0.188377  1.207288 0.254228 0.741 0.4587</w:t>
      </w:r>
      <w:r>
        <w:br/>
      </w:r>
      <w:r>
        <w:rPr>
          <w:rStyle w:val="VerbatimChar"/>
        </w:rPr>
        <w:t xml:space="preserve">gradeIII  0.584574  1.794227 0.238425 2.452 0.0142</w:t>
      </w:r>
      <w:r>
        <w:br/>
      </w:r>
      <w:r>
        <w:rPr>
          <w:rStyle w:val="VerbatimChar"/>
        </w:rPr>
        <w:t xml:space="preserve">age       0.006607  1.006629 0.007043 0.938 0.3482</w:t>
      </w:r>
      <w:r>
        <w:br/>
      </w:r>
      <w:r>
        <w:br/>
      </w:r>
      <w:r>
        <w:rPr>
          <w:rStyle w:val="VerbatimChar"/>
        </w:rPr>
        <w:t xml:space="preserve">Likelihood ratio test=9.14  on 4 df, p=0.05778</w:t>
      </w:r>
      <w:r>
        <w:br/>
      </w:r>
      <w:r>
        <w:rPr>
          <w:rStyle w:val="VerbatimChar"/>
        </w:rPr>
        <w:t xml:space="preserve">n= 189, number of events= 103 </w:t>
      </w:r>
      <w:r>
        <w:br/>
      </w:r>
      <w:r>
        <w:rPr>
          <w:rStyle w:val="VerbatimChar"/>
        </w:rPr>
        <w:t xml:space="preserve">   (11 observations effacées parce que manquantes)</w:t>
      </w:r>
    </w:p>
    <w:bookmarkEnd w:id="39"/>
    <w:bookmarkStart w:id="43" w:name="graph"/>
    <w:p>
      <w:pPr>
        <w:pStyle w:val="Heading1"/>
      </w:pPr>
      <w:r>
        <w:t xml:space="preserve">Graph</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(ggridges)</w:t>
      </w:r>
      <w:r>
        <w:br/>
      </w:r>
      <w:r>
        <w:br/>
      </w:r>
      <w:r>
        <w:rPr>
          <w:rStyle w:val="FunctionTok"/>
        </w:rPr>
        <w:t xml:space="preserve">ggplot</w:t>
      </w:r>
      <w:r>
        <w:rPr>
          <w:rStyle w:val="NormalTok"/>
        </w:rPr>
        <w:t xml:space="preserve">(lincoln_weather,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Mean Temperature [F]</w:t>
      </w:r>
      <w:r>
        <w:rPr>
          <w:rStyle w:val="StringTok"/>
        </w:rPr>
        <w:t xml:space="preserve">`</w:t>
      </w:r>
      <w:r>
        <w:rPr>
          <w:rStyle w:val="NormalTok"/>
        </w:rPr>
        <w:t xml:space="preserve">, </w:t>
      </w:r>
      <w:r>
        <w:rPr>
          <w:rStyle w:val="AttributeTok"/>
        </w:rPr>
        <w:t xml:space="preserve">y =</w:t>
      </w:r>
      <w:r>
        <w:rPr>
          <w:rStyle w:val="NormalTok"/>
        </w:rPr>
        <w:t xml:space="preserve"> Month, </w:t>
      </w:r>
      <w:r>
        <w:rPr>
          <w:rStyle w:val="AttributeTok"/>
        </w:rPr>
        <w:t xml:space="preserve">fill =</w:t>
      </w:r>
      <w:r>
        <w:rPr>
          <w:rStyle w:val="NormalTok"/>
        </w:rPr>
        <w:t xml:space="preserve"> </w:t>
      </w:r>
      <w:r>
        <w:rPr>
          <w:rStyle w:val="FunctionTok"/>
        </w:rPr>
        <w:t xml:space="preserve">stat</w:t>
      </w:r>
      <w:r>
        <w:rPr>
          <w:rStyle w:val="NormalTok"/>
        </w:rPr>
        <w:t xml:space="preserve">(x))) </w:t>
      </w:r>
      <w:r>
        <w:rPr>
          <w:rStyle w:val="SpecialCharTok"/>
        </w:rPr>
        <w:t xml:space="preserve">+</w:t>
      </w:r>
      <w:r>
        <w:br/>
      </w:r>
      <w:r>
        <w:rPr>
          <w:rStyle w:val="NormalTok"/>
        </w:rPr>
        <w:t xml:space="preserve">    </w:t>
      </w:r>
      <w:r>
        <w:rPr>
          <w:rStyle w:val="FunctionTok"/>
        </w:rPr>
        <w:t xml:space="preserve">geom_density_ridges_gradient</w:t>
      </w:r>
      <w:r>
        <w:rPr>
          <w:rStyle w:val="NormalTok"/>
        </w:rPr>
        <w:t xml:space="preserve">(</w:t>
      </w:r>
      <w:r>
        <w:rPr>
          <w:rStyle w:val="AttributeTok"/>
        </w:rPr>
        <w:t xml:space="preserve">scale =</w:t>
      </w:r>
      <w:r>
        <w:rPr>
          <w:rStyle w:val="NormalTok"/>
        </w:rPr>
        <w:t xml:space="preserve"> </w:t>
      </w:r>
      <w:r>
        <w:rPr>
          <w:rStyle w:val="DecValTok"/>
        </w:rPr>
        <w:t xml:space="preserve">3</w:t>
      </w:r>
      <w:r>
        <w:rPr>
          <w:rStyle w:val="NormalTok"/>
        </w:rPr>
        <w:t xml:space="preserve">, </w:t>
      </w:r>
      <w:r>
        <w:rPr>
          <w:rStyle w:val="AttributeTok"/>
        </w:rPr>
        <w:t xml:space="preserve">rel_min_height =</w:t>
      </w:r>
      <w:r>
        <w:rPr>
          <w:rStyle w:val="NormalTok"/>
        </w:rPr>
        <w:t xml:space="preserve"> </w:t>
      </w:r>
      <w:r>
        <w:rPr>
          <w:rStyle w:val="FloatTok"/>
        </w:rPr>
        <w:t xml:space="preserve">0.01</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name =</w:t>
      </w:r>
      <w:r>
        <w:rPr>
          <w:rStyle w:val="NormalTok"/>
        </w:rPr>
        <w:t xml:space="preserve"> </w:t>
      </w:r>
      <w:r>
        <w:rPr>
          <w:rStyle w:val="StringTok"/>
        </w:rPr>
        <w:t xml:space="preserve">"Temp. [F]"</w:t>
      </w:r>
      <w:r>
        <w:rPr>
          <w:rStyle w:val="NormalTok"/>
        </w:rPr>
        <w:t xml:space="preserve">, </w:t>
      </w:r>
      <w:r>
        <w:rPr>
          <w:rStyle w:val="AttributeTok"/>
        </w:rPr>
        <w:t xml:space="preserve">option =</w:t>
      </w:r>
      <w:r>
        <w:rPr>
          <w:rStyle w:val="NormalTok"/>
        </w:rPr>
        <w:t xml:space="preserve"> </w:t>
      </w:r>
      <w:r>
        <w:rPr>
          <w:rStyle w:val="StringTok"/>
        </w:rPr>
        <w:t xml:space="preserve">"C"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'Temperatures in Lincoln NE in 2016'</w:t>
      </w:r>
      <w:r>
        <w:rPr>
          <w:rStyle w:val="NormalTok"/>
        </w:rPr>
        <w:t xml:space="preserve">)</w:t>
      </w:r>
    </w:p>
    <w:p>
      <w:pPr>
        <w:pStyle w:val="SourceCode"/>
      </w:pPr>
      <w:r>
        <w:rPr>
          <w:rStyle w:val="VerbatimChar"/>
        </w:rPr>
        <w:t xml:space="preserve">Picking joint bandwidth of 3.37</w:t>
      </w:r>
    </w:p>
    <w:p>
      <w:pPr>
        <w:pStyle w:val="FirstParagraph"/>
      </w:pPr>
      <w:r>
        <w:drawing>
          <wp:inline>
            <wp:extent cx="4620126" cy="3696101"/>
            <wp:effectExtent b="0" l="0" r="0" t="0"/>
            <wp:docPr descr="" title="" id="41" name="Picture"/>
            <a:graphic>
              <a:graphicData uri="http://schemas.openxmlformats.org/drawingml/2006/picture">
                <pic:pic>
                  <pic:nvPicPr>
                    <pic:cNvPr descr="addition_files/figure-docx/unnamed-chunk-4-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Quarto [A supprimer]</dc:title>
  <dc:creator>Marc Thévenin</dc:creator>
  <dc:language>fr</dc:language>
  <cp:keywords/>
  <dcterms:created xsi:type="dcterms:W3CDTF">2023-06-23T08:14:59Z</dcterms:created>
  <dcterms:modified xsi:type="dcterms:W3CDTF">2023-06-23T08:14:59Z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ack-to-top-navigation">
    <vt:lpwstr>False</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2023-04-24</vt:lpwstr>
  </property>
  <property fmtid="{D5CDD505-2E9C-101B-9397-08002B2CF9AE}" pid="10" name="header-includes">
    <vt:lpwstr/>
  </property>
  <property fmtid="{D5CDD505-2E9C-101B-9397-08002B2CF9AE}" pid="11" name="image">
    <vt:lpwstr>https://www.jumpingrivers.com/blog/quarto-rmarkdown-comparison/featured.png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page-footer">
    <vt:lpwstr/>
  </property>
  <property fmtid="{D5CDD505-2E9C-101B-9397-08002B2CF9AE}" pid="17" name="page-layout">
    <vt:lpwstr>article</vt:lpwstr>
  </property>
  <property fmtid="{D5CDD505-2E9C-101B-9397-08002B2CF9AE}" pid="18" name="page-navigation">
    <vt:lpwstr>True</vt:lpwstr>
  </property>
  <property fmtid="{D5CDD505-2E9C-101B-9397-08002B2CF9AE}" pid="19" name="sidebar">
    <vt:lpwstr>False</vt:lpwstr>
  </property>
  <property fmtid="{D5CDD505-2E9C-101B-9397-08002B2CF9AE}" pid="20" name="subtitle">
    <vt:lpwstr>Difficulté   </vt:lpwstr>
  </property>
  <property fmtid="{D5CDD505-2E9C-101B-9397-08002B2CF9AE}" pid="21" name="title-block-banner">
    <vt:lpwstr>True</vt:lpwstr>
  </property>
  <property fmtid="{D5CDD505-2E9C-101B-9397-08002B2CF9AE}" pid="22" name="toc-title">
    <vt:lpwstr>Table des matières</vt:lpwstr>
  </property>
</Properties>
</file>