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Récupérer</w:t>
      </w:r>
      <w:r>
        <w:t xml:space="preserve"> </w:t>
      </w:r>
      <w:r>
        <w:t xml:space="preserve">et</w:t>
      </w:r>
      <w:r>
        <w:t xml:space="preserve"> </w:t>
      </w:r>
      <w:r>
        <w:t xml:space="preserve">exécuter</w:t>
      </w:r>
      <w:r>
        <w:t xml:space="preserve"> </w:t>
      </w:r>
      <w:r>
        <w:t xml:space="preserve">le</w:t>
      </w:r>
      <w:r>
        <w:t xml:space="preserve"> </w:t>
      </w:r>
      <w:r>
        <w:t xml:space="preserve">test</w:t>
      </w:r>
      <w:r>
        <w:t xml:space="preserve"> </w:t>
      </w:r>
      <w:r>
        <w:t xml:space="preserve">OLS</w:t>
      </w:r>
      <w:r>
        <w:t xml:space="preserve"> </w:t>
      </w:r>
      <w:r>
        <w:t xml:space="preserve">de</w:t>
      </w:r>
      <w:r>
        <w:t xml:space="preserve"> </w:t>
      </w:r>
      <w:r>
        <w:t xml:space="preserve">Grambsch-Therneau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2023-06-13</w:t>
      </w:r>
    </w:p>
    <w:p>
      <w:pPr>
        <w:pStyle w:val="Abstract"/>
      </w:pPr>
      <w:r>
        <w:t xml:space="preserve">Comment</w:t>
      </w:r>
      <w:r>
        <w:t xml:space="preserve"> </w:t>
      </w:r>
      <w:r>
        <w:t xml:space="preserve">récupérer</w:t>
      </w:r>
      <w:r>
        <w:t xml:space="preserve"> </w:t>
      </w:r>
      <w:r>
        <w:t xml:space="preserve">la</w:t>
      </w:r>
      <w:r>
        <w:t xml:space="preserve"> </w:t>
      </w:r>
      <w:r>
        <w:t xml:space="preserve">variante</w:t>
      </w:r>
      <w:r>
        <w:t xml:space="preserve"> </w:t>
      </w:r>
      <w:r>
        <w:t xml:space="preserve">du</w:t>
      </w:r>
      <w:r>
        <w:t xml:space="preserve"> </w:t>
      </w:r>
      <w:r>
        <w:t xml:space="preserve">test</w:t>
      </w:r>
      <w:r>
        <w:t xml:space="preserve"> </w:t>
      </w:r>
      <w:r>
        <w:t xml:space="preserve">de</w:t>
      </w:r>
      <w:r>
        <w:t xml:space="preserve"> </w:t>
      </w:r>
      <w:r>
        <w:t xml:space="preserve">Grambsch-Therneau</w:t>
      </w:r>
      <w:r>
        <w:t xml:space="preserve"> </w:t>
      </w:r>
      <w:r>
        <w:t xml:space="preserve">implémentée</w:t>
      </w:r>
      <w:r>
        <w:t xml:space="preserve"> </w:t>
      </w:r>
      <w:r>
        <w:t xml:space="preserve">au</w:t>
      </w:r>
      <w:r>
        <w:t xml:space="preserve"> </w:t>
      </w:r>
      <w:r>
        <w:t xml:space="preserve">package</w:t>
      </w:r>
      <w:r>
        <w:t xml:space="preserve"> </w:t>
      </w:r>
      <w:r>
        <w:rPr>
          <w:rStyle w:val="VerbatimChar"/>
        </w:rPr>
        <w:t xml:space="preserve">survival</w:t>
      </w:r>
      <w:r>
        <w:t xml:space="preserve"> </w:t>
      </w:r>
      <w:r>
        <w:t xml:space="preserve">avant</w:t>
      </w:r>
      <w:r>
        <w:t xml:space="preserve"> </w:t>
      </w:r>
      <w:r>
        <w:t xml:space="preserve">son</w:t>
      </w:r>
      <w:r>
        <w:t xml:space="preserve"> </w:t>
      </w:r>
      <w:r>
        <w:t xml:space="preserve">passage</w:t>
      </w:r>
      <w:r>
        <w:t xml:space="preserve"> </w:t>
      </w:r>
      <w:r>
        <w:t xml:space="preserve">à</w:t>
      </w:r>
      <w:r>
        <w:t xml:space="preserve"> </w:t>
      </w:r>
      <w:r>
        <w:t xml:space="preserve">la</w:t>
      </w:r>
      <w:r>
        <w:t xml:space="preserve"> </w:t>
      </w:r>
      <w:r>
        <w:t xml:space="preserve">v3.</w:t>
      </w:r>
      <w:r>
        <w:t xml:space="preserve"> </w:t>
      </w:r>
      <w:r>
        <w:t xml:space="preserve">Permet</w:t>
      </w:r>
      <w:r>
        <w:t xml:space="preserve"> </w:t>
      </w:r>
      <w:r>
        <w:t xml:space="preserve">de</w:t>
      </w:r>
      <w:r>
        <w:t xml:space="preserve"> </w:t>
      </w:r>
      <w:r>
        <w:t xml:space="preserve">s’assurer</w:t>
      </w:r>
      <w:r>
        <w:t xml:space="preserve"> </w:t>
      </w:r>
      <w:r>
        <w:t xml:space="preserve">une</w:t>
      </w:r>
      <w:r>
        <w:t xml:space="preserve"> </w:t>
      </w:r>
      <w:r>
        <w:t xml:space="preserve">reproductibilité</w:t>
      </w:r>
      <w:r>
        <w:t xml:space="preserve"> </w:t>
      </w:r>
      <w:r>
        <w:t xml:space="preserve">avec</w:t>
      </w:r>
      <w:r>
        <w:t xml:space="preserve"> </w:t>
      </w:r>
      <w:r>
        <w:t xml:space="preserve">les</w:t>
      </w:r>
      <w:r>
        <w:t xml:space="preserve"> </w:t>
      </w:r>
      <w:r>
        <w:t xml:space="preserve">autres</w:t>
      </w:r>
      <w:r>
        <w:t xml:space="preserve"> </w:t>
      </w:r>
      <w:r>
        <w:t xml:space="preserve">applications</w:t>
      </w:r>
      <w:r>
        <w:t xml:space="preserve"> </w:t>
      </w:r>
      <w:r>
        <w:t xml:space="preserve">statistiques</w:t>
      </w:r>
      <w:r>
        <w:t xml:space="preserve"> </w:t>
      </w:r>
      <w:r>
        <w:t xml:space="preserve">(Stata,</w:t>
      </w:r>
      <w:r>
        <w:t xml:space="preserve"> </w:t>
      </w:r>
      <w:r>
        <w:t xml:space="preserve">Sas,</w:t>
      </w:r>
      <w:r>
        <w:t xml:space="preserve"> </w:t>
      </w:r>
      <w:r>
        <w:t xml:space="preserve">Python)</w:t>
      </w:r>
      <w:r>
        <w:t xml:space="preserve"> </w:t>
      </w:r>
      <w:r>
        <w:t xml:space="preserve">avec</w:t>
      </w:r>
      <w:r>
        <w:t xml:space="preserve"> </w:t>
      </w:r>
      <w:r>
        <w:t xml:space="preserve">des</w:t>
      </w:r>
      <w:r>
        <w:t xml:space="preserve"> </w:t>
      </w:r>
      <w:r>
        <w:t xml:space="preserve">durées</w:t>
      </w:r>
      <w:r>
        <w:t xml:space="preserve"> </w:t>
      </w:r>
      <w:r>
        <w:t xml:space="preserve">discrètes.</w:t>
      </w:r>
    </w:p>
    <w:p>
      <w:pPr>
        <w:pStyle w:val="FirstParagraph"/>
      </w:pPr>
      <w:r>
        <w:rPr>
          <w:bCs/>
          <w:b/>
        </w:rPr>
        <w:t xml:space="preserve">Champ d’application</w:t>
      </w:r>
    </w:p>
    <w:p>
      <w:pPr>
        <w:numPr>
          <w:ilvl w:val="0"/>
          <w:numId w:val="1001"/>
        </w:numPr>
        <w:pStyle w:val="Compact"/>
      </w:pPr>
      <w:r>
        <w:t xml:space="preserve">Modèle de Cox (analyse des durées)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Diagnostic sur l’hypothèse de proportionalité des risques</w:t>
      </w:r>
    </w:p>
    <w:p>
      <w:pPr>
        <w:pStyle w:val="FirstParagraph"/>
      </w:pPr>
      <w:r>
        <w:rPr>
          <w:bCs/>
          <w:b/>
        </w:rPr>
        <w:t xml:space="preserve">Problématique</w:t>
      </w:r>
    </w:p>
    <w:p>
      <w:pPr>
        <w:numPr>
          <w:ilvl w:val="0"/>
          <w:numId w:val="1002"/>
        </w:numPr>
        <w:pStyle w:val="Compact"/>
      </w:pPr>
      <w:r>
        <w:t xml:space="preserve">Depuis le passage à la version 3 du package</w:t>
      </w:r>
      <w:r>
        <w:t xml:space="preserve"> </w:t>
      </w:r>
      <w:r>
        <w:rPr>
          <w:rStyle w:val="VerbatimChar"/>
          <w:bCs/>
          <w:b/>
        </w:rPr>
        <w:t xml:space="preserve">survival</w:t>
      </w:r>
      <w:r>
        <w:t xml:space="preserve"> </w:t>
      </w:r>
      <w:r>
        <w:t xml:space="preserve">en 2020, le test OLS sur les résidus de Schoenfeld a été supprimé et remplacé par le test GLS. Le second est la version originelle du test proposé en 1994 par P.Grambsch et T.Therneau.</w:t>
      </w:r>
    </w:p>
    <w:p>
      <w:pPr>
        <w:numPr>
          <w:ilvl w:val="0"/>
          <w:numId w:val="1002"/>
        </w:numPr>
        <w:pStyle w:val="Compact"/>
      </w:pPr>
      <w:r>
        <w:t xml:space="preserve">En présence d’évènements simultanés (durée discrète), les résultats affichés par les deux versions peuvent fortement variés.</w:t>
      </w:r>
    </w:p>
    <w:p>
      <w:pPr>
        <w:numPr>
          <w:ilvl w:val="0"/>
          <w:numId w:val="1002"/>
        </w:numPr>
        <w:pStyle w:val="Compact"/>
      </w:pPr>
      <w:r>
        <w:t xml:space="preserve">Lorsqu’on utilise le modèle de Cox avec des durées discrètes, situation très courante dans les sciences sociales, je préconise l’utilisation de la version dite</w:t>
      </w:r>
      <w:r>
        <w:t xml:space="preserve"> </w:t>
      </w:r>
      <w:r>
        <w:rPr>
          <w:iCs/>
          <w:i/>
        </w:rPr>
        <w:t xml:space="preserve">simplifiée</w:t>
      </w:r>
      <w:r>
        <w:t xml:space="preserve"> </w:t>
      </w:r>
      <w:r>
        <w:t xml:space="preserve">(OLS).</w:t>
      </w:r>
    </w:p>
    <w:p>
      <w:pPr>
        <w:numPr>
          <w:ilvl w:val="1"/>
          <w:numId w:val="1003"/>
        </w:numPr>
        <w:pStyle w:val="Compact"/>
      </w:pPr>
      <w:r>
        <w:t xml:space="preserve">Le modèle de Cox est une méthode à durée continue, les conditions de validité du test GLS ne sont établies avec des évènements mesurés simultanément.</w:t>
      </w:r>
    </w:p>
    <w:p>
      <w:pPr>
        <w:numPr>
          <w:ilvl w:val="1"/>
          <w:numId w:val="1003"/>
        </w:numPr>
        <w:pStyle w:val="Compact"/>
      </w:pPr>
      <w:r>
        <w:t xml:space="preserve">Contrainte de reproductibilité:</w:t>
      </w:r>
      <w:r>
        <w:t xml:space="preserve"> </w:t>
      </w:r>
      <w:r>
        <w:rPr>
          <w:bCs/>
          <w:b/>
        </w:rPr>
        <w:t xml:space="preserve">Stata</w:t>
      </w:r>
      <w:r>
        <w:t xml:space="preserve">,</w:t>
      </w:r>
      <w:r>
        <w:t xml:space="preserve"> </w:t>
      </w:r>
      <w:r>
        <w:rPr>
          <w:bCs/>
          <w:b/>
        </w:rPr>
        <w:t xml:space="preserve">Sas</w:t>
      </w:r>
      <w:r>
        <w:t xml:space="preserve">,</w:t>
      </w:r>
      <w:r>
        <w:t xml:space="preserve"> </w:t>
      </w:r>
      <w:r>
        <w:rPr>
          <w:bCs/>
          <w:b/>
        </w:rPr>
        <w:t xml:space="preserve">Python</w:t>
      </w:r>
      <w:r>
        <w:t xml:space="preserve"> </w:t>
      </w:r>
      <w:r>
        <w:t xml:space="preserve">(</w:t>
      </w:r>
      <w:r>
        <w:rPr>
          <w:rStyle w:val="VerbatimChar"/>
          <w:bCs/>
          <w:b/>
        </w:rPr>
        <w:t xml:space="preserve">lifelines</w:t>
      </w:r>
      <w:r>
        <w:t xml:space="preserve">,</w:t>
      </w:r>
      <w:r>
        <w:t xml:space="preserve"> </w:t>
      </w:r>
      <w:r>
        <w:rPr>
          <w:rStyle w:val="VerbatimChar"/>
          <w:bCs/>
          <w:b/>
        </w:rPr>
        <w:t xml:space="preserve">statsmodels</w:t>
      </w:r>
      <w:r>
        <w:t xml:space="preserve">)</w:t>
      </w:r>
    </w:p>
    <w:p>
      <w:pPr>
        <w:pStyle w:val="FirstParagraph"/>
      </w:pPr>
      <w:r>
        <w:rPr>
          <w:bCs/>
          <w:b/>
        </w:rPr>
        <w:t xml:space="preserve">Récupération et exécution du test OLS</w:t>
      </w:r>
    </w:p>
    <w:p>
      <w:pPr>
        <w:numPr>
          <w:ilvl w:val="0"/>
          <w:numId w:val="1004"/>
        </w:numPr>
        <w:pStyle w:val="Compact"/>
      </w:pPr>
      <w:r>
        <w:t xml:space="preserve">J’ai récupéré le script de la fonction dans les archives du CRAN. Elle a simplement été renommée</w:t>
      </w:r>
      <w:r>
        <w:t xml:space="preserve"> </w:t>
      </w:r>
      <w:r>
        <w:rPr>
          <w:rStyle w:val="VerbatimChar"/>
          <w:bCs/>
          <w:b/>
        </w:rPr>
        <w:t xml:space="preserve">cox.zphold()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Pour charger la fonction, il suffit d’appliquer</w:t>
      </w:r>
      <w:r>
        <w:t xml:space="preserve"> </w:t>
      </w:r>
      <w:r>
        <w:rPr>
          <w:rStyle w:val="VerbatimChar"/>
          <w:bCs/>
          <w:b/>
        </w:rPr>
        <w:t xml:space="preserve">source()</w:t>
      </w:r>
      <w:r>
        <w:t xml:space="preserve"> </w:t>
      </w:r>
      <w:r>
        <w:t xml:space="preserve">qui joue le même rôle que</w:t>
      </w:r>
      <w:r>
        <w:t xml:space="preserve"> </w:t>
      </w:r>
      <w:r>
        <w:rPr>
          <w:rStyle w:val="VerbatimChar"/>
          <w:bCs/>
          <w:b/>
        </w:rPr>
        <w:t xml:space="preserve">library()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Directement sur le dépôt github:</w:t>
      </w:r>
    </w:p>
    <w:p>
      <w:pPr>
        <w:numPr>
          <w:ilvl w:val="2"/>
          <w:numId w:val="1006"/>
        </w:numPr>
        <w:pStyle w:val="Compact"/>
      </w:pPr>
      <w:r>
        <w:rPr>
          <w:rStyle w:val="VerbatimChar"/>
          <w:bCs/>
          <w:b/>
        </w:rPr>
        <w:t xml:space="preserve">source("https://raw.githubusercontent.com/mthevenin/analyse_duree/main/cox.zphold/cox.zphold.R")</w:t>
      </w:r>
    </w:p>
    <w:p>
      <w:pPr>
        <w:numPr>
          <w:ilvl w:val="1"/>
          <w:numId w:val="1005"/>
        </w:numPr>
        <w:pStyle w:val="Compact"/>
      </w:pPr>
      <w:r>
        <w:t xml:space="preserve">Si le script a été enregistré en local:</w:t>
      </w:r>
    </w:p>
    <w:p>
      <w:pPr>
        <w:numPr>
          <w:ilvl w:val="2"/>
          <w:numId w:val="1007"/>
        </w:numPr>
        <w:pStyle w:val="Compact"/>
      </w:pPr>
      <w:r>
        <w:rPr>
          <w:rStyle w:val="VerbatimChar"/>
          <w:bCs/>
          <w:b/>
        </w:rPr>
        <w:t xml:space="preserve">source("local_path/cox.zphold.R")</w:t>
      </w:r>
    </w:p>
    <w:p>
      <w:pPr>
        <w:pStyle w:val="FirstParagraph"/>
      </w:pPr>
      <w:r>
        <w:rPr>
          <w:bCs/>
          <w:b/>
        </w:rPr>
        <w:t xml:space="preserve">Exemple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"https://raw.githubusercontent.com/mthevenin/analyse_duree/master/bases/transplantation.csv"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NormalTok"/>
        </w:rPr>
        <w:t xml:space="preserve">coxfit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(stime, died)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surgery,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trans)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"https://raw.githubusercontent.com/mthevenin/analyse_duree/main/cox.zphold/cox.zphold.R"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cox.zphold</w:t>
      </w:r>
      <w:r>
        <w:rPr>
          <w:rStyle w:val="NormalTok"/>
        </w:rPr>
        <w:t xml:space="preserve">(coxfit)</w:t>
      </w:r>
    </w:p>
    <w:p>
      <w:pPr>
        <w:pStyle w:val="SourceCode"/>
      </w:pPr>
      <w:r>
        <w:rPr>
          <w:rStyle w:val="VerbatimChar"/>
        </w:rPr>
        <w:t xml:space="preserve">          rho chisq      p</w:t>
      </w:r>
      <w:r>
        <w:br/>
      </w:r>
      <w:r>
        <w:rPr>
          <w:rStyle w:val="VerbatimChar"/>
        </w:rPr>
        <w:t xml:space="preserve">year    0.159  1.96 0.1620</w:t>
      </w:r>
      <w:r>
        <w:br/>
      </w:r>
      <w:r>
        <w:rPr>
          <w:rStyle w:val="VerbatimChar"/>
        </w:rPr>
        <w:t xml:space="preserve">age     0.109  1.15 0.2845</w:t>
      </w:r>
      <w:r>
        <w:br/>
      </w:r>
      <w:r>
        <w:rPr>
          <w:rStyle w:val="VerbatimChar"/>
        </w:rPr>
        <w:t xml:space="preserve">surgery 0.251  3.96 0.0465</w:t>
      </w:r>
      <w:r>
        <w:br/>
      </w:r>
      <w:r>
        <w:rPr>
          <w:rStyle w:val="VerbatimChar"/>
        </w:rPr>
        <w:t xml:space="preserve">GLOBAL     NA  7.99 0.0462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Récupérer et exécuter le test OLS de Grambsch-Therneau</dc:title>
  <dc:creator>Marc Thévenin</dc:creator>
  <dc:language>fr</dc:language>
  <cp:keywords/>
  <dcterms:created xsi:type="dcterms:W3CDTF">2023-06-16T08:45:28Z</dcterms:created>
  <dcterms:modified xsi:type="dcterms:W3CDTF">2023-06-16T08:45:28Z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Comment récupérer la variante du test de Grambsch-Therneau implémentée au package survival avant son passage à la v3. Permet de s’assurer une reproductibilité avec les autres applications statistiques (Stata, Sas, Python) avec des durées discrètes.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date">
    <vt:lpwstr>2023-06-13</vt:lpwstr>
  </property>
  <property fmtid="{D5CDD505-2E9C-101B-9397-08002B2CF9AE}" pid="11" name="header-includes">
    <vt:lpwstr/>
  </property>
  <property fmtid="{D5CDD505-2E9C-101B-9397-08002B2CF9AE}" pid="12" name="image">
    <vt:lpwstr>https://m.media-amazon.com/images/P/1441931619.01._SCLZZZZZZZ_SX500_.jpg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page-footer">
    <vt:lpwstr/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idebar">
    <vt:lpwstr>False</vt:lpwstr>
  </property>
  <property fmtid="{D5CDD505-2E9C-101B-9397-08002B2CF9AE}" pid="21" name="title-block-banner">
    <vt:lpwstr>True</vt:lpwstr>
  </property>
  <property fmtid="{D5CDD505-2E9C-101B-9397-08002B2CF9AE}" pid="22" name="toc-title">
    <vt:lpwstr>Table des matières</vt:lpwstr>
  </property>
</Properties>
</file>