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ou</w:t>
      </w:r>
      <w:r>
        <w:t xml:space="preserve"> </w:t>
      </w:r>
      <w:r>
        <w:t xml:space="preserve">case_when()</w:t>
      </w:r>
    </w:p>
    <w:p>
      <w:pPr>
        <w:pStyle w:val="Author"/>
      </w:pPr>
      <w:r>
        <w:t xml:space="preserve">Arno</w:t>
      </w:r>
      <w:r>
        <w:t xml:space="preserve"> </w:t>
      </w:r>
      <w:r>
        <w:t xml:space="preserve">Muller</w:t>
      </w:r>
    </w:p>
    <w:p>
      <w:pPr>
        <w:pStyle w:val="Date"/>
      </w:pPr>
      <w:r>
        <w:t xml:space="preserve">2023-06-21</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FirstParagraph"/>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 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ou case_when()</dc:title>
  <dc:creator>Arno Muller</dc:creator>
  <dc:language>fr</dc:language>
  <cp:keywords/>
  <dcterms:created xsi:type="dcterms:W3CDTF">2023-06-27T08:11:17Z</dcterms:created>
  <dcterms:modified xsi:type="dcterms:W3CDTF">2023-06-27T08:11:17Z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