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Afficher</w:t>
      </w:r>
      <w:r>
        <w:t xml:space="preserve"> </w:t>
      </w:r>
      <w:r>
        <w:t xml:space="preserve">des</w:t>
      </w:r>
      <w:r>
        <w:t xml:space="preserve"> </w:t>
      </w:r>
      <w:r>
        <w:t xml:space="preserve">outputs</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jtools</w:t>
            </w:r>
          </w:p>
        </w:tc>
        <w:tc>
          <w:tcPr/>
          <w:p>
            <w:pPr>
              <w:pStyle w:val="Compact"/>
              <w:jc w:val="left"/>
            </w:pPr>
            <w:r>
              <w:rPr>
                <w:rStyle w:val="VerbatimChar"/>
              </w:rPr>
              <w:t xml:space="preserve">summ</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lm</w:t>
            </w:r>
            <w:r>
              <w:t xml:space="preserve"> </w:t>
            </w:r>
            <w:r>
              <w:rPr>
                <w:rStyle w:val="VerbatimChar"/>
              </w:rPr>
              <w:t xml:space="preserve">glm</w:t>
            </w:r>
          </w:p>
        </w:tc>
      </w:tr>
    </w:tbl>
    <w:p>
      <w:pPr>
        <w:pStyle w:val="BodyText"/>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bpsystol</w:t>
            </w:r>
          </w:p>
        </w:tc>
      </w:tr>
      <w:tr>
        <w:tc>
          <w:tcPr/>
          <w:p>
            <w:pPr>
              <w:pStyle w:val="Compact"/>
              <w:jc w:val="left"/>
            </w:pPr>
            <w:r>
              <w:t xml:space="preserve">Type</w:t>
            </w:r>
          </w:p>
        </w:tc>
        <w:tc>
          <w:tcPr/>
          <w:p>
            <w:pPr>
              <w:pStyle w:val="Compact"/>
              <w:jc w:val="right"/>
            </w:pPr>
            <w:r>
              <w:t xml:space="preserve">OLS linear regression</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F(6,10344)</w:t>
            </w:r>
          </w:p>
        </w:tc>
        <w:tc>
          <w:tcPr/>
          <w:p>
            <w:pPr>
              <w:pStyle w:val="Compact"/>
              <w:jc w:val="right"/>
            </w:pPr>
            <w:r>
              <w:t xml:space="preserve">552.2494</w:t>
            </w:r>
          </w:p>
        </w:tc>
      </w:tr>
      <w:tr>
        <w:tc>
          <w:tcPr/>
          <w:p>
            <w:pPr>
              <w:pStyle w:val="Compact"/>
              <w:jc w:val="left"/>
            </w:pPr>
            <w:r>
              <w:t xml:space="preserve">R²</w:t>
            </w:r>
          </w:p>
        </w:tc>
        <w:tc>
          <w:tcPr/>
          <w:p>
            <w:pPr>
              <w:pStyle w:val="Compact"/>
              <w:jc w:val="right"/>
            </w:pPr>
            <w:r>
              <w:t xml:space="preserve">0.2426</w:t>
            </w:r>
          </w:p>
        </w:tc>
      </w:tr>
      <w:tr>
        <w:tc>
          <w:tcPr/>
          <w:p>
            <w:pPr>
              <w:pStyle w:val="Compact"/>
              <w:jc w:val="left"/>
            </w:pPr>
            <w:r>
              <w:t xml:space="preserve">Adj. R²</w:t>
            </w:r>
          </w:p>
        </w:tc>
        <w:tc>
          <w:tcPr/>
          <w:p>
            <w:pPr>
              <w:pStyle w:val="Compact"/>
              <w:jc w:val="right"/>
            </w:pPr>
            <w:r>
              <w:t xml:space="preserve">0.2422</w:t>
            </w:r>
          </w:p>
        </w:tc>
      </w:tr>
    </w:tbl>
    <w:p>
      <w:pPr>
        <w:pStyle w:val="BodyText"/>
      </w:pPr>
      <w:r>
        <w:t xml:space="preserve"> </w:t>
      </w:r>
    </w:p>
    <w:tbl>
      <w:tblPr>
        <w:tblStyle w:val="Table"/>
        <w:tblW w:type="auto" w:w="0"/>
        <w:tblLook w:firstRow="1" w:lastRow="1"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w:t>
            </w:r>
          </w:p>
        </w:tc>
        <w:tc>
          <w:tcPr/>
          <w:p>
            <w:pPr>
              <w:pStyle w:val="Compact"/>
              <w:jc w:val="right"/>
            </w:pPr>
            <w:r>
              <w:t xml:space="preserve">S.E.</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102.2001</w:t>
            </w:r>
          </w:p>
        </w:tc>
        <w:tc>
          <w:tcPr/>
          <w:p>
            <w:pPr>
              <w:pStyle w:val="Compact"/>
              <w:jc w:val="right"/>
            </w:pPr>
            <w:r>
              <w:t xml:space="preserve">0.8979</w:t>
            </w:r>
          </w:p>
        </w:tc>
        <w:tc>
          <w:tcPr/>
          <w:p>
            <w:pPr>
              <w:pStyle w:val="Compact"/>
              <w:jc w:val="right"/>
            </w:pPr>
            <w:r>
              <w:t xml:space="preserve">113.8168</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0.6563</w:t>
            </w:r>
          </w:p>
        </w:tc>
        <w:tc>
          <w:tcPr/>
          <w:p>
            <w:pPr>
              <w:pStyle w:val="Compact"/>
              <w:jc w:val="right"/>
            </w:pPr>
            <w:r>
              <w:t xml:space="preserve">0.0116</w:t>
            </w:r>
          </w:p>
        </w:tc>
        <w:tc>
          <w:tcPr/>
          <w:p>
            <w:pPr>
              <w:pStyle w:val="Compact"/>
              <w:jc w:val="right"/>
            </w:pPr>
            <w:r>
              <w:t xml:space="preserve">56.5104</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4.0350</w:t>
            </w:r>
          </w:p>
        </w:tc>
        <w:tc>
          <w:tcPr/>
          <w:p>
            <w:pPr>
              <w:pStyle w:val="Compact"/>
              <w:jc w:val="right"/>
            </w:pPr>
            <w:r>
              <w:t xml:space="preserve">0.3999</w:t>
            </w:r>
          </w:p>
        </w:tc>
        <w:tc>
          <w:tcPr/>
          <w:p>
            <w:pPr>
              <w:pStyle w:val="Compact"/>
              <w:jc w:val="right"/>
            </w:pPr>
            <w:r>
              <w:t xml:space="preserve">10.0911</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-4.6494</w:t>
            </w:r>
          </w:p>
        </w:tc>
        <w:tc>
          <w:tcPr/>
          <w:p>
            <w:pPr>
              <w:pStyle w:val="Compact"/>
              <w:jc w:val="right"/>
            </w:pPr>
            <w:r>
              <w:t xml:space="preserve">0.6640</w:t>
            </w:r>
          </w:p>
        </w:tc>
        <w:tc>
          <w:tcPr/>
          <w:p>
            <w:pPr>
              <w:pStyle w:val="Compact"/>
              <w:jc w:val="right"/>
            </w:pPr>
            <w:r>
              <w:t xml:space="preserve">-7.0019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0.2570</w:t>
            </w:r>
          </w:p>
        </w:tc>
        <w:tc>
          <w:tcPr/>
          <w:p>
            <w:pPr>
              <w:pStyle w:val="Compact"/>
              <w:jc w:val="right"/>
            </w:pPr>
            <w:r>
              <w:t xml:space="preserve">0.5892</w:t>
            </w:r>
          </w:p>
        </w:tc>
        <w:tc>
          <w:tcPr/>
          <w:p>
            <w:pPr>
              <w:pStyle w:val="Compact"/>
              <w:jc w:val="right"/>
            </w:pPr>
            <w:r>
              <w:t xml:space="preserve">0.4362</w:t>
            </w:r>
          </w:p>
        </w:tc>
        <w:tc>
          <w:tcPr/>
          <w:p>
            <w:pPr>
              <w:pStyle w:val="Compact"/>
              <w:jc w:val="right"/>
            </w:pPr>
            <w:r>
              <w:t xml:space="preserve">0.6627</w:t>
            </w:r>
          </w:p>
        </w:tc>
      </w:tr>
      <w:tr>
        <w:tc>
          <w:tcPr/>
          <w:p>
            <w:pPr>
              <w:pStyle w:val="Compact"/>
              <w:jc w:val="left"/>
            </w:pPr>
            <w:r>
              <w:t xml:space="preserve">I(region)S</w:t>
            </w:r>
          </w:p>
        </w:tc>
        <w:tc>
          <w:tcPr/>
          <w:p>
            <w:pPr>
              <w:pStyle w:val="Compact"/>
              <w:jc w:val="right"/>
            </w:pPr>
            <w:r>
              <w:t xml:space="preserve">-0.7920</w:t>
            </w:r>
          </w:p>
        </w:tc>
        <w:tc>
          <w:tcPr/>
          <w:p>
            <w:pPr>
              <w:pStyle w:val="Compact"/>
              <w:jc w:val="right"/>
            </w:pPr>
            <w:r>
              <w:t xml:space="preserve">0.5450</w:t>
            </w:r>
          </w:p>
        </w:tc>
        <w:tc>
          <w:tcPr/>
          <w:p>
            <w:pPr>
              <w:pStyle w:val="Compact"/>
              <w:jc w:val="right"/>
            </w:pPr>
            <w:r>
              <w:t xml:space="preserve">-1.4532</w:t>
            </w:r>
          </w:p>
        </w:tc>
        <w:tc>
          <w:tcPr/>
          <w:p>
            <w:pPr>
              <w:pStyle w:val="Compact"/>
              <w:jc w:val="right"/>
            </w:pPr>
            <w:r>
              <w:t xml:space="preserve">0.1462</w:t>
            </w:r>
          </w:p>
        </w:tc>
      </w:tr>
      <w:tr>
        <w:tc>
          <w:tcPr/>
          <w:p>
            <w:pPr>
              <w:pStyle w:val="Compact"/>
              <w:jc w:val="left"/>
            </w:pPr>
            <w:r>
              <w:t xml:space="preserve">I(region)W</w:t>
            </w:r>
          </w:p>
        </w:tc>
        <w:tc>
          <w:tcPr/>
          <w:p>
            <w:pPr>
              <w:pStyle w:val="Compact"/>
              <w:jc w:val="right"/>
            </w:pPr>
            <w:r>
              <w:t xml:space="preserve">-0.5221</w:t>
            </w:r>
          </w:p>
        </w:tc>
        <w:tc>
          <w:tcPr/>
          <w:p>
            <w:pPr>
              <w:pStyle w:val="Compact"/>
              <w:jc w:val="right"/>
            </w:pPr>
            <w:r>
              <w:t xml:space="preserve">0.5543</w:t>
            </w:r>
          </w:p>
        </w:tc>
        <w:tc>
          <w:tcPr/>
          <w:p>
            <w:pPr>
              <w:pStyle w:val="Compact"/>
              <w:jc w:val="right"/>
            </w:pPr>
            <w:r>
              <w:t xml:space="preserve">-0.9420</w:t>
            </w:r>
          </w:p>
        </w:tc>
        <w:tc>
          <w:tcPr/>
          <w:p>
            <w:pPr>
              <w:pStyle w:val="Compact"/>
              <w:jc w:val="right"/>
            </w:pPr>
            <w:r>
              <w:t xml:space="preserve">0.3462</w:t>
            </w:r>
          </w:p>
        </w:tc>
      </w:tr>
      <w:tr>
        <w:tc>
          <w:tcPr/>
          <w:p>
            <w:pPr>
              <w:pStyle w:val="Compact"/>
              <w:jc w:val="left"/>
            </w:pPr>
            <w:r>
              <w:t xml:space="preserve"> </w:t>
            </w:r>
            <w:r>
              <w:t xml:space="preserve">Standard errors: OLS</w:t>
            </w:r>
          </w:p>
        </w:tc>
        <w:tc>
          <w:tcPr/>
          <w:p>
            <w:pPr>
              <w:pStyle w:val="Compact"/>
            </w:pPr>
          </w:p>
        </w:tc>
        <w:tc>
          <w:tcPr/>
          <w:p>
            <w:pPr>
              <w:pStyle w:val="Compact"/>
            </w:pPr>
          </w:p>
        </w:tc>
        <w:tc>
          <w:tcPr/>
          <w:p>
            <w:pPr>
              <w:pStyle w:val="Compact"/>
            </w:pPr>
          </w:p>
        </w:tc>
        <w:tc>
          <w:tcPr/>
          <w:p>
            <w:pPr>
              <w:pStyle w:val="Compact"/>
            </w:pPr>
          </w:p>
        </w:tc>
      </w:tr>
    </w:tbl>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χ²(6)</w:t>
            </w:r>
          </w:p>
        </w:tc>
        <w:tc>
          <w:tcPr/>
          <w:p>
            <w:pPr>
              <w:pStyle w:val="Compact"/>
              <w:jc w:val="right"/>
            </w:pPr>
            <w:r>
              <w:t xml:space="preserve">1623.1601</w:t>
            </w:r>
          </w:p>
        </w:tc>
      </w:tr>
      <w:tr>
        <w:tc>
          <w:tcPr/>
          <w:p>
            <w:pPr>
              <w:pStyle w:val="Compact"/>
              <w:jc w:val="left"/>
            </w:pPr>
            <w:r>
              <w:t xml:space="preserve">Pseudo-R² (Cragg-Uhler)</w:t>
            </w:r>
          </w:p>
        </w:tc>
        <w:tc>
          <w:tcPr/>
          <w:p>
            <w:pPr>
              <w:pStyle w:val="Compact"/>
              <w:jc w:val="right"/>
            </w:pPr>
            <w:r>
              <w:t xml:space="preserve">0.1951</w:t>
            </w:r>
          </w:p>
        </w:tc>
      </w:tr>
      <w:tr>
        <w:tc>
          <w:tcPr/>
          <w:p>
            <w:pPr>
              <w:pStyle w:val="Compact"/>
              <w:jc w:val="left"/>
            </w:pPr>
            <w:r>
              <w:t xml:space="preserve">Pseudo-R² (McFadden)</w:t>
            </w:r>
          </w:p>
        </w:tc>
        <w:tc>
          <w:tcPr/>
          <w:p>
            <w:pPr>
              <w:pStyle w:val="Compact"/>
              <w:jc w:val="right"/>
            </w:pPr>
            <w:r>
              <w:t xml:space="preserve">0.1151</w:t>
            </w:r>
          </w:p>
        </w:tc>
      </w:tr>
      <w:tr>
        <w:tc>
          <w:tcPr/>
          <w:p>
            <w:pPr>
              <w:pStyle w:val="Compact"/>
              <w:jc w:val="left"/>
            </w:pPr>
            <w:r>
              <w:t xml:space="preserve">AIC</w:t>
            </w:r>
          </w:p>
        </w:tc>
        <w:tc>
          <w:tcPr/>
          <w:p>
            <w:pPr>
              <w:pStyle w:val="Compact"/>
              <w:jc w:val="right"/>
            </w:pPr>
            <w:r>
              <w:t xml:space="preserve">12492.3709</w:t>
            </w:r>
          </w:p>
        </w:tc>
      </w:tr>
      <w:tr>
        <w:tc>
          <w:tcPr/>
          <w:p>
            <w:pPr>
              <w:pStyle w:val="Compact"/>
              <w:jc w:val="left"/>
            </w:pPr>
            <w:r>
              <w:t xml:space="preserve">BIC</w:t>
            </w:r>
          </w:p>
        </w:tc>
        <w:tc>
          <w:tcPr/>
          <w:p>
            <w:pPr>
              <w:pStyle w:val="Compact"/>
              <w:jc w:val="right"/>
            </w:pPr>
            <w:r>
              <w:t xml:space="preserve">12543.0848</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z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0.0853</w:t>
            </w:r>
          </w:p>
        </w:tc>
        <w:tc>
          <w:tcPr/>
          <w:p>
            <w:pPr>
              <w:pStyle w:val="Compact"/>
              <w:jc w:val="right"/>
            </w:pPr>
            <w:r>
              <w:t xml:space="preserve">0.0701</w:t>
            </w:r>
          </w:p>
        </w:tc>
        <w:tc>
          <w:tcPr/>
          <w:p>
            <w:pPr>
              <w:pStyle w:val="Compact"/>
              <w:jc w:val="right"/>
            </w:pPr>
            <w:r>
              <w:t xml:space="preserve">0.1038</w:t>
            </w:r>
          </w:p>
        </w:tc>
        <w:tc>
          <w:tcPr/>
          <w:p>
            <w:pPr>
              <w:pStyle w:val="Compact"/>
              <w:jc w:val="right"/>
            </w:pPr>
            <w:r>
              <w:t xml:space="preserve">-24.5720</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1.0496</w:t>
            </w:r>
          </w:p>
        </w:tc>
        <w:tc>
          <w:tcPr/>
          <w:p>
            <w:pPr>
              <w:pStyle w:val="Compact"/>
              <w:jc w:val="right"/>
            </w:pPr>
            <w:r>
              <w:t xml:space="preserve">1.0469</w:t>
            </w:r>
          </w:p>
        </w:tc>
        <w:tc>
          <w:tcPr/>
          <w:p>
            <w:pPr>
              <w:pStyle w:val="Compact"/>
              <w:jc w:val="right"/>
            </w:pPr>
            <w:r>
              <w:t xml:space="preserve">1.0524</w:t>
            </w:r>
          </w:p>
        </w:tc>
        <w:tc>
          <w:tcPr/>
          <w:p>
            <w:pPr>
              <w:pStyle w:val="Compact"/>
              <w:jc w:val="right"/>
            </w:pPr>
            <w:r>
              <w:t xml:space="preserve">36.1832</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1.5483</w:t>
            </w:r>
          </w:p>
        </w:tc>
        <w:tc>
          <w:tcPr/>
          <w:p>
            <w:pPr>
              <w:pStyle w:val="Compact"/>
              <w:jc w:val="right"/>
            </w:pPr>
            <w:r>
              <w:t xml:space="preserve">1.4223</w:t>
            </w:r>
          </w:p>
        </w:tc>
        <w:tc>
          <w:tcPr/>
          <w:p>
            <w:pPr>
              <w:pStyle w:val="Compact"/>
              <w:jc w:val="right"/>
            </w:pPr>
            <w:r>
              <w:t xml:space="preserve">1.6856</w:t>
            </w:r>
          </w:p>
        </w:tc>
        <w:tc>
          <w:tcPr/>
          <w:p>
            <w:pPr>
              <w:pStyle w:val="Compact"/>
              <w:jc w:val="right"/>
            </w:pPr>
            <w:r>
              <w:t xml:space="preserve">10.0890</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0.5860</w:t>
            </w:r>
          </w:p>
        </w:tc>
        <w:tc>
          <w:tcPr/>
          <w:p>
            <w:pPr>
              <w:pStyle w:val="Compact"/>
              <w:jc w:val="right"/>
            </w:pPr>
            <w:r>
              <w:t xml:space="preserve">0.5092</w:t>
            </w:r>
          </w:p>
        </w:tc>
        <w:tc>
          <w:tcPr/>
          <w:p>
            <w:pPr>
              <w:pStyle w:val="Compact"/>
              <w:jc w:val="right"/>
            </w:pPr>
            <w:r>
              <w:t xml:space="preserve">0.6742</w:t>
            </w:r>
          </w:p>
        </w:tc>
        <w:tc>
          <w:tcPr/>
          <w:p>
            <w:pPr>
              <w:pStyle w:val="Compact"/>
              <w:jc w:val="right"/>
            </w:pPr>
            <w:r>
              <w:t xml:space="preserve">-7.4663</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1.1655</w:t>
            </w:r>
          </w:p>
        </w:tc>
        <w:tc>
          <w:tcPr/>
          <w:p>
            <w:pPr>
              <w:pStyle w:val="Compact"/>
              <w:jc w:val="right"/>
            </w:pPr>
            <w:r>
              <w:t xml:space="preserve">1.0287</w:t>
            </w:r>
          </w:p>
        </w:tc>
        <w:tc>
          <w:tcPr/>
          <w:p>
            <w:pPr>
              <w:pStyle w:val="Compact"/>
              <w:jc w:val="right"/>
            </w:pPr>
            <w:r>
              <w:t xml:space="preserve">1.3203</w:t>
            </w:r>
          </w:p>
        </w:tc>
        <w:tc>
          <w:tcPr/>
          <w:p>
            <w:pPr>
              <w:pStyle w:val="Compact"/>
              <w:jc w:val="right"/>
            </w:pPr>
            <w:r>
              <w:t xml:space="preserve">2.4051</w:t>
            </w:r>
          </w:p>
        </w:tc>
        <w:tc>
          <w:tcPr/>
          <w:p>
            <w:pPr>
              <w:pStyle w:val="Compact"/>
              <w:jc w:val="right"/>
            </w:pPr>
            <w:r>
              <w:t xml:space="preserve">0.0162</w:t>
            </w:r>
          </w:p>
        </w:tc>
      </w:tr>
      <w:tr>
        <w:tc>
          <w:tcPr/>
          <w:p>
            <w:pPr>
              <w:pStyle w:val="Compact"/>
              <w:jc w:val="left"/>
            </w:pPr>
            <w:r>
              <w:t xml:space="preserve">I(region)S</w:t>
            </w:r>
          </w:p>
        </w:tc>
        <w:tc>
          <w:tcPr/>
          <w:p>
            <w:pPr>
              <w:pStyle w:val="Compact"/>
              <w:jc w:val="right"/>
            </w:pPr>
            <w:r>
              <w:t xml:space="preserve">1.0024</w:t>
            </w:r>
          </w:p>
        </w:tc>
        <w:tc>
          <w:tcPr/>
          <w:p>
            <w:pPr>
              <w:pStyle w:val="Compact"/>
              <w:jc w:val="right"/>
            </w:pPr>
            <w:r>
              <w:t xml:space="preserve">0.8930</w:t>
            </w:r>
          </w:p>
        </w:tc>
        <w:tc>
          <w:tcPr/>
          <w:p>
            <w:pPr>
              <w:pStyle w:val="Compact"/>
              <w:jc w:val="right"/>
            </w:pPr>
            <w:r>
              <w:t xml:space="preserve">1.1253</w:t>
            </w:r>
          </w:p>
        </w:tc>
        <w:tc>
          <w:tcPr/>
          <w:p>
            <w:pPr>
              <w:pStyle w:val="Compact"/>
              <w:jc w:val="right"/>
            </w:pPr>
            <w:r>
              <w:t xml:space="preserve">0.0414</w:t>
            </w:r>
          </w:p>
        </w:tc>
        <w:tc>
          <w:tcPr/>
          <w:p>
            <w:pPr>
              <w:pStyle w:val="Compact"/>
              <w:jc w:val="right"/>
            </w:pPr>
            <w:r>
              <w:t xml:space="preserve">0.9669</w:t>
            </w:r>
          </w:p>
        </w:tc>
      </w:tr>
      <w:tr>
        <w:tc>
          <w:tcPr/>
          <w:p>
            <w:pPr>
              <w:pStyle w:val="Compact"/>
              <w:jc w:val="left"/>
            </w:pPr>
            <w:r>
              <w:t xml:space="preserve">I(region)W</w:t>
            </w:r>
          </w:p>
        </w:tc>
        <w:tc>
          <w:tcPr/>
          <w:p>
            <w:pPr>
              <w:pStyle w:val="Compact"/>
              <w:jc w:val="right"/>
            </w:pPr>
            <w:r>
              <w:t xml:space="preserve">1.0966</w:t>
            </w:r>
          </w:p>
        </w:tc>
        <w:tc>
          <w:tcPr/>
          <w:p>
            <w:pPr>
              <w:pStyle w:val="Compact"/>
              <w:jc w:val="right"/>
            </w:pPr>
            <w:r>
              <w:t xml:space="preserve">0.9746</w:t>
            </w:r>
          </w:p>
        </w:tc>
        <w:tc>
          <w:tcPr/>
          <w:p>
            <w:pPr>
              <w:pStyle w:val="Compact"/>
              <w:jc w:val="right"/>
            </w:pPr>
            <w:r>
              <w:t xml:space="preserve">1.2338</w:t>
            </w:r>
          </w:p>
        </w:tc>
        <w:tc>
          <w:tcPr/>
          <w:p>
            <w:pPr>
              <w:pStyle w:val="Compact"/>
              <w:jc w:val="right"/>
            </w:pPr>
            <w:r>
              <w:t xml:space="preserve">1.5322</w:t>
            </w:r>
          </w:p>
        </w:tc>
        <w:tc>
          <w:tcPr/>
          <w:p>
            <w:pPr>
              <w:pStyle w:val="Compact"/>
              <w:jc w:val="right"/>
            </w:pPr>
            <w:r>
              <w:t xml:space="preserve">0.1255</w:t>
            </w:r>
          </w:p>
        </w:tc>
      </w:tr>
      <w:tr>
        <w:tc>
          <w:tcPr/>
          <w:p>
            <w:pPr>
              <w:pStyle w:val="Compact"/>
              <w:jc w:val="left"/>
            </w:pPr>
            <w:r>
              <w:t xml:space="preserve"> </w:t>
            </w:r>
            <w:r>
              <w:t xml:space="preserve">Standard errors: MLE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Survey-weighted 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Pseudo-R² (Cragg-Uhler)</w:t>
            </w:r>
          </w:p>
        </w:tc>
        <w:tc>
          <w:tcPr/>
          <w:p>
            <w:pPr>
              <w:pStyle w:val="Compact"/>
              <w:jc w:val="right"/>
            </w:pPr>
            <w:r>
              <w:t xml:space="preserve">0.1881</w:t>
            </w:r>
          </w:p>
        </w:tc>
      </w:tr>
      <w:tr>
        <w:tc>
          <w:tcPr/>
          <w:p>
            <w:pPr>
              <w:pStyle w:val="Compact"/>
              <w:jc w:val="left"/>
            </w:pPr>
            <w:r>
              <w:t xml:space="preserve">Pseudo-R² (McFadden)</w:t>
            </w:r>
          </w:p>
        </w:tc>
        <w:tc>
          <w:tcPr/>
          <w:p>
            <w:pPr>
              <w:pStyle w:val="Compact"/>
              <w:jc w:val="right"/>
            </w:pPr>
            <w:r>
              <w:t xml:space="preserve">0.1125</w:t>
            </w:r>
          </w:p>
        </w:tc>
      </w:tr>
      <w:tr>
        <w:tc>
          <w:tcPr/>
          <w:p>
            <w:pPr>
              <w:pStyle w:val="Compact"/>
              <w:jc w:val="left"/>
            </w:pPr>
            <w:r>
              <w:t xml:space="preserve">AIC</w:t>
            </w:r>
          </w:p>
        </w:tc>
        <w:tc>
          <w:tcPr/>
          <w:p>
            <w:pPr>
              <w:pStyle w:val="Compact"/>
              <w:jc w:val="right"/>
            </w:pPr>
            <w:r>
              <w:t xml:space="preserve">12064.1922</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0.0692</w:t>
            </w:r>
          </w:p>
        </w:tc>
        <w:tc>
          <w:tcPr/>
          <w:p>
            <w:pPr>
              <w:pStyle w:val="Compact"/>
              <w:jc w:val="right"/>
            </w:pPr>
            <w:r>
              <w:t xml:space="preserve">0.0553</w:t>
            </w:r>
          </w:p>
        </w:tc>
        <w:tc>
          <w:tcPr/>
          <w:p>
            <w:pPr>
              <w:pStyle w:val="Compact"/>
              <w:jc w:val="right"/>
            </w:pPr>
            <w:r>
              <w:t xml:space="preserve">0.0865</w:t>
            </w:r>
          </w:p>
        </w:tc>
        <w:tc>
          <w:tcPr/>
          <w:p>
            <w:pPr>
              <w:pStyle w:val="Compact"/>
              <w:jc w:val="right"/>
            </w:pPr>
            <w:r>
              <w:t xml:space="preserve">-23.3763</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1.0530</w:t>
            </w:r>
          </w:p>
        </w:tc>
        <w:tc>
          <w:tcPr/>
          <w:p>
            <w:pPr>
              <w:pStyle w:val="Compact"/>
              <w:jc w:val="right"/>
            </w:pPr>
            <w:r>
              <w:t xml:space="preserve">1.0497</w:t>
            </w:r>
          </w:p>
        </w:tc>
        <w:tc>
          <w:tcPr/>
          <w:p>
            <w:pPr>
              <w:pStyle w:val="Compact"/>
              <w:jc w:val="right"/>
            </w:pPr>
            <w:r>
              <w:t xml:space="preserve">1.0562</w:t>
            </w:r>
          </w:p>
        </w:tc>
        <w:tc>
          <w:tcPr/>
          <w:p>
            <w:pPr>
              <w:pStyle w:val="Compact"/>
              <w:jc w:val="right"/>
            </w:pPr>
            <w:r>
              <w:t xml:space="preserve">33.0767</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1.8298</w:t>
            </w:r>
          </w:p>
        </w:tc>
        <w:tc>
          <w:tcPr/>
          <w:p>
            <w:pPr>
              <w:pStyle w:val="Compact"/>
              <w:jc w:val="right"/>
            </w:pPr>
            <w:r>
              <w:t xml:space="preserve">1.6529</w:t>
            </w:r>
          </w:p>
        </w:tc>
        <w:tc>
          <w:tcPr/>
          <w:p>
            <w:pPr>
              <w:pStyle w:val="Compact"/>
              <w:jc w:val="right"/>
            </w:pPr>
            <w:r>
              <w:t xml:space="preserve">2.0256</w:t>
            </w:r>
          </w:p>
        </w:tc>
        <w:tc>
          <w:tcPr/>
          <w:p>
            <w:pPr>
              <w:pStyle w:val="Compact"/>
              <w:jc w:val="right"/>
            </w:pPr>
            <w:r>
              <w:t xml:space="preserve">11.6459</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0.5849</w:t>
            </w:r>
          </w:p>
        </w:tc>
        <w:tc>
          <w:tcPr/>
          <w:p>
            <w:pPr>
              <w:pStyle w:val="Compact"/>
              <w:jc w:val="right"/>
            </w:pPr>
            <w:r>
              <w:t xml:space="preserve">0.4913</w:t>
            </w:r>
          </w:p>
        </w:tc>
        <w:tc>
          <w:tcPr/>
          <w:p>
            <w:pPr>
              <w:pStyle w:val="Compact"/>
              <w:jc w:val="right"/>
            </w:pPr>
            <w:r>
              <w:t xml:space="preserve">0.6964</w:t>
            </w:r>
          </w:p>
        </w:tc>
        <w:tc>
          <w:tcPr/>
          <w:p>
            <w:pPr>
              <w:pStyle w:val="Compact"/>
              <w:jc w:val="right"/>
            </w:pPr>
            <w:r>
              <w:t xml:space="preserve">-6.0259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1.1822</w:t>
            </w:r>
          </w:p>
        </w:tc>
        <w:tc>
          <w:tcPr/>
          <w:p>
            <w:pPr>
              <w:pStyle w:val="Compact"/>
              <w:jc w:val="right"/>
            </w:pPr>
            <w:r>
              <w:t xml:space="preserve">1.0245</w:t>
            </w:r>
          </w:p>
        </w:tc>
        <w:tc>
          <w:tcPr/>
          <w:p>
            <w:pPr>
              <w:pStyle w:val="Compact"/>
              <w:jc w:val="right"/>
            </w:pPr>
            <w:r>
              <w:t xml:space="preserve">1.3642</w:t>
            </w:r>
          </w:p>
        </w:tc>
        <w:tc>
          <w:tcPr/>
          <w:p>
            <w:pPr>
              <w:pStyle w:val="Compact"/>
              <w:jc w:val="right"/>
            </w:pPr>
            <w:r>
              <w:t xml:space="preserve">2.2906</w:t>
            </w:r>
          </w:p>
        </w:tc>
        <w:tc>
          <w:tcPr/>
          <w:p>
            <w:pPr>
              <w:pStyle w:val="Compact"/>
              <w:jc w:val="right"/>
            </w:pPr>
            <w:r>
              <w:t xml:space="preserve">0.0220</w:t>
            </w:r>
          </w:p>
        </w:tc>
      </w:tr>
      <w:tr>
        <w:tc>
          <w:tcPr/>
          <w:p>
            <w:pPr>
              <w:pStyle w:val="Compact"/>
              <w:jc w:val="left"/>
            </w:pPr>
            <w:r>
              <w:t xml:space="preserve">I(region)S</w:t>
            </w:r>
          </w:p>
        </w:tc>
        <w:tc>
          <w:tcPr/>
          <w:p>
            <w:pPr>
              <w:pStyle w:val="Compact"/>
              <w:jc w:val="right"/>
            </w:pPr>
            <w:r>
              <w:t xml:space="preserve">0.9961</w:t>
            </w:r>
          </w:p>
        </w:tc>
        <w:tc>
          <w:tcPr/>
          <w:p>
            <w:pPr>
              <w:pStyle w:val="Compact"/>
              <w:jc w:val="right"/>
            </w:pPr>
            <w:r>
              <w:t xml:space="preserve">0.8670</w:t>
            </w:r>
          </w:p>
        </w:tc>
        <w:tc>
          <w:tcPr/>
          <w:p>
            <w:pPr>
              <w:pStyle w:val="Compact"/>
              <w:jc w:val="right"/>
            </w:pPr>
            <w:r>
              <w:t xml:space="preserve">1.1445</w:t>
            </w:r>
          </w:p>
        </w:tc>
        <w:tc>
          <w:tcPr/>
          <w:p>
            <w:pPr>
              <w:pStyle w:val="Compact"/>
              <w:jc w:val="right"/>
            </w:pPr>
            <w:r>
              <w:t xml:space="preserve">-0.0549</w:t>
            </w:r>
          </w:p>
        </w:tc>
        <w:tc>
          <w:tcPr/>
          <w:p>
            <w:pPr>
              <w:pStyle w:val="Compact"/>
              <w:jc w:val="right"/>
            </w:pPr>
            <w:r>
              <w:t xml:space="preserve">0.9562</w:t>
            </w:r>
          </w:p>
        </w:tc>
      </w:tr>
      <w:tr>
        <w:tc>
          <w:tcPr/>
          <w:p>
            <w:pPr>
              <w:pStyle w:val="Compact"/>
              <w:jc w:val="left"/>
            </w:pPr>
            <w:r>
              <w:t xml:space="preserve">I(region)W</w:t>
            </w:r>
          </w:p>
        </w:tc>
        <w:tc>
          <w:tcPr/>
          <w:p>
            <w:pPr>
              <w:pStyle w:val="Compact"/>
              <w:jc w:val="right"/>
            </w:pPr>
            <w:r>
              <w:t xml:space="preserve">1.1225</w:t>
            </w:r>
          </w:p>
        </w:tc>
        <w:tc>
          <w:tcPr/>
          <w:p>
            <w:pPr>
              <w:pStyle w:val="Compact"/>
              <w:jc w:val="right"/>
            </w:pPr>
            <w:r>
              <w:t xml:space="preserve">0.9737</w:t>
            </w:r>
          </w:p>
        </w:tc>
        <w:tc>
          <w:tcPr/>
          <w:p>
            <w:pPr>
              <w:pStyle w:val="Compact"/>
              <w:jc w:val="right"/>
            </w:pPr>
            <w:r>
              <w:t xml:space="preserve">1.2940</w:t>
            </w:r>
          </w:p>
        </w:tc>
        <w:tc>
          <w:tcPr/>
          <w:p>
            <w:pPr>
              <w:pStyle w:val="Compact"/>
              <w:jc w:val="right"/>
            </w:pPr>
            <w:r>
              <w:t xml:space="preserve">1.5928</w:t>
            </w:r>
          </w:p>
        </w:tc>
        <w:tc>
          <w:tcPr/>
          <w:p>
            <w:pPr>
              <w:pStyle w:val="Compact"/>
              <w:jc w:val="right"/>
            </w:pPr>
            <w:r>
              <w:t xml:space="preserve">0.1112</w:t>
            </w:r>
          </w:p>
        </w:tc>
      </w:tr>
      <w:tr>
        <w:tc>
          <w:tcPr/>
          <w:p>
            <w:pPr>
              <w:pStyle w:val="Compact"/>
              <w:jc w:val="left"/>
            </w:pPr>
            <w:r>
              <w:t xml:space="preserve"> </w:t>
            </w:r>
            <w:r>
              <w:t xml:space="preserve">Standard errors: Robust</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Afficher des outputs de régression avec Jtools</dc:title>
  <dc:creator>Marc Thévenin</dc:creator>
  <dc:language>fr</dc:language>
  <cp:keywords/>
  <dcterms:created xsi:type="dcterms:W3CDTF">2023-07-03T11:41:52Z</dcterms:created>
  <dcterms:modified xsi:type="dcterms:W3CDTF">2023-07-03T11:41:52Z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