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liste</w:t>
      </w:r>
    </w:p>
    <w:p>
      <w:pPr>
        <w:pStyle w:val="Author"/>
      </w:pPr>
      <w:r>
        <w:t xml:space="preserve">Marc</w:t>
      </w:r>
      <w:r>
        <w:t xml:space="preserve"> </w:t>
      </w:r>
      <w:r>
        <w:t xml:space="preserve">Thévenin</w:t>
      </w:r>
    </w:p>
    <w:p>
      <w:pPr>
        <w:pStyle w:val="Date"/>
      </w:pPr>
      <w:r>
        <w:t xml:space="preserve">2023-05-03</w:t>
      </w:r>
    </w:p>
    <w:p>
      <w:pPr>
        <w:pStyle w:val="Abstract"/>
      </w:pPr>
      <w:r>
        <w:rPr>
          <w:iCs/>
          <w:i/>
        </w:rPr>
        <w:t xml:space="preserve">Quarto</w:t>
      </w:r>
      <w:r>
        <w:rPr>
          <w:iCs/>
          <w:i/>
        </w:rPr>
        <w:t xml:space="preserve"> </w:t>
      </w:r>
      <w:r>
        <w:rPr>
          <w:iCs/>
          <w:i/>
        </w:rPr>
        <w:t xml:space="preserve">is</w:t>
      </w:r>
      <w:r>
        <w:rPr>
          <w:iCs/>
          <w:i/>
        </w:rPr>
        <w:t xml:space="preserve"> </w:t>
      </w:r>
      <w:r>
        <w:rPr>
          <w:iCs/>
          <w:i/>
        </w:rPr>
        <w:t xml:space="preserve">a</w:t>
      </w:r>
      <w:r>
        <w:rPr>
          <w:iCs/>
          <w:i/>
        </w:rPr>
        <w:t xml:space="preserve"> </w:t>
      </w:r>
      <w:r>
        <w:rPr>
          <w:iCs/>
          <w:i/>
        </w:rPr>
        <w:t xml:space="preserve">multi-language,</w:t>
      </w:r>
      <w:r>
        <w:rPr>
          <w:iCs/>
          <w:i/>
        </w:rPr>
        <w:t xml:space="preserve"> </w:t>
      </w:r>
      <w:r>
        <w:rPr>
          <w:iCs/>
          <w:i/>
        </w:rPr>
        <w:t xml:space="preserve">next</w:t>
      </w:r>
      <w:r>
        <w:rPr>
          <w:iCs/>
          <w:i/>
        </w:rPr>
        <w:t xml:space="preserve"> </w:t>
      </w:r>
      <w:r>
        <w:rPr>
          <w:iCs/>
          <w:i/>
        </w:rPr>
        <w:t xml:space="preserve">generation</w:t>
      </w:r>
      <w:r>
        <w:rPr>
          <w:iCs/>
          <w:i/>
        </w:rPr>
        <w:t xml:space="preserve"> </w:t>
      </w:r>
      <w:r>
        <w:rPr>
          <w:iCs/>
          <w:i/>
        </w:rPr>
        <w:t xml:space="preserve">version</w:t>
      </w:r>
      <w:r>
        <w:rPr>
          <w:iCs/>
          <w:i/>
        </w:rPr>
        <w:t xml:space="preserve"> </w:t>
      </w:r>
      <w:r>
        <w:rPr>
          <w:iCs/>
          <w:i/>
        </w:rPr>
        <w:t xml:space="preserve">of</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from</w:t>
      </w:r>
      <w:r>
        <w:rPr>
          <w:iCs/>
          <w:i/>
        </w:rPr>
        <w:t xml:space="preserve"> </w:t>
      </w:r>
      <w:r>
        <w:rPr>
          <w:iCs/>
          <w:i/>
        </w:rPr>
        <w:t xml:space="preserve">Posit,</w:t>
      </w:r>
      <w:r>
        <w:rPr>
          <w:iCs/>
          <w:i/>
        </w:rPr>
        <w:t xml:space="preserve"> </w:t>
      </w:r>
      <w:r>
        <w:rPr>
          <w:iCs/>
          <w:i/>
        </w:rPr>
        <w:t xml:space="preserve">with</w:t>
      </w:r>
      <w:r>
        <w:rPr>
          <w:iCs/>
          <w:i/>
        </w:rPr>
        <w:t xml:space="preserve"> </w:t>
      </w:r>
      <w:r>
        <w:rPr>
          <w:iCs/>
          <w:i/>
        </w:rPr>
        <w:t xml:space="preserve">many</w:t>
      </w:r>
      <w:r>
        <w:rPr>
          <w:iCs/>
          <w:i/>
        </w:rPr>
        <w:t xml:space="preserve"> </w:t>
      </w:r>
      <w:r>
        <w:rPr>
          <w:iCs/>
          <w:i/>
        </w:rPr>
        <w:t xml:space="preserve">new</w:t>
      </w:r>
      <w:r>
        <w:rPr>
          <w:iCs/>
          <w:i/>
        </w:rPr>
        <w:t xml:space="preserve"> </w:t>
      </w:r>
      <w:r>
        <w:rPr>
          <w:iCs/>
          <w:i/>
        </w:rPr>
        <w:t xml:space="preserve">new</w:t>
      </w:r>
      <w:r>
        <w:rPr>
          <w:iCs/>
          <w:i/>
        </w:rPr>
        <w:t xml:space="preserve"> </w:t>
      </w:r>
      <w:r>
        <w:rPr>
          <w:iCs/>
          <w:i/>
        </w:rPr>
        <w:t xml:space="preserve">features</w:t>
      </w:r>
      <w:r>
        <w:rPr>
          <w:iCs/>
          <w:i/>
        </w:rPr>
        <w:t xml:space="preserve"> </w:t>
      </w:r>
      <w:r>
        <w:rPr>
          <w:iCs/>
          <w:i/>
        </w:rPr>
        <w:t xml:space="preserve">and</w:t>
      </w:r>
      <w:r>
        <w:rPr>
          <w:iCs/>
          <w:i/>
        </w:rPr>
        <w:t xml:space="preserve"> </w:t>
      </w:r>
      <w:r>
        <w:rPr>
          <w:iCs/>
          <w:i/>
        </w:rPr>
        <w:t xml:space="preserve">capabilities.</w:t>
      </w:r>
      <w:r>
        <w:rPr>
          <w:iCs/>
          <w:i/>
        </w:rPr>
        <w:t xml:space="preserve"> </w:t>
      </w:r>
      <w:r>
        <w:rPr>
          <w:iCs/>
          <w:i/>
        </w:rPr>
        <w:t xml:space="preserve">Like</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Quarto</w:t>
      </w:r>
      <w:r>
        <w:rPr>
          <w:iCs/>
          <w:i/>
        </w:rPr>
        <w:t xml:space="preserve"> </w:t>
      </w:r>
      <w:r>
        <w:rPr>
          <w:iCs/>
          <w:i/>
        </w:rPr>
        <w:t xml:space="preserve">uses</w:t>
      </w:r>
      <w:r>
        <w:rPr>
          <w:iCs/>
          <w:i/>
        </w:rPr>
        <w:t xml:space="preserve"> </w:t>
      </w:r>
      <w:r>
        <w:rPr>
          <w:iCs/>
          <w:i/>
        </w:rPr>
        <w:t xml:space="preserve">Knitr</w:t>
      </w:r>
      <w:r>
        <w:rPr>
          <w:iCs/>
          <w:i/>
        </w:rPr>
        <w:t xml:space="preserve"> </w:t>
      </w:r>
      <w:r>
        <w:rPr>
          <w:iCs/>
          <w:i/>
        </w:rPr>
        <w:t xml:space="preserve">to</w:t>
      </w:r>
      <w:r>
        <w:rPr>
          <w:iCs/>
          <w:i/>
        </w:rPr>
        <w:t xml:space="preserve"> </w:t>
      </w:r>
      <w:r>
        <w:rPr>
          <w:iCs/>
          <w:i/>
        </w:rPr>
        <w:t xml:space="preserve">execute</w:t>
      </w:r>
      <w:r>
        <w:rPr>
          <w:iCs/>
          <w:i/>
        </w:rPr>
        <w:t xml:space="preserve"> </w:t>
      </w:r>
      <w:r>
        <w:rPr>
          <w:iCs/>
          <w:i/>
        </w:rPr>
        <w:t xml:space="preserve">R</w:t>
      </w:r>
      <w:r>
        <w:rPr>
          <w:iCs/>
          <w:i/>
        </w:rPr>
        <w:t xml:space="preserve"> </w:t>
      </w:r>
      <w:r>
        <w:rPr>
          <w:iCs/>
          <w:i/>
        </w:rPr>
        <w:t xml:space="preserve">code,</w:t>
      </w:r>
      <w:r>
        <w:rPr>
          <w:iCs/>
          <w:i/>
        </w:rPr>
        <w:t xml:space="preserve"> </w:t>
      </w:r>
      <w:r>
        <w:rPr>
          <w:iCs/>
          <w:i/>
        </w:rPr>
        <w:t xml:space="preserve">and</w:t>
      </w:r>
      <w:r>
        <w:rPr>
          <w:iCs/>
          <w:i/>
        </w:rPr>
        <w:t xml:space="preserve"> </w:t>
      </w:r>
      <w:r>
        <w:rPr>
          <w:iCs/>
          <w:i/>
        </w:rPr>
        <w:t xml:space="preserve">is</w:t>
      </w:r>
      <w:r>
        <w:rPr>
          <w:iCs/>
          <w:i/>
        </w:rPr>
        <w:t xml:space="preserve"> </w:t>
      </w:r>
      <w:r>
        <w:rPr>
          <w:iCs/>
          <w:i/>
        </w:rPr>
        <w:t xml:space="preserve">therefore</w:t>
      </w:r>
      <w:r>
        <w:rPr>
          <w:iCs/>
          <w:i/>
        </w:rPr>
        <w:t xml:space="preserve"> </w:t>
      </w:r>
      <w:r>
        <w:rPr>
          <w:iCs/>
          <w:i/>
        </w:rPr>
        <w:t xml:space="preserve">able</w:t>
      </w:r>
      <w:r>
        <w:rPr>
          <w:iCs/>
          <w:i/>
        </w:rPr>
        <w:t xml:space="preserve"> </w:t>
      </w:r>
      <w:r>
        <w:rPr>
          <w:iCs/>
          <w:i/>
        </w:rPr>
        <w:t xml:space="preserve">to</w:t>
      </w:r>
      <w:r>
        <w:rPr>
          <w:iCs/>
          <w:i/>
        </w:rPr>
        <w:t xml:space="preserve"> </w:t>
      </w:r>
      <w:r>
        <w:rPr>
          <w:iCs/>
          <w:i/>
        </w:rPr>
        <w:t xml:space="preserve">render</w:t>
      </w:r>
      <w:r>
        <w:rPr>
          <w:iCs/>
          <w:i/>
        </w:rPr>
        <w:t xml:space="preserve"> </w:t>
      </w:r>
      <w:r>
        <w:rPr>
          <w:iCs/>
          <w:i/>
        </w:rPr>
        <w:t xml:space="preserve">most</w:t>
      </w:r>
      <w:r>
        <w:rPr>
          <w:iCs/>
          <w:i/>
        </w:rPr>
        <w:t xml:space="preserve"> </w:t>
      </w:r>
      <w:r>
        <w:rPr>
          <w:iCs/>
          <w:i/>
        </w:rPr>
        <w:t xml:space="preserve">existing</w:t>
      </w:r>
      <w:r>
        <w:rPr>
          <w:iCs/>
          <w:i/>
        </w:rPr>
        <w:t xml:space="preserve"> </w:t>
      </w:r>
      <w:r>
        <w:rPr>
          <w:iCs/>
          <w:i/>
        </w:rPr>
        <w:t xml:space="preserve">Rmd</w:t>
      </w:r>
      <w:r>
        <w:rPr>
          <w:iCs/>
          <w:i/>
        </w:rPr>
        <w:t xml:space="preserve"> </w:t>
      </w:r>
      <w:r>
        <w:rPr>
          <w:iCs/>
          <w:i/>
        </w:rPr>
        <w:t xml:space="preserve">files</w:t>
      </w:r>
      <w:r>
        <w:rPr>
          <w:iCs/>
          <w:i/>
        </w:rPr>
        <w:t xml:space="preserve"> </w:t>
      </w:r>
      <w:r>
        <w:rPr>
          <w:iCs/>
          <w:i/>
        </w:rPr>
        <w:t xml:space="preserve">without</w:t>
      </w:r>
      <w:r>
        <w:rPr>
          <w:iCs/>
          <w:i/>
        </w:rPr>
        <w:t xml:space="preserve"> </w:t>
      </w:r>
      <w:r>
        <w:rPr>
          <w:iCs/>
          <w:i/>
        </w:rPr>
        <w:t xml:space="preserve">modification</w:t>
      </w:r>
      <w:r>
        <w:t xml:space="preserve">.</w:t>
      </w:r>
    </w:p>
    <w:p>
      <w:pPr>
        <w:pStyle w:val="FirstParagraph"/>
      </w:pPr>
      <w:r>
        <w:t xml:space="preserve">Divers tests css de modif de la toc (couleurs, taille, épaisseur), élément dans la marge de droite (change le report du sommaire), modification des largeurs de la sidebar, du body et de la marge.</w:t>
      </w:r>
    </w:p>
    <w:p>
      <w:pPr>
        <w:pStyle w:val="BodyText"/>
      </w:pPr>
      <w:r>
        <w:t xml:space="preserve">Modification des largeurs de la sidebar (gauche), du body (centre) et de la margin (droite):</w:t>
      </w:r>
    </w:p>
    <w:p>
      <w:pPr>
        <w:pStyle w:val="SourceCode"/>
      </w:pPr>
      <w:r>
        <w:rPr>
          <w:rStyle w:val="NormalTok"/>
        </w:rPr>
        <w:t xml:space="preserve">format</w:t>
      </w:r>
      <w:r>
        <w:rPr>
          <w:rStyle w:val="SpecialCharTok"/>
        </w:rPr>
        <w:t xml:space="preserve">:</w:t>
      </w:r>
      <w:r>
        <w:br/>
      </w:r>
      <w:r>
        <w:rPr>
          <w:rStyle w:val="NormalTok"/>
        </w:rPr>
        <w:t xml:space="preserve">  html</w:t>
      </w:r>
      <w:r>
        <w:rPr>
          <w:rStyle w:val="SpecialCharTok"/>
        </w:rPr>
        <w:t xml:space="preserve">:</w:t>
      </w:r>
      <w:r>
        <w:rPr>
          <w:rStyle w:val="NormalTok"/>
        </w:rPr>
        <w:t xml:space="preserve"> </w:t>
      </w:r>
      <w:r>
        <w:br/>
      </w:r>
      <w:r>
        <w:rPr>
          <w:rStyle w:val="NormalTok"/>
        </w:rPr>
        <w:t xml:space="preserve">    grid</w:t>
      </w:r>
      <w:r>
        <w:rPr>
          <w:rStyle w:val="SpecialCharTok"/>
        </w:rPr>
        <w:t xml:space="preserve">:</w:t>
      </w:r>
      <w:r>
        <w:br/>
      </w:r>
      <w:r>
        <w:rPr>
          <w:rStyle w:val="NormalTok"/>
        </w:rPr>
        <w:t xml:space="preserve">      sidebar</w:t>
      </w:r>
      <w:r>
        <w:rPr>
          <w:rStyle w:val="SpecialCharTok"/>
        </w:rPr>
        <w:t xml:space="preserve">-</w:t>
      </w:r>
      <w:r>
        <w:rPr>
          <w:rStyle w:val="NormalTok"/>
        </w:rPr>
        <w:t xml:space="preserve">width</w:t>
      </w:r>
      <w:r>
        <w:rPr>
          <w:rStyle w:val="SpecialCharTok"/>
        </w:rPr>
        <w:t xml:space="preserve">:</w:t>
      </w:r>
      <w:r>
        <w:rPr>
          <w:rStyle w:val="NormalTok"/>
        </w:rPr>
        <w:t xml:space="preserve"> 50px</w:t>
      </w:r>
      <w:r>
        <w:br/>
      </w:r>
      <w:r>
        <w:rPr>
          <w:rStyle w:val="NormalTok"/>
        </w:rPr>
        <w:t xml:space="preserve">      body</w:t>
      </w:r>
      <w:r>
        <w:rPr>
          <w:rStyle w:val="SpecialCharTok"/>
        </w:rPr>
        <w:t xml:space="preserve">-</w:t>
      </w:r>
      <w:r>
        <w:rPr>
          <w:rStyle w:val="NormalTok"/>
        </w:rPr>
        <w:t xml:space="preserve">width</w:t>
      </w:r>
      <w:r>
        <w:rPr>
          <w:rStyle w:val="SpecialCharTok"/>
        </w:rPr>
        <w:t xml:space="preserve">:</w:t>
      </w:r>
      <w:r>
        <w:rPr>
          <w:rStyle w:val="NormalTok"/>
        </w:rPr>
        <w:t xml:space="preserve"> 1200px</w:t>
      </w:r>
      <w:r>
        <w:br/>
      </w:r>
      <w:r>
        <w:rPr>
          <w:rStyle w:val="NormalTok"/>
        </w:rPr>
        <w:t xml:space="preserve">      margin</w:t>
      </w:r>
      <w:r>
        <w:rPr>
          <w:rStyle w:val="SpecialCharTok"/>
        </w:rPr>
        <w:t xml:space="preserve">-</w:t>
      </w:r>
      <w:r>
        <w:rPr>
          <w:rStyle w:val="NormalTok"/>
        </w:rPr>
        <w:t xml:space="preserve">width</w:t>
      </w:r>
      <w:r>
        <w:rPr>
          <w:rStyle w:val="SpecialCharTok"/>
        </w:rPr>
        <w:t xml:space="preserve">:</w:t>
      </w:r>
      <w:r>
        <w:rPr>
          <w:rStyle w:val="NormalTok"/>
        </w:rPr>
        <w:t xml:space="preserve"> 500px</w:t>
      </w:r>
      <w:r>
        <w:br/>
      </w:r>
      <w:r>
        <w:rPr>
          <w:rStyle w:val="NormalTok"/>
        </w:rPr>
        <w:t xml:space="preserve">      gutter</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FloatTok"/>
        </w:rPr>
        <w:t xml:space="preserve">2.5</w:t>
      </w:r>
      <w:r>
        <w:rPr>
          <w:rStyle w:val="NormalTok"/>
        </w:rPr>
        <w:t xml:space="preserve">rem</w:t>
      </w:r>
    </w:p>
    <w:p>
      <w:pPr>
        <w:pStyle w:val="FirstParagraph"/>
      </w:pPr>
      <w:r>
        <w:t xml:space="preserve">J’ai inséré la modification du grid au _quarto.yml pour qu’elle s’applique à toutes les pages, on peut la remodifier pour une page particulière dans son yaml.</w:t>
      </w:r>
    </w:p>
    <w:bookmarkStart w:id="20" w:name="ajouter-du-contenu-dans-la-marge"/>
    <w:p>
      <w:pPr>
        <w:pStyle w:val="Heading1"/>
      </w:pPr>
      <w:r>
        <w:t xml:space="preserve">Ajouter du contenu dans la marge</w:t>
      </w:r>
    </w:p>
    <w:p>
      <w:pPr>
        <w:pStyle w:val="FirstParagraph"/>
      </w:pPr>
      <w:r>
        <w:t xml:space="preserve">Dans le bloc de code, on met en tête:</w:t>
      </w:r>
      <w:r>
        <w:t xml:space="preserve"> </w:t>
      </w:r>
      <w:r>
        <w:rPr>
          <w:rStyle w:val="VerbatimChar"/>
          <w:iCs/>
          <w:i/>
          <w:bCs/>
          <w:b/>
        </w:rPr>
        <w:t xml:space="preserve">#| column: margin</w:t>
      </w:r>
      <w:r>
        <w:t xml:space="preserve">.</w:t>
      </w:r>
    </w:p>
    <w:p>
      <w:pPr>
        <w:pStyle w:val="BodyText"/>
      </w:pPr>
      <w:r>
        <w:t xml:space="preserve">Par exemple pour le tableau qui suit:</w:t>
      </w:r>
    </w:p>
    <w:p>
      <w:pPr>
        <w:pStyle w:val="SourceCode"/>
      </w:pPr>
      <w:r>
        <w:rPr>
          <w:rStyle w:val="VerbatimChar"/>
        </w:rPr>
        <w:t xml:space="preserve">#| column: margin</w:t>
      </w:r>
      <w:r>
        <w:br/>
      </w:r>
      <w:r>
        <w:br/>
      </w:r>
      <w:r>
        <w:rPr>
          <w:rStyle w:val="VerbatimChar"/>
        </w:rPr>
        <w:t xml:space="preserve">knitr::kable(</w:t>
      </w:r>
      <w:r>
        <w:br/>
      </w:r>
      <w:r>
        <w:rPr>
          <w:rStyle w:val="VerbatimChar"/>
        </w:rPr>
        <w:t xml:space="preserve">  mtcars[1:6, 1:3]</w:t>
      </w:r>
      <w:r>
        <w:br/>
      </w:r>
      <w:r>
        <w:rPr>
          <w:rStyle w:val="VerbatimChar"/>
        </w:rPr>
        <w:t xml:space="preserve">)</w:t>
      </w:r>
    </w:p>
    <w:bookmarkEnd w:id="20"/>
    <w:bookmarkStart w:id="36" w:name="eléments-dans-la-marge"/>
    <w:p>
      <w:pPr>
        <w:pStyle w:val="Heading1"/>
      </w:pPr>
      <w:r>
        <w:t xml:space="preserve">Eléments dans la marge</w:t>
      </w:r>
    </w:p>
    <w:bookmarkStart w:id="21" w:name="tableau"/>
    <w:p>
      <w:pPr>
        <w:pStyle w:val="Heading2"/>
      </w:pPr>
      <w:r>
        <w:t xml:space="preserve">Tableau</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mtcars[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r>
    </w:tbl>
    <w:bookmarkEnd w:id="21"/>
    <w:bookmarkStart w:id="22" w:name="formule"/>
    <w:p>
      <w:pPr>
        <w:pStyle w:val="Heading2"/>
      </w:pPr>
      <w:r>
        <w:t xml:space="preserve">Formule</w:t>
      </w:r>
    </w:p>
    <w:p>
      <w:pPr>
        <w:pStyle w:val="FirstParagraph"/>
      </w:pPr>
      <w:r>
        <w:t xml:space="preserve">We know from</w:t>
      </w:r>
      <w:r>
        <w:t xml:space="preserve"> </w:t>
      </w:r>
      <w:r>
        <w:rPr>
          <w:iCs/>
          <w:i/>
        </w:rPr>
        <w:t xml:space="preserve">the first fundamental theorem of calculus</w:t>
      </w:r>
      <w:r>
        <w:t xml:space="preserve"> </w:t>
      </w:r>
      <w:r>
        <w:t xml:space="preserve">that for</w:t>
      </w:r>
      <w:r>
        <w:t xml:space="preserve"> </w:t>
      </w:r>
      <m:oMath>
        <m:r>
          <m:t>x</m:t>
        </m:r>
      </m:oMath>
      <w:r>
        <w:t xml:space="preserve"> </w:t>
      </w:r>
      <w:r>
        <w:t xml:space="preserve">in</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f>
            <m:fPr>
              <m:type m:val="bar"/>
            </m:fPr>
            <m:num>
              <m:r>
                <m:t>d</m:t>
              </m:r>
            </m:num>
            <m:den>
              <m:r>
                <m:t>d</m:t>
              </m:r>
              <m:r>
                <m:t>x</m:t>
              </m:r>
            </m:den>
          </m:f>
          <m:d>
            <m:dPr>
              <m:begChr m:val="("/>
              <m:endChr m:val=")"/>
              <m:sepChr m:val=""/>
              <m:grow/>
            </m:dPr>
            <m:e>
              <m:nary>
                <m:naryPr>
                  <m:chr m:val="∫"/>
                  <m:limLoc m:val="subSup"/>
                  <m:subHide m:val="0"/>
                  <m:supHide m:val="0"/>
                </m:naryPr>
                <m:sub>
                  <m:r>
                    <m:t>a</m:t>
                  </m:r>
                </m:sub>
                <m:sup>
                  <m:r>
                    <m:t>x</m:t>
                  </m:r>
                </m:sup>
                <m:e>
                  <m:r>
                    <m:t>f</m:t>
                  </m:r>
                </m:e>
              </m:nary>
              <m:d>
                <m:dPr>
                  <m:begChr m:val="("/>
                  <m:endChr m:val=")"/>
                  <m:sepChr m:val=""/>
                  <m:grow/>
                </m:dPr>
                <m:e>
                  <m:r>
                    <m:t>u</m:t>
                  </m:r>
                </m:e>
              </m:d>
              <m:r>
                <m:t> </m:t>
              </m:r>
              <m:r>
                <m:t>d</m:t>
              </m:r>
              <m:r>
                <m:t>u</m:t>
              </m:r>
            </m:e>
          </m:d>
          <m:r>
            <m:rPr>
              <m:sty m:val="p"/>
            </m:rPr>
            <m:t>=</m:t>
          </m:r>
          <m:r>
            <m:t>f</m:t>
          </m:r>
          <m:d>
            <m:dPr>
              <m:begChr m:val="("/>
              <m:endChr m:val=")"/>
              <m:sepChr m:val=""/>
              <m:grow/>
            </m:dPr>
            <m:e>
              <m:r>
                <m:t>x</m:t>
              </m:r>
            </m:e>
          </m:d>
          <m:r>
            <m:rPr>
              <m:sty m:val="p"/>
            </m:rPr>
            <m:t>.</m:t>
          </m:r>
        </m:oMath>
      </m:oMathPara>
    </w:p>
    <w:bookmarkEnd w:id="22"/>
    <w:bookmarkStart w:id="35" w:name="autres"/>
    <w:p>
      <w:pPr>
        <w:pStyle w:val="Heading2"/>
      </w:pPr>
      <w:r>
        <w:t xml:space="preserve">Autres</w:t>
      </w:r>
    </w:p>
    <w:bookmarkStart w:id="27" w:name="graphique"/>
    <w:p>
      <w:pPr>
        <w:pStyle w:val="Heading3"/>
      </w:pPr>
      <w:r>
        <w:rPr>
          <w:bCs/>
          <w:b/>
        </w:rPr>
        <w:t xml:space="preserve">Graphique</w:t>
      </w:r>
    </w:p>
    <w:p>
      <w:pPr>
        <w:pStyle w:val="SourceCode"/>
      </w:pPr>
      <w:r>
        <w:rPr>
          <w:rStyle w:val="FunctionTok"/>
        </w:rPr>
        <w:t xml:space="preserve">library</w:t>
      </w:r>
      <w:r>
        <w:rPr>
          <w:rStyle w:val="NormalTok"/>
        </w:rPr>
        <w:t xml:space="preserve">(ggplot2)</w:t>
      </w:r>
    </w:p>
    <w:p>
      <w:pPr>
        <w:pStyle w:val="SourceCode"/>
      </w:pPr>
      <w:r>
        <w:rPr>
          <w:rStyle w:val="VerbatimChar"/>
        </w:rPr>
        <w:t xml:space="preserve">Warning: le package 'ggplot2' a été compilé avec la version R 4.2.3</w:t>
      </w:r>
    </w:p>
    <w:p>
      <w:pPr>
        <w:pStyle w:val="SourceCode"/>
      </w:pPr>
      <w:r>
        <w:rPr>
          <w:rStyle w:val="NormalTok"/>
        </w:rPr>
        <w:t xml:space="preserve">mtcars2 </w:t>
      </w:r>
      <w:r>
        <w:rPr>
          <w:rStyle w:val="OtherTok"/>
        </w:rPr>
        <w:t xml:space="preserve">&lt;-</w:t>
      </w:r>
      <w:r>
        <w:rPr>
          <w:rStyle w:val="NormalTok"/>
        </w:rPr>
        <w:t xml:space="preserve"> mtcars</w:t>
      </w:r>
      <w:r>
        <w:br/>
      </w:r>
      <w:r>
        <w:rPr>
          <w:rStyle w:val="NormalTok"/>
        </w:rPr>
        <w:t xml:space="preserve">mtcars2</w:t>
      </w:r>
      <w:r>
        <w:rPr>
          <w:rStyle w:val="SpecialCharTok"/>
        </w:rPr>
        <w:t xml:space="preserve">$</w:t>
      </w:r>
      <w:r>
        <w:rPr>
          <w:rStyle w:val="NormalTok"/>
        </w:rPr>
        <w:t xml:space="preserve">am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mtcars</w:t>
      </w:r>
      <w:r>
        <w:rPr>
          <w:rStyle w:val="SpecialCharTok"/>
        </w:rPr>
        <w:t xml:space="preserve">$</w:t>
      </w:r>
      <w:r>
        <w:rPr>
          <w:rStyle w:val="NormalTok"/>
        </w:rPr>
        <w:t xml:space="preserve">am,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r>
      <w:r>
        <w:rPr>
          <w:rStyle w:val="NormalTok"/>
        </w:rPr>
        <w:t xml:space="preserve">)</w:t>
      </w:r>
      <w:r>
        <w:br/>
      </w:r>
      <w:r>
        <w:rPr>
          <w:rStyle w:val="FunctionTok"/>
        </w:rPr>
        <w:t xml:space="preserve">ggplot</w:t>
      </w:r>
      <w:r>
        <w:rPr>
          <w:rStyle w:val="NormalTok"/>
        </w:rPr>
        <w:t xml:space="preserve">(mtcars2, </w:t>
      </w:r>
      <w:r>
        <w:rPr>
          <w:rStyle w:val="FunctionTok"/>
        </w:rPr>
        <w:t xml:space="preserve">aes</w:t>
      </w:r>
      <w:r>
        <w:rPr>
          <w:rStyle w:val="NormalTok"/>
        </w:rPr>
        <w:t xml:space="preserve">(hp, mpg, </w:t>
      </w:r>
      <w:r>
        <w:rPr>
          <w:rStyle w:val="AttributeTok"/>
        </w:rPr>
        <w:t xml:space="preserve">color =</w:t>
      </w:r>
      <w:r>
        <w:rPr>
          <w:rStyle w:val="NormalTok"/>
        </w:rPr>
        <w:t xml:space="preserve"> am))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6" w:name="fig-mtcars"/>
          <w:p>
            <w:pPr>
              <w:jc w:val="center"/>
            </w:pPr>
            <w:r>
              <w:drawing>
                <wp:inline>
                  <wp:extent cx="4620126" cy="3696101"/>
                  <wp:effectExtent b="0" l="0" r="0" t="0"/>
                  <wp:docPr descr="" title="" id="24" name="Picture"/>
                  <a:graphic>
                    <a:graphicData uri="http://schemas.openxmlformats.org/drawingml/2006/picture">
                      <pic:pic>
                        <pic:nvPicPr>
                          <pic:cNvPr descr="test_list_files/figure-docx/fig-mtcar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MPG vs horsepower, colored by transmission.</w:t>
            </w:r>
          </w:p>
          <w:bookmarkEnd w:id="26"/>
        </w:tc>
      </w:tr>
    </w:tbl>
    <w:p>
      <w:pPr>
        <w:numPr>
          <w:ilvl w:val="0"/>
          <w:numId w:val="1001"/>
        </w:numPr>
        <w:pStyle w:val="Compact"/>
      </w:pPr>
      <w:r>
        <w:t xml:space="preserve">Extension lightbox: visiblement ne fonctionne pas si l’image/graph est dans la marge.</w:t>
      </w:r>
    </w:p>
    <w:bookmarkEnd w:id="27"/>
    <w:bookmarkStart w:id="31" w:name="callout"/>
    <w:p>
      <w:pPr>
        <w:pStyle w:val="Heading3"/>
      </w:pPr>
      <w:r>
        <w:t xml:space="preserve">Callout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blablablabla</w:t>
            </w:r>
          </w:p>
        </w:tc>
      </w:tr>
    </w:tbl>
    <w:bookmarkEnd w:id="31"/>
    <w:bookmarkStart w:id="34" w:name="note-et-référence"/>
    <w:p>
      <w:pPr>
        <w:pStyle w:val="Heading3"/>
      </w:pPr>
      <w:r>
        <w:t xml:space="preserve">Note et référence</w:t>
      </w:r>
    </w:p>
    <w:p>
      <w:pPr>
        <w:pStyle w:val="FirstParagraph"/>
      </w:pPr>
      <w:r>
        <w:t xml:space="preserve">Pour mettre une note dans la marge, il faut ajouter au yml</w:t>
      </w:r>
      <w:r>
        <w:t xml:space="preserve"> </w:t>
      </w:r>
      <w:r>
        <w:rPr>
          <w:rStyle w:val="VerbatimChar"/>
        </w:rPr>
        <w:t xml:space="preserve">citation-location: margin</w:t>
      </w:r>
      <w:r>
        <w:t xml:space="preserve">.</w:t>
      </w:r>
      <w:r>
        <w:t xml:space="preserve"> </w:t>
      </w:r>
      <w:r>
        <w:rPr>
          <w:rStyle w:val="FootnoteReference"/>
        </w:rPr>
        <w:footnoteReference w:id="32"/>
      </w:r>
    </w:p>
    <w:p>
      <w:pPr>
        <w:pStyle w:val="BodyText"/>
      </w:pPr>
      <w:r>
        <w:t xml:space="preserve">Idem pour les référence avec</w:t>
      </w:r>
      <w:r>
        <w:t xml:space="preserve"> </w:t>
      </w:r>
      <w:r>
        <w:rPr>
          <w:rStyle w:val="VerbatimChar"/>
        </w:rPr>
        <w:t xml:space="preserve">reference-location: margin</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hyperlink r:id="rId33">
        <w:r>
          <w:rPr>
            <w:rStyle w:val="Hyperlink"/>
          </w:rPr>
          <w:t xml:space="preserve">Quarto layout</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33" Target="https://quarto.org/docs/output-formats/page-layout.html" TargetMode="External" /></Relationships>
</file>

<file path=word/_rels/footnotes.xml.rels><?xml version="1.0" encoding="UTF-8"?><Relationships xmlns="http://schemas.openxmlformats.org/package/2006/relationships"><Relationship Type="http://schemas.openxmlformats.org/officeDocument/2006/relationships/hyperlink" Id="rId33" Target="https://quarto.org/docs/output-formats/page-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liste</dc:title>
  <dc:creator>Marc Thévenin</dc:creator>
  <dc:language>fr</dc:language>
  <cp:keywords/>
  <dcterms:created xsi:type="dcterms:W3CDTF">2023-06-09T11:57:35Z</dcterms:created>
  <dcterms:modified xsi:type="dcterms:W3CDTF">2023-06-09T11:57:35Z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Quarto is a multi-language, next generation version of R Markdown from Posit, with many new new features and capabilities. Like R Markdown, Quarto uses Knitr to execute R code, and is therefore able to render most existing Rmd files without modification.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location">
    <vt:lpwstr>margin</vt:lpwstr>
  </property>
  <property fmtid="{D5CDD505-2E9C-101B-9397-08002B2CF9AE}" pid="11" name="date">
    <vt:lpwstr>2023-05-03</vt:lpwstr>
  </property>
  <property fmtid="{D5CDD505-2E9C-101B-9397-08002B2CF9AE}" pid="12" name="header-includes">
    <vt:lpwstr/>
  </property>
  <property fmtid="{D5CDD505-2E9C-101B-9397-08002B2CF9AE}" pid="13" name="image">
    <vt:lpwstr>https://quarto.org/docs/authoring/article-layout_files/figure-html/fig-cap-margin-1.png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Sommaire</vt:lpwstr>
  </property>
</Properties>
</file>