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Autosave</w:t>
      </w:r>
      <w:r>
        <w:rPr>
          <w:bCs/>
          <w:b/>
        </w:rPr>
        <w:t xml:space="preserve"> </w:t>
      </w:r>
      <w:r>
        <w:rPr>
          <w:bCs/>
          <w:b/>
        </w:rPr>
        <w:t xml:space="preserve">des</w:t>
      </w:r>
      <w:r>
        <w:rPr>
          <w:bCs/>
          <w:b/>
        </w:rPr>
        <w:t xml:space="preserve"> </w:t>
      </w:r>
      <w:r>
        <w:rPr>
          <w:bCs/>
          <w:b/>
        </w:rPr>
        <w:t xml:space="preserve">.do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partir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2023-06-27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Sans</w:t>
      </w:r>
      <w:r>
        <w:t xml:space="preserve"> </w:t>
      </w:r>
      <w:r>
        <w:t xml:space="preserve">aucun</w:t>
      </w:r>
      <w:r>
        <w:t xml:space="preserve"> </w:t>
      </w:r>
      <w:r>
        <w:t xml:space="preserve">doute</w:t>
      </w:r>
      <w:r>
        <w:t xml:space="preserve"> </w:t>
      </w:r>
      <w:r>
        <w:t xml:space="preserve">une</w:t>
      </w:r>
      <w:r>
        <w:t xml:space="preserve"> </w:t>
      </w:r>
      <w:r>
        <w:t xml:space="preserve">des</w:t>
      </w:r>
      <w:r>
        <w:t xml:space="preserve"> </w:t>
      </w:r>
      <w:r>
        <w:t xml:space="preserve">fonctionalités</w:t>
      </w:r>
      <w:r>
        <w:t xml:space="preserve"> </w:t>
      </w:r>
      <w:r>
        <w:t xml:space="preserve">les</w:t>
      </w:r>
      <w:r>
        <w:t xml:space="preserve"> </w:t>
      </w:r>
      <w:r>
        <w:t xml:space="preserve">plus</w:t>
      </w:r>
      <w:r>
        <w:t xml:space="preserve"> </w:t>
      </w:r>
      <w:r>
        <w:t xml:space="preserve">intéressantes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version:</w:t>
      </w:r>
      <w:r>
        <w:t xml:space="preserve"> </w:t>
      </w:r>
      <w:r>
        <w:t xml:space="preserve">enfin</w:t>
      </w:r>
      <w:r>
        <w:t xml:space="preserve"> </w:t>
      </w:r>
      <w:r>
        <w:t xml:space="preserve">la</w:t>
      </w:r>
      <w:r>
        <w:t xml:space="preserve"> </w:t>
      </w:r>
      <w:r>
        <w:t xml:space="preserve">présence</w:t>
      </w:r>
      <w:r>
        <w:t xml:space="preserve"> </w:t>
      </w:r>
      <w:r>
        <w:t xml:space="preserve">d’une</w:t>
      </w:r>
      <w:r>
        <w:t xml:space="preserve"> </w:t>
      </w:r>
      <w:r>
        <w:t xml:space="preserve">autosave</w:t>
      </w:r>
      <w:r>
        <w:t xml:space="preserve"> </w:t>
      </w:r>
      <w:r>
        <w:t xml:space="preserve">des</w:t>
      </w:r>
      <w:r>
        <w:t xml:space="preserve"> </w:t>
      </w:r>
      <w:r>
        <w:t xml:space="preserve">.do</w:t>
      </w:r>
      <w:r>
        <w:t xml:space="preserve"> </w:t>
      </w:r>
      <w:r>
        <w:t xml:space="preserve">et</w:t>
      </w:r>
      <w:r>
        <w:t xml:space="preserve"> </w:t>
      </w:r>
      <w:r>
        <w:t xml:space="preserve">.ado.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paramétrer</w:t>
      </w:r>
      <w:r>
        <w:t xml:space="preserve"> </w:t>
      </w:r>
      <w:r>
        <w:t xml:space="preserve">la</w:t>
      </w:r>
      <w:r>
        <w:t xml:space="preserve"> </w:t>
      </w:r>
      <w:r>
        <w:t xml:space="preserve">fréquence</w:t>
      </w:r>
      <w:r>
        <w:t xml:space="preserve"> </w:t>
      </w:r>
      <w:r>
        <w:t xml:space="preserve">d’enregistrement</w:t>
      </w:r>
      <w:r>
        <w:t xml:space="preserve"> </w:t>
      </w:r>
      <w:r>
        <w:t xml:space="preserve">automatique</w:t>
      </w:r>
      <w:r>
        <w:t xml:space="preserve"> </w:t>
      </w:r>
      <w:r>
        <w:t xml:space="preserve">(par</w:t>
      </w:r>
      <w:r>
        <w:t xml:space="preserve"> </w:t>
      </w:r>
      <w:r>
        <w:t xml:space="preserve">défaut</w:t>
      </w:r>
      <w:r>
        <w:t xml:space="preserve"> </w:t>
      </w:r>
      <w:r>
        <w:t xml:space="preserve">4</w:t>
      </w:r>
      <w:r>
        <w:t xml:space="preserve"> </w:t>
      </w:r>
      <w:r>
        <w:t xml:space="preserve">secondes).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Pour faire très court:</w:t>
      </w:r>
    </w:p>
    <w:p>
      <w:pPr>
        <w:numPr>
          <w:ilvl w:val="0"/>
          <w:numId w:val="1001"/>
        </w:numPr>
        <w:pStyle w:val="Compact"/>
      </w:pPr>
      <w:r>
        <w:t xml:space="preserve">Penser à ce que le fichier soit sauvegardé</w:t>
      </w:r>
    </w:p>
    <w:p>
      <w:pPr>
        <w:numPr>
          <w:ilvl w:val="0"/>
          <w:numId w:val="1001"/>
        </w:numPr>
        <w:pStyle w:val="Compact"/>
      </w:pPr>
      <w:r>
        <w:t xml:space="preserve">On peut paramétrer la fréquence de sauvegarde dans les préférences de l’éditeur [edit=&gt;preference=&gt;onglet Advanced]. Par défaut la fréquence est de 4 secondes, ce qui semble suffisant.</w:t>
      </w:r>
    </w:p>
    <w:p>
      <w:pPr>
        <w:numPr>
          <w:ilvl w:val="0"/>
          <w:numId w:val="1001"/>
        </w:numPr>
        <w:pStyle w:val="Compact"/>
      </w:pPr>
      <w:r>
        <w:t xml:space="preserve">Après un crash, ou autre mésaventure, il sera proposer d’ouvrir le fichier sauvegardé automatiquement.</w:t>
      </w:r>
    </w:p>
    <w:p>
      <w:pPr>
        <w:numPr>
          <w:ilvl w:val="0"/>
          <w:numId w:val="1001"/>
        </w:numPr>
        <w:pStyle w:val="Compact"/>
      </w:pPr>
      <w:r>
        <w:t xml:space="preserve">Penser à enregistrer le programme de récupération avec le nom original.</w:t>
      </w:r>
    </w:p>
    <w:p>
      <w:pPr>
        <w:pStyle w:val="FirstParagraph"/>
      </w:pPr>
      <w:r>
        <w:drawing>
          <wp:inline>
            <wp:extent cx="3733800" cy="31825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8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Autosave des .do à partir de Stata 18</dc:title>
  <dc:creator>Marc Thévenin</dc:creator>
  <dc:language>fr</dc:language>
  <cp:keywords/>
  <dcterms:created xsi:type="dcterms:W3CDTF">2024-03-19T10:26:52Z</dcterms:created>
  <dcterms:modified xsi:type="dcterms:W3CDTF">2024-03-19T10:26:52Z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Sans aucun doute une des fonctionalités les plus intéressantes de la version: enfin la présence d’une autosave des .do et .ado. On peut paramétrer la fréquence d’enregistrement automatique (par défaut 4 secondes).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2023-06-27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False</vt:lpwstr>
  </property>
  <property fmtid="{D5CDD505-2E9C-101B-9397-08002B2CF9AE}" pid="22" name="toc-title">
    <vt:lpwstr>Table des matières</vt:lpwstr>
  </property>
</Properties>
</file>