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32.png" ContentType="image/png"/>
  <Override PartName="/word/media/rId43.png" ContentType="image/png"/>
  <Override PartName="/word/media/rId35.png" ContentType="image/png"/>
  <Override PartName="/word/media/rId46.png" ContentType="image/png"/>
  <Override PartName="/word/media/rId29.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Editer</w:t>
      </w:r>
      <w:r>
        <w:rPr>
          <w:bCs/>
          <w:b/>
        </w:rPr>
        <w:t xml:space="preserve"> </w:t>
      </w:r>
      <w:r>
        <w:rPr>
          <w:bCs/>
          <w:b/>
        </w:rPr>
        <w:t xml:space="preserve">des</w:t>
      </w:r>
      <w:r>
        <w:rPr>
          <w:bCs/>
          <w:b/>
        </w:rPr>
        <w:t xml:space="preserve"> </w:t>
      </w:r>
      <w:r>
        <w:rPr>
          <w:bCs/>
          <w:b/>
        </w:rPr>
        <w:t xml:space="preserve">outputs</w:t>
      </w:r>
      <w:r>
        <w:rPr>
          <w:bCs/>
          <w:b/>
        </w:rPr>
        <w:t xml:space="preserve"> </w:t>
      </w:r>
      <w:r>
        <w:rPr>
          <w:bCs/>
          <w:b/>
        </w:rPr>
        <w:t xml:space="preserve">avec</w:t>
      </w:r>
      <w:r>
        <w:rPr>
          <w:bCs/>
          <w:b/>
        </w:rPr>
        <w:t xml:space="preserve"> </w:t>
      </w:r>
      <w:r>
        <w:rPr>
          <w:bCs/>
          <w:b/>
        </w:rPr>
        <w:t xml:space="preserve">collect</w:t>
      </w:r>
    </w:p>
    <w:p>
      <w:pPr>
        <w:pStyle w:val="Author"/>
      </w:pPr>
      <w:r>
        <w:t xml:space="preserve">Marc</w:t>
      </w:r>
      <w:r>
        <w:t xml:space="preserve"> </w:t>
      </w:r>
      <w:r>
        <w:t xml:space="preserve">Thévenin</w:t>
      </w:r>
    </w:p>
    <w:p>
      <w:pPr>
        <w:pStyle w:val="Date"/>
      </w:pPr>
      <w:r>
        <w:t xml:space="preserve">2022-09-26</w:t>
      </w:r>
    </w:p>
    <w:p>
      <w:pPr>
        <w:pStyle w:val="AbstractTitle"/>
      </w:pPr>
      <w:r>
        <w:t xml:space="preserve">Résumé</w:t>
      </w:r>
    </w:p>
    <w:p>
      <w:pPr>
        <w:pStyle w:val="Abstract"/>
      </w:pPr>
      <w:r>
        <w:t xml:space="preserve">La</w:t>
      </w:r>
      <w:r>
        <w:t xml:space="preserve"> </w:t>
      </w:r>
      <w:r>
        <w:t xml:space="preserve">suite</w:t>
      </w:r>
      <w:r>
        <w:t xml:space="preserve"> </w:t>
      </w:r>
      <w:r>
        <w:rPr>
          <w:rStyle w:val="VerbatimChar"/>
          <w:bCs/>
          <w:b/>
        </w:rPr>
        <w:t xml:space="preserve">collect</w:t>
      </w:r>
      <w:r>
        <w:t xml:space="preserve"> </w:t>
      </w:r>
      <w:r>
        <w:t xml:space="preserve">introduite</w:t>
      </w:r>
      <w:r>
        <w:t xml:space="preserve"> </w:t>
      </w:r>
      <w:r>
        <w:t xml:space="preserve">avec</w:t>
      </w:r>
      <w:r>
        <w:t xml:space="preserve"> </w:t>
      </w:r>
      <w:r>
        <w:t xml:space="preserve">le</w:t>
      </w:r>
      <w:r>
        <w:t xml:space="preserve"> </w:t>
      </w:r>
      <w:r>
        <w:t xml:space="preserve">version</w:t>
      </w:r>
      <w:r>
        <w:t xml:space="preserve"> </w:t>
      </w:r>
      <w:r>
        <w:t xml:space="preserve">17</w:t>
      </w:r>
      <w:r>
        <w:t xml:space="preserve"> </w:t>
      </w:r>
      <w:r>
        <w:t xml:space="preserve">va</w:t>
      </w:r>
      <w:r>
        <w:t xml:space="preserve"> </w:t>
      </w:r>
      <w:r>
        <w:t xml:space="preserve">t-elle</w:t>
      </w:r>
      <w:r>
        <w:t xml:space="preserve"> </w:t>
      </w:r>
      <w:r>
        <w:t xml:space="preserve">remplacer</w:t>
      </w:r>
      <w:r>
        <w:t xml:space="preserve"> </w:t>
      </w:r>
      <w:r>
        <w:rPr>
          <w:rStyle w:val="VerbatimChar"/>
        </w:rPr>
        <w:t xml:space="preserve">outreg2</w:t>
      </w:r>
      <w:r>
        <w:t xml:space="preserve"> </w:t>
      </w:r>
      <w:r>
        <w:t xml:space="preserve">et</w:t>
      </w:r>
      <w:r>
        <w:t xml:space="preserve"> </w:t>
      </w:r>
      <w:r>
        <w:t xml:space="preserve">autres</w:t>
      </w:r>
      <w:r>
        <w:t xml:space="preserve"> </w:t>
      </w:r>
      <w:r>
        <w:t xml:space="preserve">commandes</w:t>
      </w:r>
      <w:r>
        <w:t xml:space="preserve"> </w:t>
      </w:r>
      <w:r>
        <w:t xml:space="preserve">de</w:t>
      </w:r>
      <w:r>
        <w:t xml:space="preserve"> </w:t>
      </w:r>
      <w:r>
        <w:t xml:space="preserve">mise</w:t>
      </w:r>
      <w:r>
        <w:t xml:space="preserve"> </w:t>
      </w:r>
      <w:r>
        <w:t xml:space="preserve">en</w:t>
      </w:r>
      <w:r>
        <w:t xml:space="preserve"> </w:t>
      </w:r>
      <w:r>
        <w:t xml:space="preserve">forme</w:t>
      </w:r>
      <w:r>
        <w:t xml:space="preserve"> </w:t>
      </w:r>
      <w:r>
        <w:t xml:space="preserve">et</w:t>
      </w:r>
      <w:r>
        <w:t xml:space="preserve"> </w:t>
      </w:r>
      <w:r>
        <w:t xml:space="preserve">d’exportation</w:t>
      </w:r>
      <w:r>
        <w:t xml:space="preserve"> </w:t>
      </w:r>
      <w:r>
        <w:t xml:space="preserve">de</w:t>
      </w:r>
      <w:r>
        <w:t xml:space="preserve"> </w:t>
      </w:r>
      <w:r>
        <w:t xml:space="preserve">tableaux?</w:t>
      </w:r>
      <w:r>
        <w:t xml:space="preserve"> </w:t>
      </w:r>
      <w:r>
        <w:t xml:space="preserve">Pas</w:t>
      </w:r>
      <w:r>
        <w:t xml:space="preserve"> </w:t>
      </w:r>
      <w:r>
        <w:t xml:space="preserve">encore</w:t>
      </w:r>
      <w:r>
        <w:t xml:space="preserve"> </w:t>
      </w:r>
      <w:r>
        <w:t xml:space="preserve">un</w:t>
      </w:r>
      <w:r>
        <w:t xml:space="preserve"> </w:t>
      </w:r>
      <w:r>
        <w:t xml:space="preserve">tutoriel,</w:t>
      </w:r>
      <w:r>
        <w:t xml:space="preserve"> </w:t>
      </w:r>
      <w:r>
        <w:t xml:space="preserve">dès</w:t>
      </w:r>
      <w:r>
        <w:t xml:space="preserve"> </w:t>
      </w:r>
      <w:r>
        <w:t xml:space="preserve">éléments</w:t>
      </w:r>
      <w:r>
        <w:t xml:space="preserve"> </w:t>
      </w:r>
      <w:r>
        <w:t xml:space="preserve">sont</w:t>
      </w:r>
      <w:r>
        <w:t xml:space="preserve"> </w:t>
      </w:r>
      <w:r>
        <w:t xml:space="preserve">encore</w:t>
      </w:r>
      <w:r>
        <w:t xml:space="preserve"> </w:t>
      </w:r>
      <w:r>
        <w:t xml:space="preserve">obscurs,</w:t>
      </w:r>
      <w:r>
        <w:t xml:space="preserve"> </w:t>
      </w:r>
      <w:r>
        <w:t xml:space="preserve">mais</w:t>
      </w:r>
      <w:r>
        <w:t xml:space="preserve"> </w:t>
      </w:r>
      <w:r>
        <w:t xml:space="preserve">avec</w:t>
      </w:r>
      <w:r>
        <w:t xml:space="preserve"> </w:t>
      </w:r>
      <w:r>
        <w:t xml:space="preserve">quelques</w:t>
      </w:r>
      <w:r>
        <w:t xml:space="preserve"> </w:t>
      </w:r>
      <w:r>
        <w:t xml:space="preserve">copier-coller</w:t>
      </w:r>
      <w:r>
        <w:t xml:space="preserve"> </w:t>
      </w:r>
      <w:r>
        <w:t xml:space="preserve">issus</w:t>
      </w:r>
      <w:r>
        <w:t xml:space="preserve"> </w:t>
      </w:r>
      <w:r>
        <w:t xml:space="preserve">des</w:t>
      </w:r>
      <w:r>
        <w:t xml:space="preserve"> </w:t>
      </w:r>
      <w:r>
        <w:t xml:space="preserve">fichiers</w:t>
      </w:r>
      <w:r>
        <w:t xml:space="preserve"> </w:t>
      </w:r>
      <w:r>
        <w:t xml:space="preserve">d’aide,</w:t>
      </w:r>
      <w:r>
        <w:t xml:space="preserve"> </w:t>
      </w:r>
      <w:r>
        <w:t xml:space="preserve">on</w:t>
      </w:r>
      <w:r>
        <w:t xml:space="preserve"> </w:t>
      </w:r>
      <w:r>
        <w:t xml:space="preserve">présentera</w:t>
      </w:r>
      <w:r>
        <w:t xml:space="preserve"> </w:t>
      </w:r>
      <w:r>
        <w:t xml:space="preserve">deux</w:t>
      </w:r>
      <w:r>
        <w:t xml:space="preserve"> </w:t>
      </w:r>
      <w:r>
        <w:t xml:space="preserve">exemples</w:t>
      </w:r>
      <w:r>
        <w:t xml:space="preserve"> </w:t>
      </w:r>
      <w:r>
        <w:t xml:space="preserve">avec</w:t>
      </w:r>
      <w:r>
        <w:t xml:space="preserve"> </w:t>
      </w:r>
      <w:r>
        <w:t xml:space="preserve">des</w:t>
      </w:r>
      <w:r>
        <w:t xml:space="preserve"> </w:t>
      </w:r>
      <w:r>
        <w:t xml:space="preserve">régressions.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rPr>
          <w:bCs/>
          <w:b/>
        </w:rPr>
        <w:t xml:space="preserve">Principe de la suite</w:t>
      </w:r>
      <w:r>
        <w:rPr>
          <w:bCs/>
          <w:b/>
        </w:rPr>
        <w:t xml:space="preserve"> </w:t>
      </w:r>
      <w:r>
        <w:rPr>
          <w:rStyle w:val="VerbatimChar"/>
          <w:bCs/>
          <w:b/>
        </w:rPr>
        <w:t xml:space="preserve">collect</w:t>
      </w:r>
      <w:r>
        <w:t xml:space="preserve">:</w:t>
      </w:r>
    </w:p>
    <w:p>
      <w:pPr>
        <w:numPr>
          <w:ilvl w:val="0"/>
          <w:numId w:val="1001"/>
        </w:numPr>
        <w:pStyle w:val="Compact"/>
      </w:pPr>
      <w:r>
        <w:t xml:space="preserve">Il s’agit d’un ensemble de commandes pour paramétrer le style des tableaux que l’on souhaite exporter dans des formats comme .doc, .xls, .tex, .html ou .md</w:t>
      </w:r>
    </w:p>
    <w:p>
      <w:pPr>
        <w:numPr>
          <w:ilvl w:val="0"/>
          <w:numId w:val="1001"/>
        </w:numPr>
        <w:pStyle w:val="Compact"/>
      </w:pPr>
      <w:r>
        <w:t xml:space="preserve">Un style peut être enregistré et utilisé à plusieurs reprises.</w:t>
      </w:r>
    </w:p>
    <w:p>
      <w:pPr>
        <w:numPr>
          <w:ilvl w:val="0"/>
          <w:numId w:val="1001"/>
        </w:numPr>
        <w:pStyle w:val="Compact"/>
      </w:pPr>
      <w:r>
        <w:t xml:space="preserve">Un style enregistré peut être modifié pour un tableau spécifique.</w:t>
      </w:r>
    </w:p>
    <w:p>
      <w:pPr>
        <w:pStyle w:val="FirstParagraph"/>
      </w:pPr>
      <w:r>
        <w:t xml:space="preserve">A partir de la base</w:t>
      </w:r>
      <w:r>
        <w:t xml:space="preserve"> </w:t>
      </w:r>
      <w:r>
        <w:rPr>
          <w:iCs/>
          <w:i/>
        </w:rPr>
        <w:t xml:space="preserve">nanhes21</w:t>
      </w:r>
      <w:r>
        <w:t xml:space="preserve">:</w:t>
      </w:r>
    </w:p>
    <w:p>
      <w:pPr>
        <w:numPr>
          <w:ilvl w:val="0"/>
          <w:numId w:val="1002"/>
        </w:numPr>
        <w:pStyle w:val="Compact"/>
      </w:pPr>
      <w:r>
        <w:t xml:space="preserve">Exemple1: Deux modèles avec spécifications différentes. Il s’agit d’une simple OLS qui mesure la pression artérielle</w:t>
      </w:r>
    </w:p>
    <w:p>
      <w:pPr>
        <w:numPr>
          <w:ilvl w:val="0"/>
          <w:numId w:val="1002"/>
        </w:numPr>
        <w:pStyle w:val="Compact"/>
      </w:pPr>
      <w:r>
        <w:t xml:space="preserve">Exemple2: AME après un modèle multinomial avec les outcomes en colonne. Pour des raisons de place, je n’ai gardé que deux des quatres outcomes dans l’output. J’utilise une multinomiale même s’il s’agit d’une variable ordinale; j’ai seulement pris de que j’avais sous la main pour l’exemple.</w:t>
      </w:r>
    </w:p>
    <w:p>
      <w:pPr>
        <w:numPr>
          <w:ilvl w:val="0"/>
          <w:numId w:val="1002"/>
        </w:numPr>
        <w:pStyle w:val="Compact"/>
      </w:pPr>
      <w:r>
        <w:t xml:space="preserve">Dans les tableaux les informations reportées sont les effets marginaux (_r_b), les erreurs type (_r_se) et les p-values (_r_p). D’autres sont disponibles commes les bornes des intervalles de confiances.</w:t>
      </w:r>
    </w:p>
    <w:bookmarkStart w:id="20" w:name="Xec28c3833a2a1745fa28a6d44d7c71ddd5dea15"/>
    <w:p>
      <w:pPr>
        <w:pStyle w:val="Heading1"/>
      </w:pPr>
      <w:r>
        <w:t xml:space="preserve">1. </w:t>
      </w:r>
      <w:r>
        <w:rPr>
          <w:bCs/>
          <w:b/>
        </w:rPr>
        <w:t xml:space="preserve">Définition d’un style pour une suite de tableaux</w:t>
      </w:r>
    </w:p>
    <w:p>
      <w:pPr>
        <w:pStyle w:val="FirstParagraph"/>
      </w:pPr>
      <w:r>
        <w:rPr>
          <w:bCs/>
          <w:b/>
        </w:rPr>
        <w:t xml:space="preserve">Rappel</w:t>
      </w:r>
      <w:r>
        <w:t xml:space="preserve">: un tuto plus complet viendra ultérieurement (s’il y a une demande)</w:t>
      </w:r>
    </w:p>
    <w:p>
      <w:pPr>
        <w:pStyle w:val="SourceCode"/>
      </w:pPr>
      <w:r>
        <w:rPr>
          <w:rStyle w:val="NormalTok"/>
        </w:rPr>
        <w:t xml:space="preserve">collect style </w:t>
      </w:r>
      <w:r>
        <w:rPr>
          <w:rStyle w:val="OtherTok"/>
        </w:rPr>
        <w:t xml:space="preserve">row</w:t>
      </w:r>
      <w:r>
        <w:rPr>
          <w:rStyle w:val="NormalTok"/>
        </w:rPr>
        <w:t xml:space="preserve"> </w:t>
      </w:r>
      <w:r>
        <w:rPr>
          <w:rStyle w:val="KeywordTok"/>
        </w:rPr>
        <w:t xml:space="preserve">split</w:t>
      </w:r>
      <w:r>
        <w:rPr>
          <w:rStyle w:val="NormalTok"/>
        </w:rPr>
        <w:t xml:space="preserve">, dups(first)  </w:t>
      </w:r>
      <w:r>
        <w:rPr>
          <w:rStyle w:val="CommentTok"/>
        </w:rPr>
        <w:t xml:space="preserve">// ajoute le label de la variable à gauche comme nom de variable</w:t>
      </w:r>
      <w:r>
        <w:br/>
      </w:r>
      <w:r>
        <w:rPr>
          <w:rStyle w:val="NormalTok"/>
        </w:rPr>
        <w:t xml:space="preserve">collect style column,    dups(</w:t>
      </w:r>
      <w:r>
        <w:rPr>
          <w:rStyle w:val="BaseNTok"/>
        </w:rPr>
        <w:t xml:space="preserve">center</w:t>
      </w:r>
      <w:r>
        <w:rPr>
          <w:rStyle w:val="NormalTok"/>
        </w:rPr>
        <w:t xml:space="preserve">) </w:t>
      </w:r>
      <w:r>
        <w:rPr>
          <w:rStyle w:val="CommentTok"/>
        </w:rPr>
        <w:t xml:space="preserve">// permet de ne pas multiplier le nombre de cellule sur la première ligne</w:t>
      </w:r>
      <w:r>
        <w:br/>
      </w:r>
      <w:r>
        <w:rPr>
          <w:rStyle w:val="NormalTok"/>
        </w:rPr>
        <w:t xml:space="preserve">collect style cell result[_r_b _r_se _r_p], nformat(%8.3f)   </w:t>
      </w:r>
      <w:r>
        <w:rPr>
          <w:rStyle w:val="CommentTok"/>
        </w:rPr>
        <w:t xml:space="preserve">// décimales des valeurs (ici idem)</w:t>
      </w:r>
      <w:r>
        <w:br/>
      </w:r>
      <w:r>
        <w:rPr>
          <w:rStyle w:val="NormalTok"/>
        </w:rPr>
        <w:t xml:space="preserve">collect style cell border_block,  border(right, pattern(nil)) </w:t>
      </w:r>
      <w:r>
        <w:rPr>
          <w:rStyle w:val="CommentTok"/>
        </w:rPr>
        <w:t xml:space="preserve">// bête copier-coller, je n'ai pas testé avec/sans</w:t>
      </w:r>
      <w:r>
        <w:br/>
      </w:r>
      <w:r>
        <w:rPr>
          <w:rStyle w:val="NormalTok"/>
        </w:rPr>
        <w:t xml:space="preserve">collect layout (colname) (cmdset#result)  </w:t>
      </w:r>
      <w:r>
        <w:rPr>
          <w:rStyle w:val="CommentTok"/>
        </w:rPr>
        <w:t xml:space="preserve">// Cette ligne semble obligatoire même si on ne définit pas de style</w:t>
      </w:r>
      <w:r>
        <w:br/>
      </w:r>
      <w:r>
        <w:rPr>
          <w:rStyle w:val="NormalTok"/>
        </w:rPr>
        <w:t xml:space="preserve">                          </w:t>
      </w:r>
      <w:r>
        <w:br/>
      </w:r>
      <w:r>
        <w:rPr>
          <w:rStyle w:val="NormalTok"/>
        </w:rPr>
        <w:t xml:space="preserve">collect </w:t>
      </w:r>
      <w:r>
        <w:rPr>
          <w:rStyle w:val="KeywordTok"/>
        </w:rPr>
        <w:t xml:space="preserve">save</w:t>
      </w:r>
      <w:r>
        <w:rPr>
          <w:rStyle w:val="NormalTok"/>
        </w:rPr>
        <w:t xml:space="preserve"> multimod , </w:t>
      </w:r>
      <w:r>
        <w:rPr>
          <w:rStyle w:val="KeywordTok"/>
        </w:rPr>
        <w:t xml:space="preserve">replace</w:t>
      </w:r>
      <w:r>
        <w:rPr>
          <w:rStyle w:val="NormalTok"/>
        </w:rPr>
        <w:t xml:space="preserve">   </w:t>
      </w:r>
      <w:r>
        <w:rPr>
          <w:rStyle w:val="CommentTok"/>
        </w:rPr>
        <w:t xml:space="preserve">// sauvegarde dans repertoire temporaire du style appelé ici multimod (format .stjson)</w:t>
      </w:r>
    </w:p>
    <w:p>
      <w:pPr>
        <w:pStyle w:val="SourceCode"/>
      </w:pPr>
      <w:r>
        <w:rPr>
          <w:rStyle w:val="VerbatimChar"/>
        </w:rPr>
        <w:t xml:space="preserve">&lt;IPython.core.display.HTML object&gt;</w:t>
      </w:r>
    </w:p>
    <w:p>
      <w:pPr>
        <w:pStyle w:val="SourceCode"/>
      </w:pPr>
      <w:r>
        <w:rPr>
          <w:rStyle w:val="VerbatimChar"/>
        </w:rPr>
        <w:t xml:space="preserve">(dimension result not found)</w:t>
      </w:r>
      <w:r>
        <w:br/>
      </w:r>
      <w:r>
        <w:rPr>
          <w:rStyle w:val="VerbatimChar"/>
        </w:rPr>
        <w:t xml:space="preserve">(dimension border_block not found)</w:t>
      </w:r>
      <w:r>
        <w:br/>
      </w:r>
      <w:r>
        <w:rPr>
          <w:rStyle w:val="VerbatimChar"/>
        </w:rPr>
        <w:t xml:space="preserve">(dimension colname not found)</w:t>
      </w:r>
      <w:r>
        <w:br/>
      </w:r>
      <w:r>
        <w:rPr>
          <w:rStyle w:val="VerbatimChar"/>
        </w:rPr>
        <w:t xml:space="preserve">(dimension cmdset not found)</w:t>
      </w:r>
      <w:r>
        <w:br/>
      </w:r>
      <w:r>
        <w:br/>
      </w:r>
      <w:r>
        <w:rPr>
          <w:rStyle w:val="VerbatimChar"/>
        </w:rPr>
        <w:t xml:space="preserve">Collection: default</w:t>
      </w:r>
      <w:r>
        <w:br/>
      </w:r>
      <w:r>
        <w:rPr>
          <w:rStyle w:val="VerbatimChar"/>
        </w:rPr>
        <w:t xml:space="preserve">      Rows: colname</w:t>
      </w:r>
      <w:r>
        <w:br/>
      </w:r>
      <w:r>
        <w:rPr>
          <w:rStyle w:val="VerbatimChar"/>
        </w:rPr>
        <w:t xml:space="preserve">   Columns: cmdset#result</w:t>
      </w:r>
      <w:r>
        <w:br/>
      </w:r>
      <w:r>
        <w:br/>
      </w:r>
      <w:r>
        <w:rPr>
          <w:rStyle w:val="VerbatimChar"/>
        </w:rPr>
        <w:t xml:space="preserve">Your layout specification does not identify any items.</w:t>
      </w:r>
      <w:r>
        <w:br/>
      </w:r>
      <w:r>
        <w:rPr>
          <w:rStyle w:val="VerbatimChar"/>
        </w:rPr>
        <w:t xml:space="preserve">(collection default saved to file multimod.stjson)</w:t>
      </w:r>
    </w:p>
    <w:bookmarkEnd w:id="20"/>
    <w:bookmarkStart w:id="49" w:name="exemples"/>
    <w:p>
      <w:pPr>
        <w:pStyle w:val="Heading1"/>
      </w:pPr>
      <w:r>
        <w:t xml:space="preserve">2. </w:t>
      </w:r>
      <w:r>
        <w:rPr>
          <w:bCs/>
          <w:b/>
        </w:rPr>
        <w:t xml:space="preserve">Exemples</w:t>
      </w:r>
    </w:p>
    <w:p>
      <w:pPr>
        <w:pStyle w:val="FirstParagraph"/>
      </w:pPr>
      <w:r>
        <w:t xml:space="preserve">Ouverture de la base</w:t>
      </w:r>
    </w:p>
    <w:p>
      <w:pPr>
        <w:pStyle w:val="SourceCode"/>
      </w:pPr>
      <w:r>
        <w:rPr>
          <w:rStyle w:val="KeywordTok"/>
        </w:rPr>
        <w:t xml:space="preserve">qui</w:t>
      </w:r>
      <w:r>
        <w:rPr>
          <w:rStyle w:val="NormalTok"/>
        </w:rPr>
        <w:t xml:space="preserve"> </w:t>
      </w:r>
      <w:r>
        <w:rPr>
          <w:rStyle w:val="KeywordTok"/>
        </w:rPr>
        <w:t xml:space="preserve">use</w:t>
      </w:r>
      <w:r>
        <w:rPr>
          <w:rStyle w:val="NormalTok"/>
        </w:rPr>
        <w:t xml:space="preserve"> https:</w:t>
      </w:r>
      <w:r>
        <w:rPr>
          <w:rStyle w:val="CommentTok"/>
        </w:rPr>
        <w:t xml:space="preserve">//www.stata-press.com/data/r17/nhanes2l, clear</w:t>
      </w:r>
      <w:r>
        <w:br/>
      </w:r>
      <w:r>
        <w:rPr>
          <w:rStyle w:val="KeywordTok"/>
        </w:rPr>
        <w:t xml:space="preserve">qui</w:t>
      </w:r>
      <w:r>
        <w:rPr>
          <w:rStyle w:val="NormalTok"/>
        </w:rPr>
        <w:t xml:space="preserve"> </w:t>
      </w:r>
      <w:r>
        <w:rPr>
          <w:rStyle w:val="KeywordTok"/>
        </w:rPr>
        <w:t xml:space="preserve">save</w:t>
      </w:r>
      <w:r>
        <w:rPr>
          <w:rStyle w:val="NormalTok"/>
        </w:rPr>
        <w:t xml:space="preserve"> nhanes, </w:t>
      </w:r>
      <w:r>
        <w:rPr>
          <w:rStyle w:val="KeywordTok"/>
        </w:rPr>
        <w:t xml:space="preserve">replace</w:t>
      </w:r>
    </w:p>
    <w:bookmarkStart w:id="28" w:name="ols"/>
    <w:p>
      <w:pPr>
        <w:pStyle w:val="Heading2"/>
      </w:pPr>
      <w:r>
        <w:t xml:space="preserve">2.1</w:t>
      </w:r>
      <w:r>
        <w:t xml:space="preserve"> </w:t>
      </w:r>
      <w:r>
        <w:rPr>
          <w:bCs/>
          <w:b/>
        </w:rPr>
        <w:t xml:space="preserve">Ols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thevenin_m\AppData\Local\Programs\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BodyText"/>
            </w:pPr>
            <w:pPr>
              <w:spacing w:before="16"/>
            </w:pPr>
            <w:r>
              <w:t xml:space="preserve">Lorsqu’on génère un tableau avec</w:t>
            </w:r>
            <w:r>
              <w:t xml:space="preserve"> </w:t>
            </w:r>
            <w:r>
              <w:rPr>
                <w:rStyle w:val="VerbatimChar"/>
              </w:rPr>
              <w:t xml:space="preserve">collect</w:t>
            </w:r>
            <w:r>
              <w:t xml:space="preserve"> </w:t>
            </w:r>
            <w:r>
              <w:t xml:space="preserve">avec un même style il me semble préférable d’exécuter systématiquement:</w:t>
            </w:r>
          </w:p>
          <w:p>
            <w:pPr>
              <w:pStyle w:val="SourceCode"/>
            </w:pPr>
            <w:r>
              <w:rPr>
                <w:rStyle w:val="NormalTok"/>
              </w:rPr>
              <w:t xml:space="preserve">collect clear</w:t>
            </w:r>
            <w:r>
              <w:br/>
            </w:r>
            <w:r>
              <w:rPr>
                <w:rStyle w:val="NormalTok"/>
              </w:rPr>
              <w:t xml:space="preserve">collect use nom_style, replace</w:t>
            </w:r>
          </w:p>
        </w:tc>
      </w:tr>
    </w:tbl>
    <w:p>
      <w:pPr>
        <w:pStyle w:val="FirstParagraph"/>
      </w:pPr>
      <w:r>
        <w:rPr>
          <w:bCs/>
          <w:b/>
        </w:rPr>
        <w:t xml:space="preserve">Estimation du modèle avec</w:t>
      </w:r>
      <w:r>
        <w:rPr>
          <w:bCs/>
          <w:b/>
        </w:rPr>
        <w:t xml:space="preserve"> </w:t>
      </w:r>
      <w:r>
        <w:rPr>
          <w:rStyle w:val="VerbatimChar"/>
          <w:bCs/>
          <w:b/>
        </w:rPr>
        <w:t xml:space="preserve">collect</w:t>
      </w:r>
    </w:p>
    <w:p>
      <w:pPr>
        <w:pStyle w:val="SourceCode"/>
      </w:pPr>
      <w:r>
        <w:rPr>
          <w:rStyle w:val="KeywordTok"/>
        </w:rPr>
        <w:t xml:space="preserve">qui</w:t>
      </w:r>
      <w:r>
        <w:rPr>
          <w:rStyle w:val="NormalTok"/>
        </w:rPr>
        <w:t xml:space="preserve">: collect _r_b _r_se _r_p: </w:t>
      </w:r>
      <w:r>
        <w:rPr>
          <w:rStyle w:val="KeywordTok"/>
        </w:rPr>
        <w:t xml:space="preserve">regress</w:t>
      </w:r>
      <w:r>
        <w:rPr>
          <w:rStyle w:val="NormalTok"/>
        </w:rPr>
        <w:t xml:space="preserve"> bpsystol i.agegrp i.region</w:t>
      </w:r>
      <w:r>
        <w:br/>
      </w:r>
      <w:r>
        <w:rPr>
          <w:rStyle w:val="KeywordTok"/>
        </w:rPr>
        <w:t xml:space="preserve">qui</w:t>
      </w:r>
      <w:r>
        <w:rPr>
          <w:rStyle w:val="NormalTok"/>
        </w:rPr>
        <w:t xml:space="preserve">: collect _r_b _r_se _r_p: </w:t>
      </w:r>
      <w:r>
        <w:rPr>
          <w:rStyle w:val="KeywordTok"/>
        </w:rPr>
        <w:t xml:space="preserve">regress</w:t>
      </w:r>
      <w:r>
        <w:rPr>
          <w:rStyle w:val="NormalTok"/>
        </w:rPr>
        <w:t xml:space="preserve"> bpsystol i.agegrp i.region i.sex</w:t>
      </w:r>
    </w:p>
    <w:p>
      <w:pPr>
        <w:pStyle w:val="FirstParagraph"/>
      </w:pPr>
      <w:r>
        <w:rPr>
          <w:bCs/>
          <w:b/>
        </w:rPr>
        <w:t xml:space="preserve">Modification du style pour ajouter le nom des modèles</w:t>
      </w:r>
    </w:p>
    <w:p>
      <w:pPr>
        <w:pStyle w:val="SourceCode"/>
      </w:pP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"Modèle 1"</w:t>
      </w:r>
      <w:r>
        <w:rPr>
          <w:rStyle w:val="NormalTok"/>
        </w:rPr>
        <w:t xml:space="preserve"> 2 </w:t>
      </w:r>
      <w:r>
        <w:rPr>
          <w:rStyle w:val="StringTok"/>
        </w:rPr>
        <w:t xml:space="preserve">"Modèle 2"</w:t>
      </w:r>
      <w:r>
        <w:rPr>
          <w:rStyle w:val="NormalTok"/>
        </w:rPr>
        <w:t xml:space="preserve"> </w:t>
      </w:r>
    </w:p>
    <w:p>
      <w:pPr>
        <w:pStyle w:val="FirstParagraph"/>
      </w:pPr>
      <w:r>
        <w:t xml:space="preserve">On peut également ajouter un titre, modifier les labels des variables, je pense aussi les libellées des colonnes pour les indicateurs (par exemple AME au lieu de Coefficient).</w:t>
      </w:r>
    </w:p>
    <w:p>
      <w:pPr>
        <w:pStyle w:val="BodyText"/>
      </w:pPr>
      <w:r>
        <w:rPr>
          <w:bCs/>
          <w:b/>
        </w:rPr>
        <w:t xml:space="preserve">Prévisualisation du tableau</w:t>
      </w:r>
    </w:p>
    <w:p>
      <w:pPr>
        <w:pStyle w:val="SourceCode"/>
      </w:pPr>
      <w:r>
        <w:rPr>
          <w:rStyle w:val="NormalTok"/>
        </w:rPr>
        <w:t xml:space="preserve">collect preview</w:t>
      </w:r>
    </w:p>
    <w:p>
      <w:pPr>
        <w:pStyle w:val="SourceCode"/>
      </w:pPr>
      <w:r>
        <w:br/>
      </w:r>
      <w:r>
        <w:rPr>
          <w:rStyle w:val="VerbatimChar"/>
        </w:rPr>
        <w:t xml:space="preserve">--------------------------------------------------------------------------------</w:t>
      </w:r>
      <w:r>
        <w:br/>
      </w:r>
      <w:r>
        <w:rPr>
          <w:rStyle w:val="VerbatimChar"/>
        </w:rPr>
        <w:t xml:space="preserve">                 |            Modèle 1                       Modèle 2           </w:t>
      </w:r>
      <w:r>
        <w:br/>
      </w:r>
      <w:r>
        <w:rPr>
          <w:rStyle w:val="VerbatimChar"/>
        </w:rPr>
        <w:t xml:space="preserve">                 | Coefficient Std. error p-value Coefficient Std. error p-value</w:t>
      </w:r>
      <w:r>
        <w:br/>
      </w:r>
      <w:r>
        <w:rPr>
          <w:rStyle w:val="VerbatimChar"/>
        </w:rPr>
        <w:t xml:space="preserve">-----------------+--------------------------------------------------------------</w:t>
      </w:r>
      <w:r>
        <w:br/>
      </w:r>
      <w:r>
        <w:rPr>
          <w:rStyle w:val="VerbatimChar"/>
        </w:rPr>
        <w:t xml:space="preserve">Age group 20–29  |       0.000      0.000               0.000      0.000        </w:t>
      </w:r>
      <w:r>
        <w:br/>
      </w:r>
      <w:r>
        <w:rPr>
          <w:rStyle w:val="VerbatimChar"/>
        </w:rPr>
        <w:t xml:space="preserve">          30–39  |       2.891      0.664   0.000       2.917      0.661   0.000</w:t>
      </w:r>
      <w:r>
        <w:br/>
      </w:r>
      <w:r>
        <w:rPr>
          <w:rStyle w:val="VerbatimChar"/>
        </w:rPr>
        <w:t xml:space="preserve">          40–49  |       9.580      0.716   0.000       9.584      0.713   0.000</w:t>
      </w:r>
      <w:r>
        <w:br/>
      </w:r>
      <w:r>
        <w:rPr>
          <w:rStyle w:val="VerbatimChar"/>
        </w:rPr>
        <w:t xml:space="preserve">          50–59  |      18.324      0.713   0.000      18.384      0.710   0.000</w:t>
      </w:r>
      <w:r>
        <w:br/>
      </w:r>
      <w:r>
        <w:rPr>
          <w:rStyle w:val="VerbatimChar"/>
        </w:rPr>
        <w:t xml:space="preserve">          60–69  |      24.184      0.574   0.000      24.193      0.571   0.000</w:t>
      </w:r>
      <w:r>
        <w:br/>
      </w:r>
      <w:r>
        <w:rPr>
          <w:rStyle w:val="VerbatimChar"/>
        </w:rPr>
        <w:t xml:space="preserve">          70+    |      30.851      0.780   0.000      30.958      0.777   0.000</w:t>
      </w:r>
      <w:r>
        <w:br/>
      </w:r>
      <w:r>
        <w:rPr>
          <w:rStyle w:val="VerbatimChar"/>
        </w:rPr>
        <w:t xml:space="preserve">Region    NE     |       0.000      0.000               0.000      0.000        </w:t>
      </w:r>
      <w:r>
        <w:br/>
      </w:r>
      <w:r>
        <w:rPr>
          <w:rStyle w:val="VerbatimChar"/>
        </w:rPr>
        <w:t xml:space="preserve">          MW     |      -0.023      0.595   0.969       0.033      0.592   0.956</w:t>
      </w:r>
      <w:r>
        <w:br/>
      </w:r>
      <w:r>
        <w:rPr>
          <w:rStyle w:val="VerbatimChar"/>
        </w:rPr>
        <w:t xml:space="preserve">          S      |      -0.303      0.591   0.608      -0.227      0.588   0.699</w:t>
      </w:r>
      <w:r>
        <w:br/>
      </w:r>
      <w:r>
        <w:rPr>
          <w:rStyle w:val="VerbatimChar"/>
        </w:rPr>
        <w:t xml:space="preserve">          W      |      -0.777      0.601   0.196      -0.745      0.599   0.213</w:t>
      </w:r>
      <w:r>
        <w:br/>
      </w:r>
      <w:r>
        <w:rPr>
          <w:rStyle w:val="VerbatimChar"/>
        </w:rPr>
        <w:t xml:space="preserve">Sex       Male   |                                      0.000      0.000        </w:t>
      </w:r>
      <w:r>
        <w:br/>
      </w:r>
      <w:r>
        <w:rPr>
          <w:rStyle w:val="VerbatimChar"/>
        </w:rPr>
        <w:t xml:space="preserve">          Female |                                     -4.015      0.402   0.000</w:t>
      </w:r>
      <w:r>
        <w:br/>
      </w:r>
      <w:r>
        <w:rPr>
          <w:rStyle w:val="VerbatimChar"/>
        </w:rPr>
        <w:t xml:space="preserve">Intercept        |     117.632      0.589   0.000     119.672      0.621   0.000</w:t>
      </w:r>
      <w:r>
        <w:br/>
      </w:r>
      <w:r>
        <w:rPr>
          <w:rStyle w:val="VerbatimChar"/>
        </w:rPr>
        <w:t xml:space="preserve">--------------------------------------------------------------------------------</w:t>
      </w:r>
    </w:p>
    <w:p>
      <w:pPr>
        <w:pStyle w:val="FirstParagraph"/>
      </w:pPr>
      <w:r>
        <w:rPr>
          <w:iCs/>
          <w:i/>
        </w:rPr>
        <w:t xml:space="preserve">Remarque</w:t>
      </w:r>
      <w:r>
        <w:t xml:space="preserve">: on peut supprimer les baselines, mais je n’ai pas trouvé comment mettre par exemple</w:t>
      </w:r>
      <w:r>
        <w:t xml:space="preserve"> </w:t>
      </w:r>
      <w:r>
        <w:rPr>
          <w:iCs/>
          <w:i/>
        </w:rPr>
        <w:t xml:space="preserve">ref</w:t>
      </w:r>
      <w:r>
        <w:t xml:space="preserve"> </w:t>
      </w:r>
      <w:r>
        <w:t xml:space="preserve">pour la contrainte à 0.</w:t>
      </w:r>
    </w:p>
    <w:p>
      <w:pPr>
        <w:pStyle w:val="BodyText"/>
      </w:pPr>
      <w:r>
        <w:rPr>
          <w:bCs/>
          <w:b/>
        </w:rPr>
        <w:t xml:space="preserve">Exportations</w:t>
      </w:r>
      <w:r>
        <w:br/>
      </w:r>
      <w:r>
        <w:t xml:space="preserve">J’ai vu large pour l’exemple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thevenin_m\AppData\Local\Programs\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Exportation latex</w:t>
            </w:r>
          </w:p>
        </w:tc>
      </w:tr>
      <w:tr>
        <w:trPr>
          <w:cantSplit/>
        </w:trPr>
        <w:tc>
          <w:tcPr>
            <w:tcMar>
              <w:top w:w="108" w:type="dxa"/>
              <w:bottom w:w="108" w:type="dxa"/>
            </w:tcMar>
          </w:tcPr>
          <w:p>
            <w:pPr>
              <w:pStyle w:val="BodyText"/>
            </w:pPr>
            <w:pPr>
              <w:spacing w:before="16" w:after="16"/>
            </w:pPr>
            <w:r>
              <w:t xml:space="preserve">Mettre l’option</w:t>
            </w:r>
            <w:r>
              <w:t xml:space="preserve"> </w:t>
            </w:r>
            <w:r>
              <w:rPr>
                <w:rStyle w:val="VerbatimChar"/>
                <w:bCs/>
                <w:b/>
              </w:rPr>
              <w:t xml:space="preserve">tableonly</w:t>
            </w:r>
            <w:r>
              <w:t xml:space="preserve"> </w:t>
            </w:r>
            <w:r>
              <w:t xml:space="preserve">pour que la balise d’ouverture soit celle d’un tableau et non d’un document.</w:t>
            </w:r>
          </w:p>
        </w:tc>
      </w:tr>
    </w:tbl>
    <w:p>
      <w:pPr>
        <w:pStyle w:val="BodyText"/>
      </w:pPr>
      <w:r>
        <w:t xml:space="preserve"> </w:t>
      </w:r>
    </w:p>
    <w:p>
      <w:pPr>
        <w:pStyle w:val="SourceCode"/>
      </w:pPr>
      <w:r>
        <w:rPr>
          <w:rStyle w:val="VerbatimChar"/>
        </w:rPr>
        <w:t xml:space="preserve">collect export ex1, as(docx)     replace</w:t>
      </w:r>
      <w:r>
        <w:br/>
      </w:r>
      <w:r>
        <w:rPr>
          <w:rStyle w:val="VerbatimChar"/>
        </w:rPr>
        <w:t xml:space="preserve">collect export ex1, as(xls)      replace</w:t>
      </w:r>
      <w:r>
        <w:br/>
      </w:r>
      <w:r>
        <w:rPr>
          <w:rStyle w:val="VerbatimChar"/>
        </w:rPr>
        <w:t xml:space="preserve">collect export ex1, as(tex)      replace tableonly</w:t>
      </w:r>
      <w:r>
        <w:br/>
      </w:r>
      <w:r>
        <w:rPr>
          <w:rStyle w:val="VerbatimChar"/>
        </w:rPr>
        <w:t xml:space="preserve">collect export ex1, as(html)     replace</w:t>
      </w:r>
      <w:r>
        <w:br/>
      </w:r>
      <w:r>
        <w:rPr>
          <w:rStyle w:val="VerbatimChar"/>
        </w:rPr>
        <w:t xml:space="preserve">collect export ex1, as(markdown) replace</w:t>
      </w:r>
    </w:p>
    <w:p>
      <w:pPr>
        <w:pStyle w:val="FirstParagraph"/>
      </w:pPr>
      <w:r>
        <w:t xml:space="preserve">Ensemble du programme (sauf la création du style multimod et les exportations)</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multimod</w:t>
      </w:r>
      <w:r>
        <w:br/>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br/>
      </w: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"Modèle 1"</w:t>
      </w:r>
      <w:r>
        <w:rPr>
          <w:rStyle w:val="NormalTok"/>
        </w:rPr>
        <w:t xml:space="preserve"> 2 </w:t>
      </w:r>
      <w:r>
        <w:rPr>
          <w:rStyle w:val="StringTok"/>
        </w:rPr>
        <w:t xml:space="preserve">"Modèle 2"</w:t>
      </w:r>
      <w:r>
        <w:br/>
      </w:r>
      <w:r>
        <w:br/>
      </w:r>
      <w:r>
        <w:rPr>
          <w:rStyle w:val="NormalTok"/>
        </w:rPr>
        <w:t xml:space="preserve">collect preview</w:t>
      </w:r>
    </w:p>
    <w:p>
      <w:pPr>
        <w:pStyle w:val="SourceCode"/>
      </w:pPr>
      <w:r>
        <w:rPr>
          <w:rStyle w:val="VerbatimChar"/>
        </w:rPr>
        <w:t xml:space="preserve">(collection default read from file multimod.stjson)</w:t>
      </w:r>
      <w:r>
        <w:br/>
      </w:r>
      <w:r>
        <w:br/>
      </w:r>
      <w:r>
        <w:rPr>
          <w:rStyle w:val="VerbatimChar"/>
        </w:rPr>
        <w:t xml:space="preserve">------------------------------------------------------------------------------</w:t>
      </w:r>
      <w:r>
        <w:br/>
      </w:r>
      <w:r>
        <w:rPr>
          <w:rStyle w:val="VerbatimChar"/>
        </w:rPr>
        <w:t xml:space="preserve">                            Modèle 1                       Modèle 2           </w:t>
      </w:r>
      <w:r>
        <w:br/>
      </w:r>
      <w:r>
        <w:rPr>
          <w:rStyle w:val="VerbatimChar"/>
        </w:rPr>
        <w:t xml:space="preserve">                 Coefficient Std. error p-value Coefficient Std. error p-value</w:t>
      </w:r>
      <w:r>
        <w:br/>
      </w:r>
      <w:r>
        <w:rPr>
          <w:rStyle w:val="VerbatimChar"/>
        </w:rPr>
        <w:t xml:space="preserve">------------------------------------------------------------------------------</w:t>
      </w:r>
      <w:r>
        <w:br/>
      </w:r>
      <w:r>
        <w:rPr>
          <w:rStyle w:val="VerbatimChar"/>
        </w:rPr>
        <w:t xml:space="preserve">Age group 20–29        0.000      0.000               0.000      0.000        </w:t>
      </w:r>
      <w:r>
        <w:br/>
      </w:r>
      <w:r>
        <w:rPr>
          <w:rStyle w:val="VerbatimChar"/>
        </w:rPr>
        <w:t xml:space="preserve">          30–39        2.891      0.664   0.000       2.917      0.661   0.000</w:t>
      </w:r>
      <w:r>
        <w:br/>
      </w:r>
      <w:r>
        <w:rPr>
          <w:rStyle w:val="VerbatimChar"/>
        </w:rPr>
        <w:t xml:space="preserve">          40–49        9.580      0.716   0.000       9.584      0.713   0.000</w:t>
      </w:r>
      <w:r>
        <w:br/>
      </w:r>
      <w:r>
        <w:rPr>
          <w:rStyle w:val="VerbatimChar"/>
        </w:rPr>
        <w:t xml:space="preserve">          50–59       18.324      0.713   0.000      18.384      0.710   0.000</w:t>
      </w:r>
      <w:r>
        <w:br/>
      </w:r>
      <w:r>
        <w:rPr>
          <w:rStyle w:val="VerbatimChar"/>
        </w:rPr>
        <w:t xml:space="preserve">          60–69       24.184      0.574   0.000      24.193      0.571   0.000</w:t>
      </w:r>
      <w:r>
        <w:br/>
      </w:r>
      <w:r>
        <w:rPr>
          <w:rStyle w:val="VerbatimChar"/>
        </w:rPr>
        <w:t xml:space="preserve">          70+         30.851      0.780   0.000      30.958      0.777   0.000</w:t>
      </w:r>
      <w:r>
        <w:br/>
      </w:r>
      <w:r>
        <w:rPr>
          <w:rStyle w:val="VerbatimChar"/>
        </w:rPr>
        <w:t xml:space="preserve">Region    NE           0.000      0.000               0.000      0.000        </w:t>
      </w:r>
      <w:r>
        <w:br/>
      </w:r>
      <w:r>
        <w:rPr>
          <w:rStyle w:val="VerbatimChar"/>
        </w:rPr>
        <w:t xml:space="preserve">          MW          -0.023      0.595   0.969       0.033      0.592   0.956</w:t>
      </w:r>
      <w:r>
        <w:br/>
      </w:r>
      <w:r>
        <w:rPr>
          <w:rStyle w:val="VerbatimChar"/>
        </w:rPr>
        <w:t xml:space="preserve">          S           -0.303      0.591   0.608      -0.227      0.588   0.699</w:t>
      </w:r>
      <w:r>
        <w:br/>
      </w:r>
      <w:r>
        <w:rPr>
          <w:rStyle w:val="VerbatimChar"/>
        </w:rPr>
        <w:t xml:space="preserve">          W           -0.777      0.601   0.196      -0.745      0.599   0.213</w:t>
      </w:r>
      <w:r>
        <w:br/>
      </w:r>
      <w:r>
        <w:rPr>
          <w:rStyle w:val="VerbatimChar"/>
        </w:rPr>
        <w:t xml:space="preserve">Sex       Male                                        0.000      0.000        </w:t>
      </w:r>
      <w:r>
        <w:br/>
      </w:r>
      <w:r>
        <w:rPr>
          <w:rStyle w:val="VerbatimChar"/>
        </w:rPr>
        <w:t xml:space="preserve">          Female                                     -4.015      0.402   0.000</w:t>
      </w:r>
      <w:r>
        <w:br/>
      </w:r>
      <w:r>
        <w:rPr>
          <w:rStyle w:val="VerbatimChar"/>
        </w:rPr>
        <w:t xml:space="preserve">Intercept            117.632      0.589   0.000     119.672      0.621   0.000</w:t>
      </w:r>
      <w:r>
        <w:br/>
      </w:r>
      <w:r>
        <w:rPr>
          <w:rStyle w:val="VerbatimChar"/>
        </w:rPr>
        <w:t xml:space="preserve">------------------------------------------------------------------------------</w:t>
      </w:r>
    </w:p>
    <w:bookmarkStart w:id="27" w:name="visualisation-des-exportations"/>
    <w:p>
      <w:pPr>
        <w:pStyle w:val="Heading3"/>
      </w:pPr>
      <w:r>
        <w:t xml:space="preserve">2.1.1</w:t>
      </w:r>
      <w:r>
        <w:t xml:space="preserve"> </w:t>
      </w:r>
      <w:r>
        <w:rPr>
          <w:bCs/>
          <w:b/>
        </w:rPr>
        <w:t xml:space="preserve">Visualisation des exportations</w:t>
      </w:r>
    </w:p>
    <w:bookmarkEnd w:id="27"/>
    <w:bookmarkEnd w:id="28"/>
    <w:p>
      <w:pPr>
        <w:pStyle w:val="Heading2"/>
      </w:pPr>
      <w:r>
        <w:rPr>
          <w:bCs/>
          <w:b/>
        </w:rPr>
        <w:t xml:space="preserve">Word</w:t>
      </w:r>
    </w:p>
    <w:p>
      <w:pPr>
        <w:pStyle w:val="FirstParagraph"/>
      </w:pPr>
      <w:r>
        <w:drawing>
          <wp:inline>
            <wp:extent cx="5334000" cy="2494077"/>
            <wp:effectExtent b="0" l="0" r="0" t="0"/>
            <wp:docPr descr="" title="" id="30" name="Picture"/>
            <a:graphic>
              <a:graphicData uri="http://schemas.openxmlformats.org/drawingml/2006/picture">
                <pic:pic>
                  <pic:nvPicPr>
                    <pic:cNvPr descr="word1.PNG" id="31" name="Picture"/>
                    <pic:cNvPicPr>
                      <a:picLocks noChangeArrowheads="1" noChangeAspect="1"/>
                    </pic:cNvPicPr>
                  </pic:nvPicPr>
                  <pic:blipFill>
                    <a:blip r:embed="rId29"/>
                    <a:stretch>
                      <a:fillRect/>
                    </a:stretch>
                  </pic:blipFill>
                  <pic:spPr bwMode="auto">
                    <a:xfrm>
                      <a:off x="0" y="0"/>
                      <a:ext cx="5334000" cy="2494077"/>
                    </a:xfrm>
                    <a:prstGeom prst="rect">
                      <a:avLst/>
                    </a:prstGeom>
                    <a:noFill/>
                    <a:ln w="9525">
                      <a:noFill/>
                      <a:headEnd/>
                      <a:tailEnd/>
                    </a:ln>
                  </pic:spPr>
                </pic:pic>
              </a:graphicData>
            </a:graphic>
          </wp:inline>
        </w:drawing>
      </w:r>
    </w:p>
    <w:p>
      <w:pPr>
        <w:pStyle w:val="Heading2"/>
      </w:pPr>
      <w:r>
        <w:rPr>
          <w:bCs/>
          <w:b/>
        </w:rPr>
        <w:t xml:space="preserve">Excel</w:t>
      </w:r>
    </w:p>
    <w:p>
      <w:pPr>
        <w:pStyle w:val="FirstParagraph"/>
      </w:pPr>
      <w:r>
        <w:drawing>
          <wp:inline>
            <wp:extent cx="5334000" cy="2577970"/>
            <wp:effectExtent b="0" l="0" r="0" t="0"/>
            <wp:docPr descr="" title="" id="33" name="Picture"/>
            <a:graphic>
              <a:graphicData uri="http://schemas.openxmlformats.org/drawingml/2006/picture">
                <pic:pic>
                  <pic:nvPicPr>
                    <pic:cNvPr descr="excel1.PNG" id="34" name="Picture"/>
                    <pic:cNvPicPr>
                      <a:picLocks noChangeArrowheads="1" noChangeAspect="1"/>
                    </pic:cNvPicPr>
                  </pic:nvPicPr>
                  <pic:blipFill>
                    <a:blip r:embed="rId32"/>
                    <a:stretch>
                      <a:fillRect/>
                    </a:stretch>
                  </pic:blipFill>
                  <pic:spPr bwMode="auto">
                    <a:xfrm>
                      <a:off x="0" y="0"/>
                      <a:ext cx="5334000" cy="2577970"/>
                    </a:xfrm>
                    <a:prstGeom prst="rect">
                      <a:avLst/>
                    </a:prstGeom>
                    <a:noFill/>
                    <a:ln w="9525">
                      <a:noFill/>
                      <a:headEnd/>
                      <a:tailEnd/>
                    </a:ln>
                  </pic:spPr>
                </pic:pic>
              </a:graphicData>
            </a:graphic>
          </wp:inline>
        </w:drawing>
      </w:r>
    </w:p>
    <w:p>
      <w:pPr>
        <w:pStyle w:val="Heading2"/>
      </w:pPr>
      <w:r>
        <w:rPr>
          <w:bCs/>
          <w:b/>
        </w:rPr>
        <w:t xml:space="preserve">Latex (pdf)</w:t>
      </w:r>
    </w:p>
    <w:p>
      <w:pPr>
        <w:pStyle w:val="FirstParagraph"/>
      </w:pPr>
      <w:r>
        <w:drawing>
          <wp:inline>
            <wp:extent cx="5334000" cy="2489692"/>
            <wp:effectExtent b="0" l="0" r="0" t="0"/>
            <wp:docPr descr="" title="" id="36" name="Picture"/>
            <a:graphic>
              <a:graphicData uri="http://schemas.openxmlformats.org/drawingml/2006/picture">
                <pic:pic>
                  <pic:nvPicPr>
                    <pic:cNvPr descr="tex1.PNG" id="37" name="Picture"/>
                    <pic:cNvPicPr>
                      <a:picLocks noChangeArrowheads="1" noChangeAspect="1"/>
                    </pic:cNvPicPr>
                  </pic:nvPicPr>
                  <pic:blipFill>
                    <a:blip r:embed="rId35"/>
                    <a:stretch>
                      <a:fillRect/>
                    </a:stretch>
                  </pic:blipFill>
                  <pic:spPr bwMode="auto">
                    <a:xfrm>
                      <a:off x="0" y="0"/>
                      <a:ext cx="5334000" cy="2489692"/>
                    </a:xfrm>
                    <a:prstGeom prst="rect">
                      <a:avLst/>
                    </a:prstGeom>
                    <a:noFill/>
                    <a:ln w="9525">
                      <a:noFill/>
                      <a:headEnd/>
                      <a:tailEnd/>
                    </a:ln>
                  </pic:spPr>
                </pic:pic>
              </a:graphicData>
            </a:graphic>
          </wp:inline>
        </w:drawing>
      </w:r>
    </w:p>
    <w:p>
      <w:pPr>
        <w:numPr>
          <w:ilvl w:val="0"/>
          <w:numId w:val="1003"/>
        </w:numPr>
        <w:pStyle w:val="Compact"/>
      </w:pPr>
      <w:r>
        <w:t xml:space="preserve">le fichier tex1.tex généré avec</w:t>
      </w:r>
      <w:r>
        <w:t xml:space="preserve"> </w:t>
      </w:r>
      <w:r>
        <w:rPr>
          <w:rStyle w:val="VerbatimChar"/>
        </w:rPr>
        <w:t xml:space="preserve">collect export</w:t>
      </w:r>
      <w:r>
        <w:t xml:space="preserve"> </w:t>
      </w:r>
      <w:r>
        <w:t xml:space="preserve">donne le tableau brut balisé. Le fichier peut être inséré dans un document Latex avec</w:t>
      </w:r>
      <w:r>
        <w:t xml:space="preserve"> </w:t>
      </w:r>
      <w:r>
        <w:rPr>
          <w:rStyle w:val="VerbatimChar"/>
        </w:rPr>
        <w:t xml:space="preserve">\estauto{nom_fichier.tex}</w:t>
      </w:r>
      <w:r>
        <w:t xml:space="preserve"> </w:t>
      </w:r>
      <w:r>
        <w:t xml:space="preserve">ou</w:t>
      </w:r>
      <w:r>
        <w:t xml:space="preserve"> </w:t>
      </w:r>
      <w:r>
        <w:rPr>
          <w:rStyle w:val="VerbatimChar"/>
        </w:rPr>
        <w:t xml:space="preserve">\input{nom_fichier.tex}</w:t>
      </w:r>
    </w:p>
    <w:p>
      <w:pPr>
        <w:pStyle w:val="FirstParagraph"/>
      </w:pPr>
      <w:r>
        <w:t xml:space="preserve">Juste une petite remarque sur les</w:t>
      </w:r>
      <w:r>
        <w:t xml:space="preserve"> </w:t>
      </w:r>
      <w:r>
        <w:rPr>
          <w:bCs/>
          <w:b/>
        </w:rPr>
        <w:t xml:space="preserve">notes</w:t>
      </w:r>
      <w:r>
        <w:t xml:space="preserve"> </w:t>
      </w:r>
      <w:r>
        <w:t xml:space="preserve">de bas de tableau.</w:t>
      </w:r>
      <w:r>
        <w:t xml:space="preserve"> </w:t>
      </w:r>
      <w:r>
        <w:rPr>
          <w:rStyle w:val="VerbatimChar"/>
        </w:rPr>
        <w:t xml:space="preserve">collect</w:t>
      </w:r>
      <w:r>
        <w:t xml:space="preserve"> </w:t>
      </w:r>
      <w:r>
        <w:t xml:space="preserve">gère également leur présence et leur mise en forme, mais le code généré semble systématiquement les aligner au centre. A creuser, sinon il faut modifier le code</w:t>
      </w:r>
      <w:r>
        <w:t xml:space="preserve"> </w:t>
      </w:r>
      <w:r>
        <w:rPr>
          <w:iCs/>
          <w:i/>
        </w:rPr>
        <w:t xml:space="preserve">Latex</w:t>
      </w:r>
      <w:r>
        <w:t xml:space="preserve"> </w:t>
      </w:r>
      <w:r>
        <w:t xml:space="preserve">pour les aligner à gauche. Par exemple:</w:t>
      </w:r>
    </w:p>
    <w:p>
      <w:pPr>
        <w:pStyle w:val="SourceCode"/>
      </w:pPr>
      <w:r>
        <w:rPr>
          <w:rStyle w:val="NormalTok"/>
        </w:rPr>
        <w:t xml:space="preserve">\multicolumn{3}{l}{\footnotesize Note 1: blablabla}</w:t>
      </w:r>
      <w:r>
        <w:rPr>
          <w:rStyle w:val="SpecialCharTok"/>
        </w:rPr>
        <w:t xml:space="preserve">\\</w:t>
      </w:r>
      <w:r>
        <w:br/>
      </w:r>
      <w:r>
        <w:rPr>
          <w:rStyle w:val="NormalTok"/>
        </w:rPr>
        <w:t xml:space="preserve">\multicolumn{3}{l}{\footnotesize Note 2: blablabla}</w:t>
      </w:r>
      <w:r>
        <w:rPr>
          <w:rStyle w:val="SpecialCharTok"/>
        </w:rPr>
        <w:t xml:space="preserve">\\</w:t>
      </w:r>
      <w:r>
        <w:br/>
      </w:r>
      <w:r>
        <w:rPr>
          <w:rStyle w:val="NormalTok"/>
        </w:rPr>
        <w:t xml:space="preserve">\end{tabular}</w:t>
      </w:r>
      <w:r>
        <w:br/>
      </w:r>
      <w:r>
        <w:rPr>
          <w:rStyle w:val="NormalTok"/>
        </w:rPr>
        <w:t xml:space="preserve">\end{table}</w:t>
      </w:r>
    </w:p>
    <w:p>
      <w:pPr>
        <w:pStyle w:val="Heading2"/>
      </w:pPr>
      <w:r>
        <w:rPr>
          <w:bCs/>
          <w:b/>
        </w:rPr>
        <w:t xml:space="preserve">Markdown (Html)</w:t>
      </w:r>
    </w:p>
    <w:tbl>
      <w:tblPr>
        <w:tblStyle w:val="Table"/>
        <w:tblW w:type="pct" w:w="5000"/>
        <w:tblLook w:firstRow="1" w:lastRow="0" w:firstColumn="0" w:lastColumn="0" w:noHBand="0" w:noVBand="0" w:val="0020"/>
        <w:jc w:val="start"/>
        <w:tblLayout w:type="fixed"/>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left"/>
            </w:pPr>
            <w:r>
              <w:t xml:space="preserve">Modèle 1</w:t>
            </w:r>
          </w:p>
        </w:tc>
        <w:tc>
          <w:tcPr/>
          <w:p>
            <w:pPr>
              <w:pStyle w:val="Compact"/>
            </w:pPr>
          </w:p>
        </w:tc>
        <w:tc>
          <w:tcPr/>
          <w:p>
            <w:pPr>
              <w:pStyle w:val="Compact"/>
            </w:pPr>
          </w:p>
        </w:tc>
        <w:tc>
          <w:tcPr/>
          <w:p>
            <w:pPr>
              <w:pStyle w:val="Compact"/>
              <w:jc w:val="left"/>
            </w:pPr>
            <w:r>
              <w:t xml:space="preserve">Modèle 2</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r>
      <w:tr>
        <w:tc>
          <w:tcPr/>
          <w:p>
            <w:pPr>
              <w:pStyle w:val="Compact"/>
              <w:jc w:val="left"/>
            </w:pPr>
            <w:r>
              <w:rPr>
                <w:bCs/>
                <w:b/>
              </w:rPr>
              <w:t xml:space="preserve">Age group</w:t>
            </w:r>
          </w:p>
        </w:tc>
        <w:tc>
          <w:tcPr/>
          <w:p>
            <w:pPr>
              <w:pStyle w:val="Compact"/>
              <w:jc w:val="left"/>
            </w:pPr>
            <w:r>
              <w:t xml:space="preserve">20–29</w:t>
            </w: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30–39</w:t>
            </w:r>
          </w:p>
        </w:tc>
        <w:tc>
          <w:tcPr/>
          <w:p>
            <w:pPr>
              <w:pStyle w:val="Compact"/>
              <w:jc w:val="left"/>
            </w:pPr>
            <w:r>
              <w:t xml:space="preserve">2.891</w:t>
            </w:r>
          </w:p>
        </w:tc>
        <w:tc>
          <w:tcPr/>
          <w:p>
            <w:pPr>
              <w:pStyle w:val="Compact"/>
              <w:jc w:val="left"/>
            </w:pPr>
            <w:r>
              <w:t xml:space="preserve">0.664</w:t>
            </w:r>
          </w:p>
        </w:tc>
        <w:tc>
          <w:tcPr/>
          <w:p>
            <w:pPr>
              <w:pStyle w:val="Compact"/>
              <w:jc w:val="left"/>
            </w:pPr>
            <w:r>
              <w:t xml:space="preserve">0.000</w:t>
            </w:r>
          </w:p>
        </w:tc>
        <w:tc>
          <w:tcPr/>
          <w:p>
            <w:pPr>
              <w:pStyle w:val="Compact"/>
              <w:jc w:val="left"/>
            </w:pPr>
            <w:r>
              <w:t xml:space="preserve">2.917</w:t>
            </w:r>
          </w:p>
        </w:tc>
        <w:tc>
          <w:tcPr/>
          <w:p>
            <w:pPr>
              <w:pStyle w:val="Compact"/>
              <w:jc w:val="left"/>
            </w:pPr>
            <w:r>
              <w:t xml:space="preserve">0.661</w:t>
            </w:r>
          </w:p>
        </w:tc>
        <w:tc>
          <w:tcPr/>
          <w:p>
            <w:pPr>
              <w:pStyle w:val="Compact"/>
              <w:jc w:val="left"/>
            </w:pPr>
            <w:r>
              <w:t xml:space="preserve">0.000</w:t>
            </w:r>
          </w:p>
        </w:tc>
      </w:tr>
      <w:tr>
        <w:tc>
          <w:tcPr/>
          <w:p>
            <w:pPr>
              <w:pStyle w:val="Compact"/>
            </w:pPr>
          </w:p>
        </w:tc>
        <w:tc>
          <w:tcPr/>
          <w:p>
            <w:pPr>
              <w:pStyle w:val="Compact"/>
              <w:jc w:val="left"/>
            </w:pPr>
            <w:r>
              <w:t xml:space="preserve">40–49</w:t>
            </w:r>
          </w:p>
        </w:tc>
        <w:tc>
          <w:tcPr/>
          <w:p>
            <w:pPr>
              <w:pStyle w:val="Compact"/>
              <w:jc w:val="left"/>
            </w:pPr>
            <w:r>
              <w:t xml:space="preserve">9.580</w:t>
            </w:r>
          </w:p>
        </w:tc>
        <w:tc>
          <w:tcPr/>
          <w:p>
            <w:pPr>
              <w:pStyle w:val="Compact"/>
              <w:jc w:val="left"/>
            </w:pPr>
            <w:r>
              <w:t xml:space="preserve">0.716</w:t>
            </w:r>
          </w:p>
        </w:tc>
        <w:tc>
          <w:tcPr/>
          <w:p>
            <w:pPr>
              <w:pStyle w:val="Compact"/>
              <w:jc w:val="left"/>
            </w:pPr>
            <w:r>
              <w:t xml:space="preserve">0.000</w:t>
            </w:r>
          </w:p>
        </w:tc>
        <w:tc>
          <w:tcPr/>
          <w:p>
            <w:pPr>
              <w:pStyle w:val="Compact"/>
              <w:jc w:val="left"/>
            </w:pPr>
            <w:r>
              <w:t xml:space="preserve">9.584</w:t>
            </w:r>
          </w:p>
        </w:tc>
        <w:tc>
          <w:tcPr/>
          <w:p>
            <w:pPr>
              <w:pStyle w:val="Compact"/>
              <w:jc w:val="left"/>
            </w:pPr>
            <w:r>
              <w:t xml:space="preserve">0.713</w:t>
            </w:r>
          </w:p>
        </w:tc>
        <w:tc>
          <w:tcPr/>
          <w:p>
            <w:pPr>
              <w:pStyle w:val="Compact"/>
              <w:jc w:val="left"/>
            </w:pPr>
            <w:r>
              <w:t xml:space="preserve">0.000</w:t>
            </w:r>
          </w:p>
        </w:tc>
      </w:tr>
      <w:tr>
        <w:tc>
          <w:tcPr/>
          <w:p>
            <w:pPr>
              <w:pStyle w:val="Compact"/>
            </w:pPr>
          </w:p>
        </w:tc>
        <w:tc>
          <w:tcPr/>
          <w:p>
            <w:pPr>
              <w:pStyle w:val="Compact"/>
              <w:jc w:val="left"/>
            </w:pPr>
            <w:r>
              <w:t xml:space="preserve">50–59</w:t>
            </w:r>
          </w:p>
        </w:tc>
        <w:tc>
          <w:tcPr/>
          <w:p>
            <w:pPr>
              <w:pStyle w:val="Compact"/>
              <w:jc w:val="left"/>
            </w:pPr>
            <w:r>
              <w:t xml:space="preserve">18.324</w:t>
            </w:r>
          </w:p>
        </w:tc>
        <w:tc>
          <w:tcPr/>
          <w:p>
            <w:pPr>
              <w:pStyle w:val="Compact"/>
              <w:jc w:val="left"/>
            </w:pPr>
            <w:r>
              <w:t xml:space="preserve">0.713</w:t>
            </w:r>
          </w:p>
        </w:tc>
        <w:tc>
          <w:tcPr/>
          <w:p>
            <w:pPr>
              <w:pStyle w:val="Compact"/>
              <w:jc w:val="left"/>
            </w:pPr>
            <w:r>
              <w:t xml:space="preserve">0.000</w:t>
            </w:r>
          </w:p>
        </w:tc>
        <w:tc>
          <w:tcPr/>
          <w:p>
            <w:pPr>
              <w:pStyle w:val="Compact"/>
              <w:jc w:val="left"/>
            </w:pPr>
            <w:r>
              <w:t xml:space="preserve">18.384</w:t>
            </w:r>
          </w:p>
        </w:tc>
        <w:tc>
          <w:tcPr/>
          <w:p>
            <w:pPr>
              <w:pStyle w:val="Compact"/>
              <w:jc w:val="left"/>
            </w:pPr>
            <w:r>
              <w:t xml:space="preserve">0.710</w:t>
            </w:r>
          </w:p>
        </w:tc>
        <w:tc>
          <w:tcPr/>
          <w:p>
            <w:pPr>
              <w:pStyle w:val="Compact"/>
              <w:jc w:val="left"/>
            </w:pPr>
            <w:r>
              <w:t xml:space="preserve">0.000</w:t>
            </w:r>
          </w:p>
        </w:tc>
      </w:tr>
      <w:tr>
        <w:tc>
          <w:tcPr/>
          <w:p>
            <w:pPr>
              <w:pStyle w:val="Compact"/>
            </w:pPr>
          </w:p>
        </w:tc>
        <w:tc>
          <w:tcPr/>
          <w:p>
            <w:pPr>
              <w:pStyle w:val="Compact"/>
              <w:jc w:val="left"/>
            </w:pPr>
            <w:r>
              <w:t xml:space="preserve">60–69</w:t>
            </w:r>
          </w:p>
        </w:tc>
        <w:tc>
          <w:tcPr/>
          <w:p>
            <w:pPr>
              <w:pStyle w:val="Compact"/>
              <w:jc w:val="left"/>
            </w:pPr>
            <w:r>
              <w:t xml:space="preserve">24.184</w:t>
            </w:r>
          </w:p>
        </w:tc>
        <w:tc>
          <w:tcPr/>
          <w:p>
            <w:pPr>
              <w:pStyle w:val="Compact"/>
              <w:jc w:val="left"/>
            </w:pPr>
            <w:r>
              <w:t xml:space="preserve">0.574</w:t>
            </w:r>
          </w:p>
        </w:tc>
        <w:tc>
          <w:tcPr/>
          <w:p>
            <w:pPr>
              <w:pStyle w:val="Compact"/>
              <w:jc w:val="left"/>
            </w:pPr>
            <w:r>
              <w:t xml:space="preserve">0.000</w:t>
            </w:r>
          </w:p>
        </w:tc>
        <w:tc>
          <w:tcPr/>
          <w:p>
            <w:pPr>
              <w:pStyle w:val="Compact"/>
              <w:jc w:val="left"/>
            </w:pPr>
            <w:r>
              <w:t xml:space="preserve">24.193</w:t>
            </w:r>
          </w:p>
        </w:tc>
        <w:tc>
          <w:tcPr/>
          <w:p>
            <w:pPr>
              <w:pStyle w:val="Compact"/>
              <w:jc w:val="left"/>
            </w:pPr>
            <w:r>
              <w:t xml:space="preserve">0.571</w:t>
            </w:r>
          </w:p>
        </w:tc>
        <w:tc>
          <w:tcPr/>
          <w:p>
            <w:pPr>
              <w:pStyle w:val="Compact"/>
              <w:jc w:val="left"/>
            </w:pPr>
            <w:r>
              <w:t xml:space="preserve">0.000</w:t>
            </w:r>
          </w:p>
        </w:tc>
      </w:tr>
      <w:tr>
        <w:tc>
          <w:tcPr/>
          <w:p>
            <w:pPr>
              <w:pStyle w:val="Compact"/>
            </w:pPr>
          </w:p>
        </w:tc>
        <w:tc>
          <w:tcPr/>
          <w:p>
            <w:pPr>
              <w:pStyle w:val="Compact"/>
              <w:jc w:val="left"/>
            </w:pPr>
            <w:r>
              <w:t xml:space="preserve">70+</w:t>
            </w:r>
          </w:p>
        </w:tc>
        <w:tc>
          <w:tcPr/>
          <w:p>
            <w:pPr>
              <w:pStyle w:val="Compact"/>
              <w:jc w:val="left"/>
            </w:pPr>
            <w:r>
              <w:t xml:space="preserve">30.851</w:t>
            </w:r>
          </w:p>
        </w:tc>
        <w:tc>
          <w:tcPr/>
          <w:p>
            <w:pPr>
              <w:pStyle w:val="Compact"/>
              <w:jc w:val="left"/>
            </w:pPr>
            <w:r>
              <w:t xml:space="preserve">0.780</w:t>
            </w:r>
          </w:p>
        </w:tc>
        <w:tc>
          <w:tcPr/>
          <w:p>
            <w:pPr>
              <w:pStyle w:val="Compact"/>
              <w:jc w:val="left"/>
            </w:pPr>
            <w:r>
              <w:t xml:space="preserve">0.000</w:t>
            </w:r>
          </w:p>
        </w:tc>
        <w:tc>
          <w:tcPr/>
          <w:p>
            <w:pPr>
              <w:pStyle w:val="Compact"/>
              <w:jc w:val="left"/>
            </w:pPr>
            <w:r>
              <w:t xml:space="preserve">30.958</w:t>
            </w:r>
          </w:p>
        </w:tc>
        <w:tc>
          <w:tcPr/>
          <w:p>
            <w:pPr>
              <w:pStyle w:val="Compact"/>
              <w:jc w:val="left"/>
            </w:pPr>
            <w:r>
              <w:t xml:space="preserve">0.777</w:t>
            </w:r>
          </w:p>
        </w:tc>
        <w:tc>
          <w:tcPr/>
          <w:p>
            <w:pPr>
              <w:pStyle w:val="Compact"/>
              <w:jc w:val="left"/>
            </w:pPr>
            <w:r>
              <w:t xml:space="preserve">0.000</w:t>
            </w:r>
          </w:p>
        </w:tc>
      </w:tr>
      <w:tr>
        <w:tc>
          <w:tcPr/>
          <w:p>
            <w:pPr>
              <w:pStyle w:val="Compact"/>
              <w:jc w:val="left"/>
            </w:pPr>
            <w:r>
              <w:rPr>
                <w:bCs/>
                <w:b/>
              </w:rPr>
              <w:t xml:space="preserve">Region</w:t>
            </w:r>
          </w:p>
        </w:tc>
        <w:tc>
          <w:tcPr/>
          <w:p>
            <w:pPr>
              <w:pStyle w:val="Compact"/>
              <w:jc w:val="left"/>
            </w:pPr>
            <w:r>
              <w:t xml:space="preserve">NE</w:t>
            </w: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MW</w:t>
            </w:r>
          </w:p>
        </w:tc>
        <w:tc>
          <w:tcPr/>
          <w:p>
            <w:pPr>
              <w:pStyle w:val="Compact"/>
              <w:jc w:val="left"/>
            </w:pPr>
            <w:r>
              <w:t xml:space="preserve">-0.023</w:t>
            </w:r>
          </w:p>
        </w:tc>
        <w:tc>
          <w:tcPr/>
          <w:p>
            <w:pPr>
              <w:pStyle w:val="Compact"/>
              <w:jc w:val="left"/>
            </w:pPr>
            <w:r>
              <w:t xml:space="preserve">0.595</w:t>
            </w:r>
          </w:p>
        </w:tc>
        <w:tc>
          <w:tcPr/>
          <w:p>
            <w:pPr>
              <w:pStyle w:val="Compact"/>
              <w:jc w:val="left"/>
            </w:pPr>
            <w:r>
              <w:t xml:space="preserve">0.969</w:t>
            </w:r>
          </w:p>
        </w:tc>
        <w:tc>
          <w:tcPr/>
          <w:p>
            <w:pPr>
              <w:pStyle w:val="Compact"/>
              <w:jc w:val="left"/>
            </w:pPr>
            <w:r>
              <w:t xml:space="preserve">0.033</w:t>
            </w:r>
          </w:p>
        </w:tc>
        <w:tc>
          <w:tcPr/>
          <w:p>
            <w:pPr>
              <w:pStyle w:val="Compact"/>
              <w:jc w:val="left"/>
            </w:pPr>
            <w:r>
              <w:t xml:space="preserve">0.592</w:t>
            </w:r>
          </w:p>
        </w:tc>
        <w:tc>
          <w:tcPr/>
          <w:p>
            <w:pPr>
              <w:pStyle w:val="Compact"/>
              <w:jc w:val="left"/>
            </w:pPr>
            <w:r>
              <w:t xml:space="preserve">0.956</w:t>
            </w:r>
          </w:p>
        </w:tc>
      </w:tr>
      <w:tr>
        <w:tc>
          <w:tcPr/>
          <w:p>
            <w:pPr>
              <w:pStyle w:val="Compact"/>
            </w:pPr>
          </w:p>
        </w:tc>
        <w:tc>
          <w:tcPr/>
          <w:p>
            <w:pPr>
              <w:pStyle w:val="Compact"/>
              <w:jc w:val="left"/>
            </w:pPr>
            <w:r>
              <w:t xml:space="preserve">S</w:t>
            </w:r>
          </w:p>
        </w:tc>
        <w:tc>
          <w:tcPr/>
          <w:p>
            <w:pPr>
              <w:pStyle w:val="Compact"/>
              <w:jc w:val="left"/>
            </w:pPr>
            <w:r>
              <w:t xml:space="preserve">-0.303</w:t>
            </w:r>
          </w:p>
        </w:tc>
        <w:tc>
          <w:tcPr/>
          <w:p>
            <w:pPr>
              <w:pStyle w:val="Compact"/>
              <w:jc w:val="left"/>
            </w:pPr>
            <w:r>
              <w:t xml:space="preserve">0.591</w:t>
            </w:r>
          </w:p>
        </w:tc>
        <w:tc>
          <w:tcPr/>
          <w:p>
            <w:pPr>
              <w:pStyle w:val="Compact"/>
              <w:jc w:val="left"/>
            </w:pPr>
            <w:r>
              <w:t xml:space="preserve">0.608</w:t>
            </w:r>
          </w:p>
        </w:tc>
        <w:tc>
          <w:tcPr/>
          <w:p>
            <w:pPr>
              <w:pStyle w:val="Compact"/>
              <w:jc w:val="left"/>
            </w:pPr>
            <w:r>
              <w:t xml:space="preserve">-0.227</w:t>
            </w:r>
          </w:p>
        </w:tc>
        <w:tc>
          <w:tcPr/>
          <w:p>
            <w:pPr>
              <w:pStyle w:val="Compact"/>
              <w:jc w:val="left"/>
            </w:pPr>
            <w:r>
              <w:t xml:space="preserve">0.588</w:t>
            </w:r>
          </w:p>
        </w:tc>
        <w:tc>
          <w:tcPr/>
          <w:p>
            <w:pPr>
              <w:pStyle w:val="Compact"/>
              <w:jc w:val="left"/>
            </w:pPr>
            <w:r>
              <w:t xml:space="preserve">0.699</w:t>
            </w:r>
          </w:p>
        </w:tc>
      </w:tr>
      <w:tr>
        <w:tc>
          <w:tcPr/>
          <w:p>
            <w:pPr>
              <w:pStyle w:val="Compact"/>
            </w:pPr>
          </w:p>
        </w:tc>
        <w:tc>
          <w:tcPr/>
          <w:p>
            <w:pPr>
              <w:pStyle w:val="Compact"/>
              <w:jc w:val="left"/>
            </w:pPr>
            <w:r>
              <w:t xml:space="preserve">W</w:t>
            </w:r>
          </w:p>
        </w:tc>
        <w:tc>
          <w:tcPr/>
          <w:p>
            <w:pPr>
              <w:pStyle w:val="Compact"/>
              <w:jc w:val="left"/>
            </w:pPr>
            <w:r>
              <w:t xml:space="preserve">-0.777</w:t>
            </w:r>
          </w:p>
        </w:tc>
        <w:tc>
          <w:tcPr/>
          <w:p>
            <w:pPr>
              <w:pStyle w:val="Compact"/>
              <w:jc w:val="left"/>
            </w:pPr>
            <w:r>
              <w:t xml:space="preserve">0.601</w:t>
            </w:r>
          </w:p>
        </w:tc>
        <w:tc>
          <w:tcPr/>
          <w:p>
            <w:pPr>
              <w:pStyle w:val="Compact"/>
              <w:jc w:val="left"/>
            </w:pPr>
            <w:r>
              <w:t xml:space="preserve">0.196</w:t>
            </w:r>
          </w:p>
        </w:tc>
        <w:tc>
          <w:tcPr/>
          <w:p>
            <w:pPr>
              <w:pStyle w:val="Compact"/>
              <w:jc w:val="left"/>
            </w:pPr>
            <w:r>
              <w:t xml:space="preserve">-0.745</w:t>
            </w:r>
          </w:p>
        </w:tc>
        <w:tc>
          <w:tcPr/>
          <w:p>
            <w:pPr>
              <w:pStyle w:val="Compact"/>
              <w:jc w:val="left"/>
            </w:pPr>
            <w:r>
              <w:t xml:space="preserve">0.599</w:t>
            </w:r>
          </w:p>
        </w:tc>
        <w:tc>
          <w:tcPr/>
          <w:p>
            <w:pPr>
              <w:pStyle w:val="Compact"/>
              <w:jc w:val="left"/>
            </w:pPr>
            <w:r>
              <w:t xml:space="preserve">0.213</w:t>
            </w:r>
          </w:p>
        </w:tc>
      </w:tr>
      <w:tr>
        <w:tc>
          <w:tcPr/>
          <w:p>
            <w:pPr>
              <w:pStyle w:val="Compact"/>
              <w:jc w:val="left"/>
            </w:pPr>
            <w:r>
              <w:rPr>
                <w:bCs/>
                <w:b/>
              </w:rPr>
              <w:t xml:space="preserve">Sex</w:t>
            </w:r>
          </w:p>
        </w:tc>
        <w:tc>
          <w:tcPr/>
          <w:p>
            <w:pPr>
              <w:pStyle w:val="Compact"/>
              <w:jc w:val="left"/>
            </w:pPr>
            <w:r>
              <w:t xml:space="preserve">Male</w:t>
            </w:r>
          </w:p>
        </w:tc>
        <w:tc>
          <w:tcPr/>
          <w:p>
            <w:pPr>
              <w:pStyle w:val="Compact"/>
            </w:pPr>
          </w:p>
        </w:tc>
        <w:tc>
          <w:tcPr/>
          <w:p>
            <w:pPr>
              <w:pStyle w:val="Compact"/>
            </w:pP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Female</w:t>
            </w:r>
          </w:p>
        </w:tc>
        <w:tc>
          <w:tcPr/>
          <w:p>
            <w:pPr>
              <w:pStyle w:val="Compact"/>
            </w:pPr>
          </w:p>
        </w:tc>
        <w:tc>
          <w:tcPr/>
          <w:p>
            <w:pPr>
              <w:pStyle w:val="Compact"/>
            </w:pPr>
          </w:p>
        </w:tc>
        <w:tc>
          <w:tcPr/>
          <w:p>
            <w:pPr>
              <w:pStyle w:val="Compact"/>
            </w:pPr>
          </w:p>
        </w:tc>
        <w:tc>
          <w:tcPr/>
          <w:p>
            <w:pPr>
              <w:pStyle w:val="Compact"/>
              <w:jc w:val="left"/>
            </w:pPr>
            <w:r>
              <w:t xml:space="preserve">-4.015</w:t>
            </w:r>
          </w:p>
        </w:tc>
        <w:tc>
          <w:tcPr/>
          <w:p>
            <w:pPr>
              <w:pStyle w:val="Compact"/>
              <w:jc w:val="left"/>
            </w:pPr>
            <w:r>
              <w:t xml:space="preserve">0.402</w:t>
            </w:r>
          </w:p>
        </w:tc>
        <w:tc>
          <w:tcPr/>
          <w:p>
            <w:pPr>
              <w:pStyle w:val="Compact"/>
              <w:jc w:val="left"/>
            </w:pPr>
            <w:r>
              <w:t xml:space="preserve">0.000</w:t>
            </w:r>
          </w:p>
        </w:tc>
      </w:tr>
      <w:tr>
        <w:tc>
          <w:tcPr/>
          <w:p>
            <w:pPr>
              <w:pStyle w:val="Compact"/>
              <w:jc w:val="left"/>
            </w:pPr>
            <w:r>
              <w:rPr>
                <w:iCs/>
                <w:i/>
                <w:bCs/>
                <w:b/>
              </w:rPr>
              <w:t xml:space="preserve">Intercept</w:t>
            </w:r>
          </w:p>
        </w:tc>
        <w:tc>
          <w:tcPr/>
          <w:p>
            <w:pPr>
              <w:pStyle w:val="Compact"/>
            </w:pPr>
          </w:p>
        </w:tc>
        <w:tc>
          <w:tcPr/>
          <w:p>
            <w:pPr>
              <w:pStyle w:val="Compact"/>
              <w:jc w:val="left"/>
            </w:pPr>
            <w:r>
              <w:t xml:space="preserve">117.632</w:t>
            </w:r>
          </w:p>
        </w:tc>
        <w:tc>
          <w:tcPr/>
          <w:p>
            <w:pPr>
              <w:pStyle w:val="Compact"/>
              <w:jc w:val="left"/>
            </w:pPr>
            <w:r>
              <w:t xml:space="preserve">0.589</w:t>
            </w:r>
          </w:p>
        </w:tc>
        <w:tc>
          <w:tcPr/>
          <w:p>
            <w:pPr>
              <w:pStyle w:val="Compact"/>
              <w:jc w:val="left"/>
            </w:pPr>
            <w:r>
              <w:t xml:space="preserve">0.000</w:t>
            </w:r>
          </w:p>
        </w:tc>
        <w:tc>
          <w:tcPr/>
          <w:p>
            <w:pPr>
              <w:pStyle w:val="Compact"/>
              <w:jc w:val="left"/>
            </w:pPr>
            <w:r>
              <w:t xml:space="preserve">119.672</w:t>
            </w:r>
          </w:p>
        </w:tc>
        <w:tc>
          <w:tcPr/>
          <w:p>
            <w:pPr>
              <w:pStyle w:val="Compact"/>
              <w:jc w:val="left"/>
            </w:pPr>
            <w:r>
              <w:t xml:space="preserve">0.621</w:t>
            </w:r>
          </w:p>
        </w:tc>
        <w:tc>
          <w:tcPr/>
          <w:p>
            <w:pPr>
              <w:pStyle w:val="Compact"/>
              <w:jc w:val="left"/>
            </w:pPr>
            <w:r>
              <w:t xml:space="preserve">0.000</w:t>
            </w:r>
          </w:p>
        </w:tc>
      </w:tr>
    </w:tbl>
    <w:p>
      <w:pPr>
        <w:pStyle w:val="BodyText"/>
      </w:pPr>
      <w:r>
        <w:t xml:space="preserve">Le tableau est un peu complexe, pour et les 3 premières lignes doivent être modifiée en md (je n’ai pas trouvé mieux pour l’instant):</w:t>
      </w:r>
    </w:p>
    <w:p>
      <w:pPr>
        <w:pStyle w:val="BodyText"/>
      </w:pPr>
      <w:r>
        <w:rPr>
          <w:iCs/>
          <w:i/>
          <w:bCs/>
          <w:b/>
        </w:rPr>
        <w:t xml:space="preserve">md du fichier ex1.md</w:t>
      </w:r>
    </w:p>
    <w:p>
      <w:pPr>
        <w:pStyle w:val="SourceCode"/>
      </w:pPr>
      <w:r>
        <w:rPr>
          <w:rStyle w:val="NormalTok"/>
        </w:rPr>
        <w:t xml:space="preserve">|           |        | Modèle 1    |            |         | Modèle 2    |            |         |</w:t>
      </w:r>
      <w:r>
        <w:br/>
      </w:r>
      <w:r>
        <w:rPr>
          <w:rStyle w:val="NormalTok"/>
        </w:rPr>
        <w:t xml:space="preserve">|           |        | Coefficient | Std. error | p-value | Coefficient | Std. error | p-value |</w:t>
      </w:r>
      <w:r>
        <w:br/>
      </w:r>
      <w:r>
        <w:rPr>
          <w:rStyle w:val="NormalTok"/>
        </w:rPr>
        <w:t xml:space="preserve">|-----------|--------|-------------|------------|---------|-------------|------------|---------|</w:t>
      </w:r>
      <w:r>
        <w:br/>
      </w:r>
      <w:r>
        <w:rPr>
          <w:rStyle w:val="NormalTok"/>
        </w:rPr>
        <w:t xml:space="preserve">| Age group | 20–29  | 0.000       | 0.000      |         | 0.000       | 0.000      |         |</w:t>
      </w:r>
      <w:r>
        <w:br/>
      </w:r>
      <w:r>
        <w:rPr>
          <w:rStyle w:val="NormalTok"/>
        </w:rPr>
        <w:t xml:space="preserve">|           | 30–39  | 2.891       | 0.664      | 0.000   | 2.917       | 0.661      | 0.000   |</w:t>
      </w:r>
      <w:r>
        <w:br/>
      </w:r>
      <w:r>
        <w:rPr>
          <w:rStyle w:val="NormalTok"/>
        </w:rPr>
        <w:t xml:space="preserve">|           | 40–49  | 9.580       | 0.716      | 0.000   | 9.584       | 0.713      | 0.000   |</w:t>
      </w:r>
      <w:r>
        <w:br/>
      </w:r>
      <w:r>
        <w:rPr>
          <w:rStyle w:val="NormalTok"/>
        </w:rPr>
        <w:t xml:space="preserve">|           | 50–59  | 18.324      | 0.713      | 0.000   | 18.384      | 0.710      | 0.000   |</w:t>
      </w:r>
      <w:r>
        <w:br/>
      </w:r>
      <w:r>
        <w:rPr>
          <w:rStyle w:val="NormalTok"/>
        </w:rPr>
        <w:t xml:space="preserve">|           | 60–69  | 24.184      | 0.574      | 0.000   | 24.193      | 0.571      | 0.000   |</w:t>
      </w:r>
      <w:r>
        <w:br/>
      </w:r>
      <w:r>
        <w:rPr>
          <w:rStyle w:val="NormalTok"/>
        </w:rPr>
        <w:t xml:space="preserve">|           | 70+    | 30.851      | 0.780      | 0.000   | 30.958      | 0.777      | 0.000   |</w:t>
      </w:r>
      <w:r>
        <w:br/>
      </w:r>
      <w:r>
        <w:rPr>
          <w:rStyle w:val="NormalTok"/>
        </w:rPr>
        <w:t xml:space="preserve">| Region    | NE     | 0.000       | 0.000      |         | 0.000       | 0.000      |         |</w:t>
      </w:r>
      <w:r>
        <w:br/>
      </w:r>
      <w:r>
        <w:rPr>
          <w:rStyle w:val="NormalTok"/>
        </w:rPr>
        <w:t xml:space="preserve">|           | MW     | -0.023      | 0.595      | 0.969   | 0.033       | 0.592      | 0.956   |</w:t>
      </w:r>
      <w:r>
        <w:br/>
      </w:r>
      <w:r>
        <w:rPr>
          <w:rStyle w:val="NormalTok"/>
        </w:rPr>
        <w:t xml:space="preserve">|           | S      | -0.303      | 0.591      | 0.608   | -0.227      | 0.588      | 0.699   |</w:t>
      </w:r>
      <w:r>
        <w:br/>
      </w:r>
      <w:r>
        <w:rPr>
          <w:rStyle w:val="NormalTok"/>
        </w:rPr>
        <w:t xml:space="preserve">|           | W      | -0.777      | 0.601      | 0.196   | -0.745      | 0.599      | 0.213   |</w:t>
      </w:r>
      <w:r>
        <w:br/>
      </w:r>
      <w:r>
        <w:rPr>
          <w:rStyle w:val="NormalTok"/>
        </w:rPr>
        <w:t xml:space="preserve">| Sex       | Male   |             |            |         | 0.000       | 0.000      |         |</w:t>
      </w:r>
      <w:r>
        <w:br/>
      </w:r>
      <w:r>
        <w:rPr>
          <w:rStyle w:val="NormalTok"/>
        </w:rPr>
        <w:t xml:space="preserve">|           | Female |             |            |         | -4.015      | 0.402      | 0.000   |</w:t>
      </w:r>
      <w:r>
        <w:br/>
      </w:r>
      <w:r>
        <w:rPr>
          <w:rStyle w:val="NormalTok"/>
        </w:rPr>
        <w:t xml:space="preserve">| Intercept |        | 117.632     | 0.589      | 0.000   | 119.672     | 0.621      | 0.000   |</w:t>
      </w:r>
    </w:p>
    <w:p>
      <w:pPr>
        <w:pStyle w:val="FirstParagraph"/>
      </w:pPr>
      <w:r>
        <w:rPr>
          <w:iCs/>
          <w:i/>
          <w:bCs/>
          <w:b/>
        </w:rPr>
        <w:t xml:space="preserve">md modifié (ligne 1 à 3</w:t>
      </w:r>
    </w:p>
    <w:p>
      <w:pPr>
        <w:pStyle w:val="SourceCode"/>
      </w:pPr>
      <w:r>
        <w:rPr>
          <w:rStyle w:val="NormalTok"/>
        </w:rPr>
        <w:t xml:space="preserve">|           |        | Modèle 1    |            |         | Modèle 2    |            |         |</w:t>
      </w:r>
      <w:r>
        <w:br/>
      </w:r>
      <w:r>
        <w:rPr>
          <w:rStyle w:val="NormalTok"/>
        </w:rPr>
        <w:t xml:space="preserve">|-----------|--------|-------------|------------|---------|-------------|------------|---------|  </w:t>
      </w:r>
      <w:r>
        <w:br/>
      </w:r>
      <w:r>
        <w:rPr>
          <w:rStyle w:val="NormalTok"/>
        </w:rPr>
        <w:t xml:space="preserve">|           |        | Coefficient | Std. error | p-value | Coefficient | Std. error | p-value |</w:t>
      </w:r>
      <w:r>
        <w:br/>
      </w:r>
      <w:r>
        <w:rPr>
          <w:rStyle w:val="NormalTok"/>
        </w:rPr>
        <w:t xml:space="preserve">| Age group | 20–29  | 0.000       | 0.000      |         | 0.000       | 0.000      |         |</w:t>
      </w:r>
      <w:r>
        <w:br/>
      </w:r>
      <w:r>
        <w:rPr>
          <w:rStyle w:val="NormalTok"/>
        </w:rPr>
        <w:t xml:space="preserve">|           | 30–39  | 2.891       | 0.664      | 0.000   | 2.917       | 0.661      | 0.000   |</w:t>
      </w:r>
      <w:r>
        <w:br/>
      </w:r>
      <w:r>
        <w:rPr>
          <w:rStyle w:val="NormalTok"/>
        </w:rPr>
        <w:t xml:space="preserve">|           | 40–49  | 9.580       | 0.716      | 0.000   | 9.584       | 0.713      | 0.000   |</w:t>
      </w:r>
      <w:r>
        <w:br/>
      </w:r>
      <w:r>
        <w:rPr>
          <w:rStyle w:val="NormalTok"/>
        </w:rPr>
        <w:t xml:space="preserve">|           | 50–59  | 18.324      | 0.713      | 0.000   | 18.384      | 0.710      | 0.000   |</w:t>
      </w:r>
      <w:r>
        <w:br/>
      </w:r>
      <w:r>
        <w:rPr>
          <w:rStyle w:val="NormalTok"/>
        </w:rPr>
        <w:t xml:space="preserve">|           | 60–69  | 24.184      | 0.574      | 0.000   | 24.193      | 0.571      | 0.000   |</w:t>
      </w:r>
      <w:r>
        <w:br/>
      </w:r>
      <w:r>
        <w:rPr>
          <w:rStyle w:val="NormalTok"/>
        </w:rPr>
        <w:t xml:space="preserve">|           | 70+    | 30.851      | 0.780      | 0.000   | 30.958      | 0.777      | 0.000   |</w:t>
      </w:r>
      <w:r>
        <w:br/>
      </w:r>
      <w:r>
        <w:rPr>
          <w:rStyle w:val="NormalTok"/>
        </w:rPr>
        <w:t xml:space="preserve">| Region    | NE     | 0.000       | 0.000      |         | 0.000       | 0.000      |         |</w:t>
      </w:r>
      <w:r>
        <w:br/>
      </w:r>
      <w:r>
        <w:rPr>
          <w:rStyle w:val="NormalTok"/>
        </w:rPr>
        <w:t xml:space="preserve">|           | MW     | -0.023      | 0.595      | 0.969   | 0.033       | 0.592      | 0.956   |</w:t>
      </w:r>
      <w:r>
        <w:br/>
      </w:r>
      <w:r>
        <w:rPr>
          <w:rStyle w:val="NormalTok"/>
        </w:rPr>
        <w:t xml:space="preserve">|           | S      | -0.303      | 0.591      | 0.608   | -0.227      | 0.588      | 0.699   |</w:t>
      </w:r>
      <w:r>
        <w:br/>
      </w:r>
      <w:r>
        <w:rPr>
          <w:rStyle w:val="NormalTok"/>
        </w:rPr>
        <w:t xml:space="preserve">|           | W      | -0.777      | 0.601      | 0.196   | -0.745      | 0.599      | 0.213   |</w:t>
      </w:r>
      <w:r>
        <w:br/>
      </w:r>
      <w:r>
        <w:rPr>
          <w:rStyle w:val="NormalTok"/>
        </w:rPr>
        <w:t xml:space="preserve">| Sex       | Male   |             |            |         | 0.000       | 0.000      |         |</w:t>
      </w:r>
      <w:r>
        <w:br/>
      </w:r>
      <w:r>
        <w:rPr>
          <w:rStyle w:val="NormalTok"/>
        </w:rPr>
        <w:t xml:space="preserve">|           | Female |             |            |         | -4.015      | 0.402      | 0.000   |</w:t>
      </w:r>
      <w:r>
        <w:br/>
      </w:r>
      <w:r>
        <w:rPr>
          <w:rStyle w:val="NormalTok"/>
        </w:rPr>
        <w:t xml:space="preserve">| Intercept |        | 117.632     | 0.589      | 0.000   | 119.672     | 0.621      | 0.000   |</w:t>
      </w:r>
    </w:p>
    <w:p>
      <w:pPr>
        <w:pStyle w:val="FirstParagraph"/>
      </w:pPr>
      <w:r>
        <w:t xml:space="preserve">Pour la sortie, j’ai fait également quelques modifs au niveau du texte et changé les valeurs des baselines de 0.00 à</w:t>
      </w:r>
      <w:r>
        <w:t xml:space="preserve"> </w:t>
      </w:r>
      <w:r>
        <w:rPr>
          <w:iCs/>
          <w:i/>
        </w:rPr>
        <w:t xml:space="preserve">Ref</w:t>
      </w:r>
    </w:p>
    <w:bookmarkStart w:id="39" w:name="margins-avec-mlogit"/>
    <w:p>
      <w:pPr>
        <w:pStyle w:val="Heading2"/>
      </w:pPr>
      <w:r>
        <w:t xml:space="preserve">2.2</w:t>
      </w:r>
      <w:r>
        <w:t xml:space="preserve"> </w:t>
      </w:r>
      <w:r>
        <w:rPr>
          <w:bCs/>
          <w:b/>
        </w:rPr>
        <w:t xml:space="preserve">Margins avec mlogit</w:t>
      </w:r>
    </w:p>
    <w:p>
      <w:pPr>
        <w:numPr>
          <w:ilvl w:val="0"/>
          <w:numId w:val="1004"/>
        </w:numPr>
        <w:pStyle w:val="Compact"/>
      </w:pPr>
      <w:r>
        <w:t xml:space="preserve">Le programme est très simple, et au final on arrive à produire rapidement un output très satisfaisant avec les résulats des différentes modalités en colonne.</w:t>
      </w:r>
    </w:p>
    <w:p>
      <w:pPr>
        <w:numPr>
          <w:ilvl w:val="0"/>
          <w:numId w:val="1004"/>
        </w:numPr>
        <w:pStyle w:val="Compact"/>
      </w:pPr>
      <w:r>
        <w:t xml:space="preserve">Je n’ai pas reproduit la fin du programme avec</w:t>
      </w:r>
      <w:r>
        <w:t xml:space="preserve"> </w:t>
      </w:r>
      <w:r>
        <w:rPr>
          <w:rStyle w:val="VerbatimChar"/>
        </w:rPr>
        <w:t xml:space="preserve">collect export</w:t>
      </w:r>
      <w:r>
        <w:t xml:space="preserve">.</w:t>
      </w:r>
    </w:p>
    <w:p>
      <w:pPr>
        <w:pStyle w:val="FirstParagraph"/>
      </w:pPr>
      <w:r>
        <w:rPr>
          <w:iCs/>
          <w:i/>
        </w:rPr>
        <w:t xml:space="preserve">Rappel</w:t>
      </w:r>
      <w:r>
        <w:t xml:space="preserve">: j’ai seulement reporté les AME pour seulement deux catégories</w:t>
      </w:r>
      <w:r>
        <w:t xml:space="preserve"> </w:t>
      </w:r>
      <w:r>
        <w:rPr>
          <w:iCs/>
          <w:i/>
        </w:rPr>
        <w:t xml:space="preserve">excellent</w:t>
      </w:r>
      <w:r>
        <w:t xml:space="preserve"> </w:t>
      </w:r>
      <w:r>
        <w:t xml:space="preserve">et</w:t>
      </w:r>
      <w:r>
        <w:t xml:space="preserve"> </w:t>
      </w:r>
      <w:r>
        <w:rPr>
          <w:iCs/>
          <w:i/>
        </w:rPr>
        <w:t xml:space="preserve">poor</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multimod</w:t>
      </w:r>
      <w:r>
        <w:br/>
      </w:r>
      <w:r>
        <w:br/>
      </w:r>
      <w:r>
        <w:rPr>
          <w:rStyle w:val="KeywordTok"/>
        </w:rPr>
        <w:t xml:space="preserve">qui</w:t>
      </w:r>
      <w:r>
        <w:rPr>
          <w:rStyle w:val="NormalTok"/>
        </w:rPr>
        <w:t xml:space="preserve"> </w:t>
      </w:r>
      <w:r>
        <w:rPr>
          <w:rStyle w:val="KeywordTok"/>
        </w:rPr>
        <w:t xml:space="preserve">mlogit</w:t>
      </w:r>
      <w:r>
        <w:rPr>
          <w:rStyle w:val="NormalTok"/>
        </w:rPr>
        <w:t xml:space="preserve"> hlthstat i.agegrp i.region i.sex i.race</w:t>
      </w:r>
      <w:r>
        <w:br/>
      </w:r>
      <w:r>
        <w:rPr>
          <w:rStyle w:val="KeywordTok"/>
        </w:rPr>
        <w:t xml:space="preserve">qui</w:t>
      </w:r>
      <w:r>
        <w:rPr>
          <w:rStyle w:val="NormalTok"/>
        </w:rPr>
        <w:t xml:space="preserve">: collect _r_b _r_se _r_p: margins, </w:t>
      </w:r>
      <w:r>
        <w:rPr>
          <w:rStyle w:val="KeywordTok"/>
        </w:rPr>
        <w:t xml:space="preserve">dydx</w:t>
      </w:r>
      <w:r>
        <w:rPr>
          <w:rStyle w:val="NormalTok"/>
        </w:rPr>
        <w:t xml:space="preserve">(*) </w:t>
      </w:r>
      <w:r>
        <w:rPr>
          <w:rStyle w:val="KeywordTok"/>
        </w:rPr>
        <w:t xml:space="preserve">predict</w:t>
      </w:r>
      <w:r>
        <w:rPr>
          <w:rStyle w:val="NormalTok"/>
        </w:rPr>
        <w:t xml:space="preserve">(outcome(Excellent))</w:t>
      </w:r>
      <w:r>
        <w:br/>
      </w:r>
      <w:r>
        <w:rPr>
          <w:rStyle w:val="KeywordTok"/>
        </w:rPr>
        <w:t xml:space="preserve">qui</w:t>
      </w:r>
      <w:r>
        <w:rPr>
          <w:rStyle w:val="NormalTok"/>
        </w:rPr>
        <w:t xml:space="preserve">: collect _r_b _r_se _r_p: margins, </w:t>
      </w:r>
      <w:r>
        <w:rPr>
          <w:rStyle w:val="KeywordTok"/>
        </w:rPr>
        <w:t xml:space="preserve">dydx</w:t>
      </w:r>
      <w:r>
        <w:rPr>
          <w:rStyle w:val="NormalTok"/>
        </w:rPr>
        <w:t xml:space="preserve">(*) </w:t>
      </w:r>
      <w:r>
        <w:rPr>
          <w:rStyle w:val="KeywordTok"/>
        </w:rPr>
        <w:t xml:space="preserve">predict</w:t>
      </w:r>
      <w:r>
        <w:rPr>
          <w:rStyle w:val="NormalTok"/>
        </w:rPr>
        <w:t xml:space="preserve">(outcome(Poor))</w:t>
      </w:r>
      <w:r>
        <w:br/>
      </w:r>
      <w:r>
        <w:br/>
      </w: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"Excellent"</w:t>
      </w:r>
      <w:r>
        <w:rPr>
          <w:rStyle w:val="NormalTok"/>
        </w:rPr>
        <w:t xml:space="preserve"> 2 </w:t>
      </w:r>
      <w:r>
        <w:rPr>
          <w:rStyle w:val="StringTok"/>
        </w:rPr>
        <w:t xml:space="preserve">"Poor"</w:t>
      </w:r>
      <w:r>
        <w:rPr>
          <w:rStyle w:val="NormalTok"/>
        </w:rPr>
        <w:t xml:space="preserve"> </w:t>
      </w:r>
      <w:r>
        <w:br/>
      </w:r>
      <w:r>
        <w:br/>
      </w:r>
      <w:r>
        <w:rPr>
          <w:rStyle w:val="NormalTok"/>
        </w:rPr>
        <w:t xml:space="preserve">collect preview</w:t>
      </w:r>
    </w:p>
    <w:p>
      <w:pPr>
        <w:pStyle w:val="SourceCode"/>
      </w:pPr>
      <w:r>
        <w:rPr>
          <w:rStyle w:val="VerbatimChar"/>
        </w:rPr>
        <w:t xml:space="preserve">(collection default read from file multimod.stjson)</w:t>
      </w:r>
      <w:r>
        <w:br/>
      </w:r>
      <w:r>
        <w:br/>
      </w:r>
      <w:r>
        <w:rPr>
          <w:rStyle w:val="VerbatimChar"/>
        </w:rPr>
        <w:t xml:space="preserve">------------------------------------------------------------------------------</w:t>
      </w:r>
      <w:r>
        <w:br/>
      </w:r>
      <w:r>
        <w:rPr>
          <w:rStyle w:val="VerbatimChar"/>
        </w:rPr>
        <w:t xml:space="preserve">                            Excellent                        Poor             </w:t>
      </w:r>
      <w:r>
        <w:br/>
      </w:r>
      <w:r>
        <w:rPr>
          <w:rStyle w:val="VerbatimChar"/>
        </w:rPr>
        <w:t xml:space="preserve">                 Coefficient Std. error p-value Coefficient Std. error p-value</w:t>
      </w:r>
      <w:r>
        <w:br/>
      </w:r>
      <w:r>
        <w:rPr>
          <w:rStyle w:val="VerbatimChar"/>
        </w:rPr>
        <w:t xml:space="preserve">------------------------------------------------------------------------------</w:t>
      </w:r>
      <w:r>
        <w:br/>
      </w:r>
      <w:r>
        <w:rPr>
          <w:rStyle w:val="VerbatimChar"/>
        </w:rPr>
        <w:t xml:space="preserve">Age group 20–29        0.000          .       .       0.000          .       .</w:t>
      </w:r>
      <w:r>
        <w:br/>
      </w:r>
      <w:r>
        <w:rPr>
          <w:rStyle w:val="VerbatimChar"/>
        </w:rPr>
        <w:t xml:space="preserve">          30–39       -0.028      0.015   0.066       0.008      0.004   0.031</w:t>
      </w:r>
      <w:r>
        <w:br/>
      </w:r>
      <w:r>
        <w:rPr>
          <w:rStyle w:val="VerbatimChar"/>
        </w:rPr>
        <w:t xml:space="preserve">          40–49       -0.089      0.016   0.000       0.038      0.006   0.000</w:t>
      </w:r>
      <w:r>
        <w:br/>
      </w:r>
      <w:r>
        <w:rPr>
          <w:rStyle w:val="VerbatimChar"/>
        </w:rPr>
        <w:t xml:space="preserve">          50–59       -0.185      0.014   0.000       0.079      0.008   0.000</w:t>
      </w:r>
      <w:r>
        <w:br/>
      </w:r>
      <w:r>
        <w:rPr>
          <w:rStyle w:val="VerbatimChar"/>
        </w:rPr>
        <w:t xml:space="preserve">          60–69       -0.241      0.012   0.000       0.117      0.006   0.000</w:t>
      </w:r>
      <w:r>
        <w:br/>
      </w:r>
      <w:r>
        <w:rPr>
          <w:rStyle w:val="VerbatimChar"/>
        </w:rPr>
        <w:t xml:space="preserve">          70+         -0.234      0.014   0.000       0.132      0.011   0.000</w:t>
      </w:r>
      <w:r>
        <w:br/>
      </w:r>
      <w:r>
        <w:rPr>
          <w:rStyle w:val="VerbatimChar"/>
        </w:rPr>
        <w:t xml:space="preserve">Region    NE           0.000          .       .       0.000          .       .</w:t>
      </w:r>
      <w:r>
        <w:br/>
      </w:r>
      <w:r>
        <w:rPr>
          <w:rStyle w:val="VerbatimChar"/>
        </w:rPr>
        <w:t xml:space="preserve">          MW          -0.008      0.012   0.525       0.025      0.006   0.000</w:t>
      </w:r>
      <w:r>
        <w:br/>
      </w:r>
      <w:r>
        <w:rPr>
          <w:rStyle w:val="VerbatimChar"/>
        </w:rPr>
        <w:t xml:space="preserve">          S           -0.060      0.012   0.000       0.064      0.007   0.000</w:t>
      </w:r>
      <w:r>
        <w:br/>
      </w:r>
      <w:r>
        <w:rPr>
          <w:rStyle w:val="VerbatimChar"/>
        </w:rPr>
        <w:t xml:space="preserve">          W           -0.050      0.012   0.000       0.028      0.006   0.000</w:t>
      </w:r>
      <w:r>
        <w:br/>
      </w:r>
      <w:r>
        <w:rPr>
          <w:rStyle w:val="VerbatimChar"/>
        </w:rPr>
        <w:t xml:space="preserve">Sex       Male         0.000          .       .       0.000          .       .</w:t>
      </w:r>
      <w:r>
        <w:br/>
      </w:r>
      <w:r>
        <w:rPr>
          <w:rStyle w:val="VerbatimChar"/>
        </w:rPr>
        <w:t xml:space="preserve">          Female      -0.039      0.008   0.000      -0.016      0.005   0.001</w:t>
      </w:r>
      <w:r>
        <w:br/>
      </w:r>
      <w:r>
        <w:rPr>
          <w:rStyle w:val="VerbatimChar"/>
        </w:rPr>
        <w:t xml:space="preserve">Race      White        0.000          .       .       0.000          .       .</w:t>
      </w:r>
      <w:r>
        <w:br/>
      </w:r>
      <w:r>
        <w:rPr>
          <w:rStyle w:val="VerbatimChar"/>
        </w:rPr>
        <w:t xml:space="preserve">          Black       -0.113      0.011   0.000       0.060      0.010   0.000</w:t>
      </w:r>
      <w:r>
        <w:br/>
      </w:r>
      <w:r>
        <w:rPr>
          <w:rStyle w:val="VerbatimChar"/>
        </w:rPr>
        <w:t xml:space="preserve">          Other       -0.042      0.028   0.134      -0.011      0.017   0.526</w:t>
      </w:r>
      <w:r>
        <w:br/>
      </w:r>
      <w:r>
        <w:rPr>
          <w:rStyle w:val="VerbatimChar"/>
        </w:rPr>
        <w:t xml:space="preserve">------------------------------------------------------------------------------</w:t>
      </w:r>
    </w:p>
    <w:bookmarkStart w:id="38" w:name="visualisation-des-exportations-1"/>
    <w:p>
      <w:pPr>
        <w:pStyle w:val="Heading3"/>
      </w:pPr>
      <w:r>
        <w:t xml:space="preserve">2.2.1</w:t>
      </w:r>
      <w:r>
        <w:t xml:space="preserve"> </w:t>
      </w:r>
      <w:r>
        <w:rPr>
          <w:bCs/>
          <w:b/>
        </w:rPr>
        <w:t xml:space="preserve">Visualisation des exportations</w:t>
      </w:r>
    </w:p>
    <w:bookmarkEnd w:id="38"/>
    <w:bookmarkEnd w:id="39"/>
    <w:p>
      <w:pPr>
        <w:pStyle w:val="Heading2"/>
      </w:pPr>
      <w:r>
        <w:rPr>
          <w:bCs/>
          <w:b/>
        </w:rPr>
        <w:t xml:space="preserve">Word</w:t>
      </w:r>
    </w:p>
    <w:p>
      <w:pPr>
        <w:pStyle w:val="FirstParagraph"/>
      </w:pPr>
      <w:r>
        <w:drawing>
          <wp:inline>
            <wp:extent cx="5334000" cy="2712085"/>
            <wp:effectExtent b="0" l="0" r="0" t="0"/>
            <wp:docPr descr="" title="" id="41" name="Picture"/>
            <a:graphic>
              <a:graphicData uri="http://schemas.openxmlformats.org/drawingml/2006/picture">
                <pic:pic>
                  <pic:nvPicPr>
                    <pic:cNvPr descr="word2.PNG" id="42" name="Picture"/>
                    <pic:cNvPicPr>
                      <a:picLocks noChangeArrowheads="1" noChangeAspect="1"/>
                    </pic:cNvPicPr>
                  </pic:nvPicPr>
                  <pic:blipFill>
                    <a:blip r:embed="rId40"/>
                    <a:stretch>
                      <a:fillRect/>
                    </a:stretch>
                  </pic:blipFill>
                  <pic:spPr bwMode="auto">
                    <a:xfrm>
                      <a:off x="0" y="0"/>
                      <a:ext cx="5334000" cy="2712085"/>
                    </a:xfrm>
                    <a:prstGeom prst="rect">
                      <a:avLst/>
                    </a:prstGeom>
                    <a:noFill/>
                    <a:ln w="9525">
                      <a:noFill/>
                      <a:headEnd/>
                      <a:tailEnd/>
                    </a:ln>
                  </pic:spPr>
                </pic:pic>
              </a:graphicData>
            </a:graphic>
          </wp:inline>
        </w:drawing>
      </w:r>
    </w:p>
    <w:p>
      <w:pPr>
        <w:pStyle w:val="Heading2"/>
      </w:pPr>
      <w:r>
        <w:rPr>
          <w:bCs/>
          <w:b/>
        </w:rPr>
        <w:t xml:space="preserve">Excel</w:t>
      </w:r>
    </w:p>
    <w:p>
      <w:pPr>
        <w:pStyle w:val="FirstParagraph"/>
      </w:pPr>
      <w:r>
        <w:drawing>
          <wp:inline>
            <wp:extent cx="5334000" cy="3166558"/>
            <wp:effectExtent b="0" l="0" r="0" t="0"/>
            <wp:docPr descr="" title="" id="44" name="Picture"/>
            <a:graphic>
              <a:graphicData uri="http://schemas.openxmlformats.org/drawingml/2006/picture">
                <pic:pic>
                  <pic:nvPicPr>
                    <pic:cNvPr descr="excel2.PNG" id="45" name="Picture"/>
                    <pic:cNvPicPr>
                      <a:picLocks noChangeArrowheads="1" noChangeAspect="1"/>
                    </pic:cNvPicPr>
                  </pic:nvPicPr>
                  <pic:blipFill>
                    <a:blip r:embed="rId43"/>
                    <a:stretch>
                      <a:fillRect/>
                    </a:stretch>
                  </pic:blipFill>
                  <pic:spPr bwMode="auto">
                    <a:xfrm>
                      <a:off x="0" y="0"/>
                      <a:ext cx="5334000" cy="3166558"/>
                    </a:xfrm>
                    <a:prstGeom prst="rect">
                      <a:avLst/>
                    </a:prstGeom>
                    <a:noFill/>
                    <a:ln w="9525">
                      <a:noFill/>
                      <a:headEnd/>
                      <a:tailEnd/>
                    </a:ln>
                  </pic:spPr>
                </pic:pic>
              </a:graphicData>
            </a:graphic>
          </wp:inline>
        </w:drawing>
      </w:r>
    </w:p>
    <w:p>
      <w:pPr>
        <w:pStyle w:val="Heading2"/>
      </w:pPr>
      <w:r>
        <w:rPr>
          <w:bCs/>
          <w:b/>
        </w:rPr>
        <w:t xml:space="preserve">Latex (pdf</w:t>
      </w:r>
      <w:r>
        <w:t xml:space="preserve">)</w:t>
      </w:r>
    </w:p>
    <w:p>
      <w:pPr>
        <w:pStyle w:val="FirstParagraph"/>
      </w:pPr>
      <w:r>
        <w:drawing>
          <wp:inline>
            <wp:extent cx="5334000" cy="2730767"/>
            <wp:effectExtent b="0" l="0" r="0" t="0"/>
            <wp:docPr descr="" title="" id="47" name="Picture"/>
            <a:graphic>
              <a:graphicData uri="http://schemas.openxmlformats.org/drawingml/2006/picture">
                <pic:pic>
                  <pic:nvPicPr>
                    <pic:cNvPr descr="tex2.PNG" id="48" name="Picture"/>
                    <pic:cNvPicPr>
                      <a:picLocks noChangeArrowheads="1" noChangeAspect="1"/>
                    </pic:cNvPicPr>
                  </pic:nvPicPr>
                  <pic:blipFill>
                    <a:blip r:embed="rId46"/>
                    <a:stretch>
                      <a:fillRect/>
                    </a:stretch>
                  </pic:blipFill>
                  <pic:spPr bwMode="auto">
                    <a:xfrm>
                      <a:off x="0" y="0"/>
                      <a:ext cx="5334000" cy="2730767"/>
                    </a:xfrm>
                    <a:prstGeom prst="rect">
                      <a:avLst/>
                    </a:prstGeom>
                    <a:noFill/>
                    <a:ln w="9525">
                      <a:noFill/>
                      <a:headEnd/>
                      <a:tailEnd/>
                    </a:ln>
                  </pic:spPr>
                </pic:pic>
              </a:graphicData>
            </a:graphic>
          </wp:inline>
        </w:drawing>
      </w:r>
    </w:p>
    <w:p>
      <w:pPr>
        <w:pStyle w:val="Heading2"/>
      </w:pPr>
      <w:r>
        <w:rPr>
          <w:bCs/>
          <w:b/>
        </w:rPr>
        <w:t xml:space="preserve">Markdown (Html)</w:t>
      </w:r>
    </w:p>
    <w:tbl>
      <w:tblPr>
        <w:tblStyle w:val="Table"/>
        <w:tblW w:type="pct" w:w="5000"/>
        <w:tblLook w:firstRow="1" w:lastRow="0" w:firstColumn="0" w:lastColumn="0" w:noHBand="0" w:noVBand="0" w:val="0020"/>
        <w:jc w:val="start"/>
        <w:tblLayout w:type="fixed"/>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left"/>
            </w:pPr>
            <w:r>
              <w:rPr>
                <w:bCs/>
                <w:b/>
              </w:rPr>
              <w:t xml:space="preserve">Excellent</w:t>
            </w:r>
          </w:p>
        </w:tc>
        <w:tc>
          <w:tcPr/>
          <w:p>
            <w:pPr>
              <w:pStyle w:val="Compact"/>
            </w:pPr>
          </w:p>
        </w:tc>
        <w:tc>
          <w:tcPr/>
          <w:p>
            <w:pPr>
              <w:pStyle w:val="Compact"/>
            </w:pPr>
          </w:p>
        </w:tc>
        <w:tc>
          <w:tcPr/>
          <w:p>
            <w:pPr>
              <w:pStyle w:val="Compact"/>
              <w:jc w:val="left"/>
            </w:pPr>
            <w:r>
              <w:rPr>
                <w:bCs/>
                <w:b/>
              </w:rPr>
              <w:t xml:space="preserve">Poor</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r>
      <w:tr>
        <w:tc>
          <w:tcPr/>
          <w:p>
            <w:pPr>
              <w:pStyle w:val="Compact"/>
              <w:jc w:val="left"/>
            </w:pPr>
            <w:r>
              <w:rPr>
                <w:bCs/>
                <w:b/>
              </w:rPr>
              <w:t xml:space="preserve">Age group</w:t>
            </w:r>
          </w:p>
        </w:tc>
        <w:tc>
          <w:tcPr/>
          <w:p>
            <w:pPr>
              <w:pStyle w:val="Compact"/>
              <w:jc w:val="left"/>
            </w:pPr>
            <w:r>
              <w:t xml:space="preserve">20–29</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30–39</w:t>
            </w:r>
          </w:p>
        </w:tc>
        <w:tc>
          <w:tcPr/>
          <w:p>
            <w:pPr>
              <w:pStyle w:val="Compact"/>
              <w:jc w:val="left"/>
            </w:pPr>
            <w:r>
              <w:t xml:space="preserve">-0.028</w:t>
            </w:r>
          </w:p>
        </w:tc>
        <w:tc>
          <w:tcPr/>
          <w:p>
            <w:pPr>
              <w:pStyle w:val="Compact"/>
              <w:jc w:val="left"/>
            </w:pPr>
            <w:r>
              <w:t xml:space="preserve">0.015</w:t>
            </w:r>
          </w:p>
        </w:tc>
        <w:tc>
          <w:tcPr/>
          <w:p>
            <w:pPr>
              <w:pStyle w:val="Compact"/>
              <w:jc w:val="left"/>
            </w:pPr>
            <w:r>
              <w:t xml:space="preserve">0.066</w:t>
            </w:r>
          </w:p>
        </w:tc>
        <w:tc>
          <w:tcPr/>
          <w:p>
            <w:pPr>
              <w:pStyle w:val="Compact"/>
              <w:jc w:val="left"/>
            </w:pPr>
            <w:r>
              <w:t xml:space="preserve">0.008</w:t>
            </w:r>
          </w:p>
        </w:tc>
        <w:tc>
          <w:tcPr/>
          <w:p>
            <w:pPr>
              <w:pStyle w:val="Compact"/>
              <w:jc w:val="left"/>
            </w:pPr>
            <w:r>
              <w:t xml:space="preserve">0.004</w:t>
            </w:r>
          </w:p>
        </w:tc>
        <w:tc>
          <w:tcPr/>
          <w:p>
            <w:pPr>
              <w:pStyle w:val="Compact"/>
              <w:jc w:val="left"/>
            </w:pPr>
            <w:r>
              <w:t xml:space="preserve">0.031</w:t>
            </w:r>
          </w:p>
        </w:tc>
      </w:tr>
      <w:tr>
        <w:tc>
          <w:tcPr/>
          <w:p>
            <w:pPr>
              <w:pStyle w:val="Compact"/>
            </w:pPr>
          </w:p>
        </w:tc>
        <w:tc>
          <w:tcPr/>
          <w:p>
            <w:pPr>
              <w:pStyle w:val="Compact"/>
              <w:jc w:val="left"/>
            </w:pPr>
            <w:r>
              <w:t xml:space="preserve">40–49</w:t>
            </w:r>
          </w:p>
        </w:tc>
        <w:tc>
          <w:tcPr/>
          <w:p>
            <w:pPr>
              <w:pStyle w:val="Compact"/>
              <w:jc w:val="left"/>
            </w:pPr>
            <w:r>
              <w:t xml:space="preserve">-0.089</w:t>
            </w:r>
          </w:p>
        </w:tc>
        <w:tc>
          <w:tcPr/>
          <w:p>
            <w:pPr>
              <w:pStyle w:val="Compact"/>
              <w:jc w:val="left"/>
            </w:pPr>
            <w:r>
              <w:t xml:space="preserve">0.016</w:t>
            </w:r>
          </w:p>
        </w:tc>
        <w:tc>
          <w:tcPr/>
          <w:p>
            <w:pPr>
              <w:pStyle w:val="Compact"/>
              <w:jc w:val="left"/>
            </w:pPr>
            <w:r>
              <w:t xml:space="preserve">0.000</w:t>
            </w:r>
          </w:p>
        </w:tc>
        <w:tc>
          <w:tcPr/>
          <w:p>
            <w:pPr>
              <w:pStyle w:val="Compact"/>
              <w:jc w:val="left"/>
            </w:pPr>
            <w:r>
              <w:t xml:space="preserve">0.038</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50–59</w:t>
            </w:r>
          </w:p>
        </w:tc>
        <w:tc>
          <w:tcPr/>
          <w:p>
            <w:pPr>
              <w:pStyle w:val="Compact"/>
              <w:jc w:val="left"/>
            </w:pPr>
            <w:r>
              <w:t xml:space="preserve">-0.185</w:t>
            </w:r>
          </w:p>
        </w:tc>
        <w:tc>
          <w:tcPr/>
          <w:p>
            <w:pPr>
              <w:pStyle w:val="Compact"/>
              <w:jc w:val="left"/>
            </w:pPr>
            <w:r>
              <w:t xml:space="preserve">0.014</w:t>
            </w:r>
          </w:p>
        </w:tc>
        <w:tc>
          <w:tcPr/>
          <w:p>
            <w:pPr>
              <w:pStyle w:val="Compact"/>
              <w:jc w:val="left"/>
            </w:pPr>
            <w:r>
              <w:t xml:space="preserve">0.000</w:t>
            </w:r>
          </w:p>
        </w:tc>
        <w:tc>
          <w:tcPr/>
          <w:p>
            <w:pPr>
              <w:pStyle w:val="Compact"/>
              <w:jc w:val="left"/>
            </w:pPr>
            <w:r>
              <w:t xml:space="preserve">0.079</w:t>
            </w:r>
          </w:p>
        </w:tc>
        <w:tc>
          <w:tcPr/>
          <w:p>
            <w:pPr>
              <w:pStyle w:val="Compact"/>
              <w:jc w:val="left"/>
            </w:pPr>
            <w:r>
              <w:t xml:space="preserve">0.008</w:t>
            </w:r>
          </w:p>
        </w:tc>
        <w:tc>
          <w:tcPr/>
          <w:p>
            <w:pPr>
              <w:pStyle w:val="Compact"/>
              <w:jc w:val="left"/>
            </w:pPr>
            <w:r>
              <w:t xml:space="preserve">0.000</w:t>
            </w:r>
          </w:p>
        </w:tc>
      </w:tr>
      <w:tr>
        <w:tc>
          <w:tcPr/>
          <w:p>
            <w:pPr>
              <w:pStyle w:val="Compact"/>
            </w:pPr>
          </w:p>
        </w:tc>
        <w:tc>
          <w:tcPr/>
          <w:p>
            <w:pPr>
              <w:pStyle w:val="Compact"/>
              <w:jc w:val="left"/>
            </w:pPr>
            <w:r>
              <w:t xml:space="preserve">60–69</w:t>
            </w:r>
          </w:p>
        </w:tc>
        <w:tc>
          <w:tcPr/>
          <w:p>
            <w:pPr>
              <w:pStyle w:val="Compact"/>
              <w:jc w:val="left"/>
            </w:pPr>
            <w:r>
              <w:t xml:space="preserve">-0.241</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0.117</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70+</w:t>
            </w:r>
          </w:p>
        </w:tc>
        <w:tc>
          <w:tcPr/>
          <w:p>
            <w:pPr>
              <w:pStyle w:val="Compact"/>
              <w:jc w:val="left"/>
            </w:pPr>
            <w:r>
              <w:t xml:space="preserve">-0.234</w:t>
            </w:r>
          </w:p>
        </w:tc>
        <w:tc>
          <w:tcPr/>
          <w:p>
            <w:pPr>
              <w:pStyle w:val="Compact"/>
              <w:jc w:val="left"/>
            </w:pPr>
            <w:r>
              <w:t xml:space="preserve">0.014</w:t>
            </w:r>
          </w:p>
        </w:tc>
        <w:tc>
          <w:tcPr/>
          <w:p>
            <w:pPr>
              <w:pStyle w:val="Compact"/>
              <w:jc w:val="left"/>
            </w:pPr>
            <w:r>
              <w:t xml:space="preserve">0.000</w:t>
            </w:r>
          </w:p>
        </w:tc>
        <w:tc>
          <w:tcPr/>
          <w:p>
            <w:pPr>
              <w:pStyle w:val="Compact"/>
              <w:jc w:val="left"/>
            </w:pPr>
            <w:r>
              <w:t xml:space="preserve">0.132</w:t>
            </w:r>
          </w:p>
        </w:tc>
        <w:tc>
          <w:tcPr/>
          <w:p>
            <w:pPr>
              <w:pStyle w:val="Compact"/>
              <w:jc w:val="left"/>
            </w:pPr>
            <w:r>
              <w:t xml:space="preserve">0.011</w:t>
            </w:r>
          </w:p>
        </w:tc>
        <w:tc>
          <w:tcPr/>
          <w:p>
            <w:pPr>
              <w:pStyle w:val="Compact"/>
              <w:jc w:val="left"/>
            </w:pPr>
            <w:r>
              <w:t xml:space="preserve">0.000</w:t>
            </w:r>
          </w:p>
        </w:tc>
      </w:tr>
      <w:tr>
        <w:tc>
          <w:tcPr/>
          <w:p>
            <w:pPr>
              <w:pStyle w:val="Compact"/>
              <w:jc w:val="left"/>
            </w:pPr>
            <w:r>
              <w:rPr>
                <w:bCs/>
                <w:b/>
              </w:rPr>
              <w:t xml:space="preserve">Region</w:t>
            </w:r>
          </w:p>
        </w:tc>
        <w:tc>
          <w:tcPr/>
          <w:p>
            <w:pPr>
              <w:pStyle w:val="Compact"/>
              <w:jc w:val="left"/>
            </w:pPr>
            <w:r>
              <w:t xml:space="preserve">NE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MW</w:t>
            </w:r>
          </w:p>
        </w:tc>
        <w:tc>
          <w:tcPr/>
          <w:p>
            <w:pPr>
              <w:pStyle w:val="Compact"/>
              <w:jc w:val="left"/>
            </w:pPr>
            <w:r>
              <w:t xml:space="preserve">-0.008</w:t>
            </w:r>
          </w:p>
        </w:tc>
        <w:tc>
          <w:tcPr/>
          <w:p>
            <w:pPr>
              <w:pStyle w:val="Compact"/>
              <w:jc w:val="left"/>
            </w:pPr>
            <w:r>
              <w:t xml:space="preserve">0.012</w:t>
            </w:r>
          </w:p>
        </w:tc>
        <w:tc>
          <w:tcPr/>
          <w:p>
            <w:pPr>
              <w:pStyle w:val="Compact"/>
              <w:jc w:val="left"/>
            </w:pPr>
            <w:r>
              <w:t xml:space="preserve">0.525</w:t>
            </w:r>
          </w:p>
        </w:tc>
        <w:tc>
          <w:tcPr/>
          <w:p>
            <w:pPr>
              <w:pStyle w:val="Compact"/>
              <w:jc w:val="left"/>
            </w:pPr>
            <w:r>
              <w:t xml:space="preserve">0.025</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S</w:t>
            </w:r>
          </w:p>
        </w:tc>
        <w:tc>
          <w:tcPr/>
          <w:p>
            <w:pPr>
              <w:pStyle w:val="Compact"/>
              <w:jc w:val="left"/>
            </w:pPr>
            <w:r>
              <w:t xml:space="preserve">-0.060</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0.064</w:t>
            </w:r>
          </w:p>
        </w:tc>
        <w:tc>
          <w:tcPr/>
          <w:p>
            <w:pPr>
              <w:pStyle w:val="Compact"/>
              <w:jc w:val="left"/>
            </w:pPr>
            <w:r>
              <w:t xml:space="preserve">0.007</w:t>
            </w:r>
          </w:p>
        </w:tc>
        <w:tc>
          <w:tcPr/>
          <w:p>
            <w:pPr>
              <w:pStyle w:val="Compact"/>
              <w:jc w:val="left"/>
            </w:pPr>
            <w:r>
              <w:t xml:space="preserve">0.000</w:t>
            </w:r>
          </w:p>
        </w:tc>
      </w:tr>
      <w:tr>
        <w:tc>
          <w:tcPr/>
          <w:p>
            <w:pPr>
              <w:pStyle w:val="Compact"/>
            </w:pPr>
          </w:p>
        </w:tc>
        <w:tc>
          <w:tcPr/>
          <w:p>
            <w:pPr>
              <w:pStyle w:val="Compact"/>
              <w:jc w:val="left"/>
            </w:pPr>
            <w:r>
              <w:t xml:space="preserve">W</w:t>
            </w:r>
          </w:p>
        </w:tc>
        <w:tc>
          <w:tcPr/>
          <w:p>
            <w:pPr>
              <w:pStyle w:val="Compact"/>
              <w:jc w:val="left"/>
            </w:pPr>
            <w:r>
              <w:t xml:space="preserve">-0.050</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0.028</w:t>
            </w:r>
          </w:p>
        </w:tc>
        <w:tc>
          <w:tcPr/>
          <w:p>
            <w:pPr>
              <w:pStyle w:val="Compact"/>
              <w:jc w:val="left"/>
            </w:pPr>
            <w:r>
              <w:t xml:space="preserve">0.006</w:t>
            </w:r>
          </w:p>
        </w:tc>
        <w:tc>
          <w:tcPr/>
          <w:p>
            <w:pPr>
              <w:pStyle w:val="Compact"/>
              <w:jc w:val="left"/>
            </w:pPr>
            <w:r>
              <w:t xml:space="preserve">0.000</w:t>
            </w:r>
          </w:p>
        </w:tc>
      </w:tr>
      <w:tr>
        <w:tc>
          <w:tcPr/>
          <w:p>
            <w:pPr>
              <w:pStyle w:val="Compact"/>
              <w:jc w:val="left"/>
            </w:pPr>
            <w:r>
              <w:rPr>
                <w:bCs/>
                <w:b/>
              </w:rPr>
              <w:t xml:space="preserve">Sex</w:t>
            </w:r>
          </w:p>
        </w:tc>
        <w:tc>
          <w:tcPr/>
          <w:p>
            <w:pPr>
              <w:pStyle w:val="Compact"/>
              <w:jc w:val="left"/>
            </w:pPr>
            <w:r>
              <w:t xml:space="preserve">Male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Female</w:t>
            </w:r>
          </w:p>
        </w:tc>
        <w:tc>
          <w:tcPr/>
          <w:p>
            <w:pPr>
              <w:pStyle w:val="Compact"/>
              <w:jc w:val="left"/>
            </w:pPr>
            <w:r>
              <w:t xml:space="preserve">-0.039</w:t>
            </w:r>
          </w:p>
        </w:tc>
        <w:tc>
          <w:tcPr/>
          <w:p>
            <w:pPr>
              <w:pStyle w:val="Compact"/>
              <w:jc w:val="left"/>
            </w:pPr>
            <w:r>
              <w:t xml:space="preserve">0.008</w:t>
            </w:r>
          </w:p>
        </w:tc>
        <w:tc>
          <w:tcPr/>
          <w:p>
            <w:pPr>
              <w:pStyle w:val="Compact"/>
              <w:jc w:val="left"/>
            </w:pPr>
            <w:r>
              <w:t xml:space="preserve">0.000</w:t>
            </w:r>
          </w:p>
        </w:tc>
        <w:tc>
          <w:tcPr/>
          <w:p>
            <w:pPr>
              <w:pStyle w:val="Compact"/>
              <w:jc w:val="left"/>
            </w:pPr>
            <w:r>
              <w:t xml:space="preserve">-0.016</w:t>
            </w:r>
          </w:p>
        </w:tc>
        <w:tc>
          <w:tcPr/>
          <w:p>
            <w:pPr>
              <w:pStyle w:val="Compact"/>
              <w:jc w:val="left"/>
            </w:pPr>
            <w:r>
              <w:t xml:space="preserve">0.005</w:t>
            </w:r>
          </w:p>
        </w:tc>
        <w:tc>
          <w:tcPr/>
          <w:p>
            <w:pPr>
              <w:pStyle w:val="Compact"/>
              <w:jc w:val="left"/>
            </w:pPr>
            <w:r>
              <w:t xml:space="preserve">0.001</w:t>
            </w:r>
          </w:p>
        </w:tc>
      </w:tr>
      <w:tr>
        <w:tc>
          <w:tcPr/>
          <w:p>
            <w:pPr>
              <w:pStyle w:val="Compact"/>
              <w:jc w:val="left"/>
            </w:pPr>
            <w:r>
              <w:rPr>
                <w:bCs/>
                <w:b/>
              </w:rPr>
              <w:t xml:space="preserve">Race</w:t>
            </w:r>
          </w:p>
        </w:tc>
        <w:tc>
          <w:tcPr/>
          <w:p>
            <w:pPr>
              <w:pStyle w:val="Compact"/>
              <w:jc w:val="left"/>
            </w:pPr>
            <w:r>
              <w:t xml:space="preserve">White</w:t>
            </w:r>
          </w:p>
        </w:tc>
        <w:tc>
          <w:tcPr/>
          <w:p>
            <w:pPr>
              <w:pStyle w:val="Compact"/>
              <w:jc w:val="left"/>
            </w:pPr>
            <w:r>
              <w:t xml:space="preserve">0.000</w:t>
            </w:r>
          </w:p>
        </w:tc>
        <w:tc>
          <w:tcPr/>
          <w:p>
            <w:pPr>
              <w:pStyle w:val="Compact"/>
              <w:jc w:val="left"/>
            </w:pPr>
            <w:r>
              <w:t xml:space="preserve">.</w:t>
            </w:r>
          </w:p>
        </w:tc>
        <w:tc>
          <w:tcPr/>
          <w:p>
            <w:pPr>
              <w:pStyle w:val="Compact"/>
              <w:jc w:val="left"/>
            </w:pPr>
            <w:r>
              <w:t xml:space="preserve">.</w:t>
            </w:r>
          </w:p>
        </w:tc>
        <w:tc>
          <w:tcPr/>
          <w:p>
            <w:pPr>
              <w:pStyle w:val="Compact"/>
              <w:jc w:val="left"/>
            </w:pPr>
            <w:r>
              <w:t xml:space="preserve">0.000</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Black</w:t>
            </w:r>
          </w:p>
        </w:tc>
        <w:tc>
          <w:tcPr/>
          <w:p>
            <w:pPr>
              <w:pStyle w:val="Compact"/>
              <w:jc w:val="left"/>
            </w:pPr>
            <w:r>
              <w:t xml:space="preserve">-0.113</w:t>
            </w:r>
          </w:p>
        </w:tc>
        <w:tc>
          <w:tcPr/>
          <w:p>
            <w:pPr>
              <w:pStyle w:val="Compact"/>
              <w:jc w:val="left"/>
            </w:pPr>
            <w:r>
              <w:t xml:space="preserve">0.011</w:t>
            </w:r>
          </w:p>
        </w:tc>
        <w:tc>
          <w:tcPr/>
          <w:p>
            <w:pPr>
              <w:pStyle w:val="Compact"/>
              <w:jc w:val="left"/>
            </w:pPr>
            <w:r>
              <w:t xml:space="preserve">0.000</w:t>
            </w:r>
          </w:p>
        </w:tc>
        <w:tc>
          <w:tcPr/>
          <w:p>
            <w:pPr>
              <w:pStyle w:val="Compact"/>
              <w:jc w:val="left"/>
            </w:pPr>
            <w:r>
              <w:t xml:space="preserve">0.060</w:t>
            </w:r>
          </w:p>
        </w:tc>
        <w:tc>
          <w:tcPr/>
          <w:p>
            <w:pPr>
              <w:pStyle w:val="Compact"/>
              <w:jc w:val="left"/>
            </w:pPr>
            <w:r>
              <w:t xml:space="preserve">0.010</w:t>
            </w:r>
          </w:p>
        </w:tc>
        <w:tc>
          <w:tcPr/>
          <w:p>
            <w:pPr>
              <w:pStyle w:val="Compact"/>
              <w:jc w:val="left"/>
            </w:pPr>
            <w:r>
              <w:t xml:space="preserve">0.000</w:t>
            </w:r>
          </w:p>
        </w:tc>
      </w:tr>
      <w:tr>
        <w:tc>
          <w:tcPr/>
          <w:p>
            <w:pPr>
              <w:pStyle w:val="Compact"/>
            </w:pPr>
          </w:p>
        </w:tc>
        <w:tc>
          <w:tcPr/>
          <w:p>
            <w:pPr>
              <w:pStyle w:val="Compact"/>
              <w:jc w:val="left"/>
            </w:pPr>
            <w:r>
              <w:t xml:space="preserve">Other</w:t>
            </w:r>
          </w:p>
        </w:tc>
        <w:tc>
          <w:tcPr/>
          <w:p>
            <w:pPr>
              <w:pStyle w:val="Compact"/>
              <w:jc w:val="left"/>
            </w:pPr>
            <w:r>
              <w:t xml:space="preserve">-0.042</w:t>
            </w:r>
          </w:p>
        </w:tc>
        <w:tc>
          <w:tcPr/>
          <w:p>
            <w:pPr>
              <w:pStyle w:val="Compact"/>
              <w:jc w:val="left"/>
            </w:pPr>
            <w:r>
              <w:t xml:space="preserve">0.028</w:t>
            </w:r>
          </w:p>
        </w:tc>
        <w:tc>
          <w:tcPr/>
          <w:p>
            <w:pPr>
              <w:pStyle w:val="Compact"/>
              <w:jc w:val="left"/>
            </w:pPr>
            <w:r>
              <w:t xml:space="preserve">0.134</w:t>
            </w:r>
          </w:p>
        </w:tc>
        <w:tc>
          <w:tcPr/>
          <w:p>
            <w:pPr>
              <w:pStyle w:val="Compact"/>
              <w:jc w:val="left"/>
            </w:pPr>
            <w:r>
              <w:t xml:space="preserve">-0.011</w:t>
            </w:r>
          </w:p>
        </w:tc>
        <w:tc>
          <w:tcPr/>
          <w:p>
            <w:pPr>
              <w:pStyle w:val="Compact"/>
              <w:jc w:val="left"/>
            </w:pPr>
            <w:r>
              <w:t xml:space="preserve">0.017</w:t>
            </w:r>
          </w:p>
        </w:tc>
        <w:tc>
          <w:tcPr/>
          <w:p>
            <w:pPr>
              <w:pStyle w:val="Compact"/>
              <w:jc w:val="left"/>
            </w:pPr>
            <w:r>
              <w:t xml:space="preserve">0.526</w:t>
            </w:r>
          </w:p>
        </w:tc>
      </w:tr>
    </w:tbl>
    <w:bookmarkEnd w:id="49"/>
    <w:bookmarkStart w:id="50" w:name="sans-style-enregistré"/>
    <w:p>
      <w:pPr>
        <w:pStyle w:val="Heading1"/>
      </w:pPr>
      <w:r>
        <w:t xml:space="preserve">3. </w:t>
      </w:r>
      <w:r>
        <w:rPr>
          <w:bCs/>
          <w:b/>
        </w:rPr>
        <w:t xml:space="preserve">Sans style enregistré</w:t>
      </w:r>
    </w:p>
    <w:p>
      <w:pPr>
        <w:pStyle w:val="FirstParagraph"/>
      </w:pPr>
      <w:r>
        <w:t xml:space="preserve">Il est bien évidemment possible de programmer et d’utiliser les styles à la volée. A minima, il semblerait que pour les résultats de régression la ligne</w:t>
      </w:r>
      <w:r>
        <w:t xml:space="preserve"> </w:t>
      </w:r>
      <w:r>
        <w:rPr>
          <w:rStyle w:val="VerbatimChar"/>
          <w:bCs/>
          <w:b/>
        </w:rPr>
        <w:t xml:space="preserve">collect layout (colname) (cmdset#result)</w:t>
      </w:r>
      <w:r>
        <w:t xml:space="preserve"> </w:t>
      </w:r>
      <w:r>
        <w:t xml:space="preserve">soit obligatoire.</w:t>
      </w:r>
    </w:p>
    <w:p>
      <w:pPr>
        <w:pStyle w:val="BodyText"/>
      </w:pPr>
      <w:r>
        <w:t xml:space="preserve">Pour un simple modèle (exemple1 Ols), sans style.</w:t>
      </w:r>
    </w:p>
    <w:p>
      <w:pPr>
        <w:pStyle w:val="SourceCode"/>
      </w:pPr>
      <w:r>
        <w:rPr>
          <w:rStyle w:val="NormalTok"/>
        </w:rPr>
        <w:t xml:space="preserve">collect </w:t>
      </w:r>
      <w:r>
        <w:rPr>
          <w:rStyle w:val="KeywordTok"/>
        </w:rPr>
        <w:t xml:space="preserve">clear</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rPr>
          <w:rStyle w:val="NormalTok"/>
        </w:rPr>
        <w:t xml:space="preserve">collect preview</w:t>
      </w:r>
      <w:r>
        <w:br/>
      </w:r>
      <w:r>
        <w:br/>
      </w:r>
      <w:r>
        <w:rPr>
          <w:rStyle w:val="NormalTok"/>
        </w:rPr>
        <w:t xml:space="preserve">* Your layout specification does </w:t>
      </w:r>
      <w:r>
        <w:rPr>
          <w:rStyle w:val="KeywordTok"/>
        </w:rPr>
        <w:t xml:space="preserve">not</w:t>
      </w:r>
      <w:r>
        <w:rPr>
          <w:rStyle w:val="NormalTok"/>
        </w:rPr>
        <w:t xml:space="preserve"> identify any items.</w:t>
      </w:r>
      <w:r>
        <w:br/>
      </w:r>
      <w:r>
        <w:br/>
      </w:r>
      <w:r>
        <w:rPr>
          <w:rStyle w:val="NormalTok"/>
        </w:rPr>
        <w:t xml:space="preserve">collect </w:t>
      </w:r>
      <w:r>
        <w:rPr>
          <w:rStyle w:val="KeywordTok"/>
        </w:rPr>
        <w:t xml:space="preserve">clear</w:t>
      </w:r>
      <w:r>
        <w:br/>
      </w:r>
      <w:r>
        <w:br/>
      </w:r>
      <w:r>
        <w:rPr>
          <w:rStyle w:val="NormalTok"/>
        </w:rPr>
        <w:t xml:space="preserve">collect layout (colname) (cmdset#result)</w:t>
      </w:r>
      <w:r>
        <w:br/>
      </w:r>
      <w:r>
        <w:rPr>
          <w:rStyle w:val="NormalTok"/>
        </w:rPr>
        <w:t xml:space="preserve">                          </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rPr>
          <w:rStyle w:val="NormalTok"/>
        </w:rPr>
        <w:t xml:space="preserve">collect preview</w:t>
      </w:r>
    </w:p>
    <w:p>
      <w:pPr>
        <w:pStyle w:val="SourceCode"/>
      </w:pPr>
      <w:r>
        <w:br/>
      </w:r>
      <w:r>
        <w:rPr>
          <w:rStyle w:val="VerbatimChar"/>
        </w:rPr>
        <w:t xml:space="preserve">Your layout specification does not identify any items.</w:t>
      </w:r>
      <w:r>
        <w:br/>
      </w:r>
      <w:r>
        <w:rPr>
          <w:rStyle w:val="VerbatimChar"/>
        </w:rPr>
        <w:t xml:space="preserve">(dimension colname not found)</w:t>
      </w:r>
      <w:r>
        <w:br/>
      </w:r>
      <w:r>
        <w:rPr>
          <w:rStyle w:val="VerbatimChar"/>
        </w:rPr>
        <w:t xml:space="preserve">(dimension cmdset not found)</w:t>
      </w:r>
      <w:r>
        <w:br/>
      </w:r>
      <w:r>
        <w:rPr>
          <w:rStyle w:val="VerbatimChar"/>
        </w:rPr>
        <w:t xml:space="preserve">(dimension result not found)</w:t>
      </w:r>
      <w:r>
        <w:br/>
      </w:r>
      <w:r>
        <w:br/>
      </w:r>
      <w:r>
        <w:rPr>
          <w:rStyle w:val="VerbatimChar"/>
        </w:rPr>
        <w:t xml:space="preserve">Collection: default</w:t>
      </w:r>
      <w:r>
        <w:br/>
      </w:r>
      <w:r>
        <w:rPr>
          <w:rStyle w:val="VerbatimChar"/>
        </w:rPr>
        <w:t xml:space="preserve">      Rows: colname</w:t>
      </w:r>
      <w:r>
        <w:br/>
      </w:r>
      <w:r>
        <w:rPr>
          <w:rStyle w:val="VerbatimChar"/>
        </w:rPr>
        <w:t xml:space="preserve">   Columns: cmdset#result</w:t>
      </w:r>
      <w:r>
        <w:br/>
      </w:r>
      <w:r>
        <w:br/>
      </w:r>
      <w:r>
        <w:rPr>
          <w:rStyle w:val="VerbatimChar"/>
        </w:rPr>
        <w:t xml:space="preserve">Your layout specification does not identify any items.</w:t>
      </w:r>
      <w:r>
        <w:br/>
      </w:r>
      <w:r>
        <w:br/>
      </w:r>
      <w:r>
        <w:rPr>
          <w:rStyle w:val="VerbatimChar"/>
        </w:rPr>
        <w:t xml:space="preserve">------------------------------------------</w:t>
      </w:r>
      <w:r>
        <w:br/>
      </w:r>
      <w:r>
        <w:rPr>
          <w:rStyle w:val="VerbatimChar"/>
        </w:rPr>
        <w:t xml:space="preserve">          |           1          1       1</w:t>
      </w:r>
      <w:r>
        <w:br/>
      </w:r>
      <w:r>
        <w:rPr>
          <w:rStyle w:val="VerbatimChar"/>
        </w:rPr>
        <w:t xml:space="preserve">          | Coefficient Std. error p-value</w:t>
      </w:r>
      <w:r>
        <w:br/>
      </w:r>
      <w:r>
        <w:rPr>
          <w:rStyle w:val="VerbatimChar"/>
        </w:rPr>
        <w:t xml:space="preserve">----------+-------------------------------</w:t>
      </w:r>
      <w:r>
        <w:br/>
      </w:r>
      <w:r>
        <w:rPr>
          <w:rStyle w:val="VerbatimChar"/>
        </w:rPr>
        <w:t xml:space="preserve">20–29     |           0          0        </w:t>
      </w:r>
      <w:r>
        <w:br/>
      </w:r>
      <w:r>
        <w:rPr>
          <w:rStyle w:val="VerbatimChar"/>
        </w:rPr>
        <w:t xml:space="preserve">30–39     |    2.917042   .6613269   0.000</w:t>
      </w:r>
      <w:r>
        <w:br/>
      </w:r>
      <w:r>
        <w:rPr>
          <w:rStyle w:val="VerbatimChar"/>
        </w:rPr>
        <w:t xml:space="preserve">40–49     |    9.584328   .7129385   0.000</w:t>
      </w:r>
      <w:r>
        <w:br/>
      </w:r>
      <w:r>
        <w:rPr>
          <w:rStyle w:val="VerbatimChar"/>
        </w:rPr>
        <w:t xml:space="preserve">50–59     |    18.38351   .7100856   0.000</w:t>
      </w:r>
      <w:r>
        <w:br/>
      </w:r>
      <w:r>
        <w:rPr>
          <w:rStyle w:val="VerbatimChar"/>
        </w:rPr>
        <w:t xml:space="preserve">60–69     |     24.1932   .5711481   0.000</w:t>
      </w:r>
      <w:r>
        <w:br/>
      </w:r>
      <w:r>
        <w:rPr>
          <w:rStyle w:val="VerbatimChar"/>
        </w:rPr>
        <w:t xml:space="preserve">70+       |    30.95843   .7768639   0.000</w:t>
      </w:r>
      <w:r>
        <w:br/>
      </w:r>
      <w:r>
        <w:rPr>
          <w:rStyle w:val="VerbatimChar"/>
        </w:rPr>
        <w:t xml:space="preserve">NE        |           0          0        </w:t>
      </w:r>
      <w:r>
        <w:br/>
      </w:r>
      <w:r>
        <w:rPr>
          <w:rStyle w:val="VerbatimChar"/>
        </w:rPr>
        <w:t xml:space="preserve">MW        |    .0329983   .5917749   0.956</w:t>
      </w:r>
      <w:r>
        <w:br/>
      </w:r>
      <w:r>
        <w:rPr>
          <w:rStyle w:val="VerbatimChar"/>
        </w:rPr>
        <w:t xml:space="preserve">S         |   -.2269237   .5877579   0.699</w:t>
      </w:r>
      <w:r>
        <w:br/>
      </w:r>
      <w:r>
        <w:rPr>
          <w:rStyle w:val="VerbatimChar"/>
        </w:rPr>
        <w:t xml:space="preserve">W         |   -.7447052   .5985115   0.213</w:t>
      </w:r>
      <w:r>
        <w:br/>
      </w:r>
      <w:r>
        <w:rPr>
          <w:rStyle w:val="VerbatimChar"/>
        </w:rPr>
        <w:t xml:space="preserve">Male      |           0          0        </w:t>
      </w:r>
      <w:r>
        <w:br/>
      </w:r>
      <w:r>
        <w:rPr>
          <w:rStyle w:val="VerbatimChar"/>
        </w:rPr>
        <w:t xml:space="preserve">Female    |    -4.01548   .4021621   0.000</w:t>
      </w:r>
      <w:r>
        <w:br/>
      </w:r>
      <w:r>
        <w:rPr>
          <w:rStyle w:val="VerbatimChar"/>
        </w:rPr>
        <w:t xml:space="preserve">Intercept |    119.6719   .6205858   0.000</w:t>
      </w:r>
      <w:r>
        <w:br/>
      </w:r>
      <w:r>
        <w:rPr>
          <w:rStyle w:val="VerbatimChar"/>
        </w:rPr>
        <w:t xml:space="preserve">------------------------------------------</w:t>
      </w:r>
    </w:p>
    <w:p>
      <w:pPr>
        <w:pStyle w:val="FirstParagraph"/>
      </w:pPr>
      <w:r>
        <w:t xml:space="preserve">Au lieu de sélectionner des items comme _r_b _r_se _r_se, on peut directement tous ceux qui sont disponibles avec</w:t>
      </w:r>
      <w:r>
        <w:t xml:space="preserve"> </w:t>
      </w:r>
      <w:r>
        <w:rPr>
          <w:rStyle w:val="VerbatimChar"/>
          <w:bCs/>
          <w:b/>
        </w:rPr>
        <w:t xml:space="preserve">collect get</w:t>
      </w:r>
      <w:r>
        <w:t xml:space="preserve">. Pas forcément conseillé avec les exemples car chaque regression enregistre 10 information (bornes des IC, degré de liberté, statistique t pour l’Ols, sa valeur absolue…)</w:t>
      </w:r>
    </w:p>
    <w:p>
      <w:pPr>
        <w:pStyle w:val="BodyText"/>
      </w:pPr>
      <w:r>
        <w:t xml:space="preserve">Pour info la ligne avec collect get est:</w:t>
      </w:r>
      <w:r>
        <w:t xml:space="preserve"> </w:t>
      </w:r>
      <w:r>
        <w:rPr>
          <w:rStyle w:val="VerbatimChar"/>
          <w:bCs/>
          <w:b/>
        </w:rPr>
        <w:t xml:space="preserve">collect get: regress bpsystol i.agegrp i.region i.sex</w:t>
      </w:r>
    </w:p>
    <w:bookmarkEnd w:id="50"/>
    <w:bookmarkStart w:id="54" w:name="le-builder"/>
    <w:p>
      <w:pPr>
        <w:pStyle w:val="Heading1"/>
      </w:pPr>
      <w:r>
        <w:t xml:space="preserve">4. </w:t>
      </w:r>
      <w:r>
        <w:rPr>
          <w:bCs/>
          <w:b/>
        </w:rPr>
        <w:t xml:space="preserve">Le builder</w:t>
      </w:r>
    </w:p>
    <w:p>
      <w:pPr>
        <w:pStyle w:val="FirstParagraph"/>
      </w:pPr>
      <w:r>
        <w:t xml:space="preserve">Stata a installé un builder intéractif pour mettre en forme. Je ne suis pas du tout à l’aise avec ce genre d’outil, pour ne pas dire complètement nul.</w:t>
      </w:r>
    </w:p>
    <w:p>
      <w:pPr>
        <w:pStyle w:val="BodyText"/>
      </w:pPr>
      <w:r>
        <w:rPr>
          <w:rStyle w:val="VerbatimChar"/>
          <w:bCs/>
          <w:b/>
        </w:rPr>
        <w:t xml:space="preserve">help Tables_Builder</w:t>
      </w:r>
    </w:p>
    <w:p>
      <w:pPr>
        <w:pStyle w:val="BodyText"/>
      </w:pPr>
      <w:r>
        <w:rPr>
          <w:bCs/>
          <w:b/>
        </w:rPr>
        <w:t xml:space="preserve">Tutoriels youtube (Chuck Huber):</w:t>
      </w:r>
    </w:p>
    <w:p>
      <w:pPr>
        <w:numPr>
          <w:ilvl w:val="0"/>
          <w:numId w:val="1005"/>
        </w:numPr>
        <w:pStyle w:val="Compact"/>
      </w:pPr>
      <w:r>
        <w:t xml:space="preserve">Régression</w:t>
      </w:r>
      <w:r>
        <w:t xml:space="preserve"> </w:t>
      </w:r>
      <w:hyperlink r:id="rId51">
        <w:r>
          <w:rPr>
            <w:rStyle w:val="Hyperlink"/>
          </w:rPr>
          <w:t xml:space="preserve">https://www.youtube.com/watch?v=TFFdTIHHtUg</w:t>
        </w:r>
      </w:hyperlink>
    </w:p>
    <w:p>
      <w:pPr>
        <w:numPr>
          <w:ilvl w:val="0"/>
          <w:numId w:val="1005"/>
        </w:numPr>
        <w:pStyle w:val="Compact"/>
      </w:pPr>
      <w:r>
        <w:t xml:space="preserve">A partir de la commande</w:t>
      </w:r>
      <w:r>
        <w:t xml:space="preserve"> </w:t>
      </w:r>
      <w:r>
        <w:rPr>
          <w:rStyle w:val="VerbatimChar"/>
          <w:bCs/>
          <w:b/>
        </w:rPr>
        <w:t xml:space="preserve">table</w:t>
      </w:r>
      <w:r>
        <w:t xml:space="preserve"> </w:t>
      </w:r>
      <w:r>
        <w:t xml:space="preserve">(attention la syntaxe à été modifiée depuis la version 17…Merci Cris)</w:t>
      </w:r>
    </w:p>
    <w:p>
      <w:pPr>
        <w:numPr>
          <w:ilvl w:val="1"/>
          <w:numId w:val="1006"/>
        </w:numPr>
        <w:pStyle w:val="Compact"/>
      </w:pPr>
      <w:hyperlink r:id="rId52">
        <w:r>
          <w:rPr>
            <w:rStyle w:val="Hyperlink"/>
          </w:rPr>
          <w:t xml:space="preserve">https://www.youtube.com/watch?v=OPyA8w26IGc</w:t>
        </w:r>
      </w:hyperlink>
    </w:p>
    <w:p>
      <w:pPr>
        <w:numPr>
          <w:ilvl w:val="1"/>
          <w:numId w:val="1006"/>
        </w:numPr>
        <w:pStyle w:val="Compact"/>
      </w:pPr>
      <w:hyperlink r:id="rId53">
        <w:r>
          <w:rPr>
            <w:rStyle w:val="Hyperlink"/>
          </w:rPr>
          <w:t xml:space="preserve">https://www.youtube.com/watch?v=u_Efw1oWxWk</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hyperlink" Id="rId52" Target="https://www.youtube.com/watch?v=OPyA8w26IGc" TargetMode="External" /><Relationship Type="http://schemas.openxmlformats.org/officeDocument/2006/relationships/hyperlink" Id="rId51" Target="https://www.youtube.com/watch?v=TFFdTIHHtUg" TargetMode="External" /><Relationship Type="http://schemas.openxmlformats.org/officeDocument/2006/relationships/hyperlink" Id="rId53" Target="https://www.youtube.com/watch?v=u_Efw1oWxWk" TargetMode="External" /></Relationships>
</file>

<file path=word/_rels/footnotes.xml.rels><?xml version="1.0" encoding="UTF-8"?><Relationships xmlns="http://schemas.openxmlformats.org/package/2006/relationships"><Relationship Type="http://schemas.openxmlformats.org/officeDocument/2006/relationships/hyperlink" Id="rId52" Target="https://www.youtube.com/watch?v=OPyA8w26IGc" TargetMode="External" /><Relationship Type="http://schemas.openxmlformats.org/officeDocument/2006/relationships/hyperlink" Id="rId51" Target="https://www.youtube.com/watch?v=TFFdTIHHtUg" TargetMode="External" /><Relationship Type="http://schemas.openxmlformats.org/officeDocument/2006/relationships/hyperlink" Id="rId53" Target="https://www.youtube.com/watch?v=u_Efw1oWx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Editer des outputs avec collect</dc:title>
  <dc:creator>Marc Thévenin</dc:creator>
  <dc:language>fr</dc:language>
  <cp:keywords/>
  <dcterms:created xsi:type="dcterms:W3CDTF">2024-03-19T10:26:56Z</dcterms:created>
  <dcterms:modified xsi:type="dcterms:W3CDTF">2024-03-19T10:26:56Z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suite collect introduite avec le version 17 va t-elle remplacer outreg2 et autres commandes de mise en forme et d’exportation de tableaux? Pas encore un tutoriel, dès éléments sont encore obscurs, mais avec quelques copier-coller issus des fichiers d’aide, on présentera deux exemples avec des régressions.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2022-09-26</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nbstata</vt:lpwstr>
  </property>
  <property fmtid="{D5CDD505-2E9C-101B-9397-08002B2CF9AE}" pid="16" name="labels">
    <vt:lpwstr/>
  </property>
  <property fmtid="{D5CDD505-2E9C-101B-9397-08002B2CF9AE}" pid="17" name="lightbox">
    <vt:lpwstr>auto</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False</vt:lpwstr>
  </property>
  <property fmtid="{D5CDD505-2E9C-101B-9397-08002B2CF9AE}" pid="22" name="toc-title">
    <vt:lpwstr>Table des matières</vt:lpwstr>
  </property>
</Properties>
</file>