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Le</w:t>
      </w:r>
      <w:r>
        <w:rPr>
          <w:bCs/>
          <w:b/>
        </w:rPr>
        <w:t xml:space="preserve"> </w:t>
      </w:r>
      <w:r>
        <w:rPr>
          <w:bCs/>
          <w:b/>
        </w:rPr>
        <w:t xml:space="preserve">format</w:t>
      </w:r>
      <w:r>
        <w:rPr>
          <w:bCs/>
          <w:b/>
        </w:rPr>
        <w:t xml:space="preserve"> </w:t>
      </w:r>
      <w:r>
        <w:rPr>
          <w:bCs/>
          <w:b/>
        </w:rPr>
        <w:t xml:space="preserve">dtas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2023-07-03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La</w:t>
      </w:r>
      <w:r>
        <w:t xml:space="preserve"> </w:t>
      </w:r>
      <w:r>
        <w:t xml:space="preserve">version</w:t>
      </w:r>
      <w:r>
        <w:t xml:space="preserve"> </w:t>
      </w:r>
      <w:r>
        <w:t xml:space="preserve">18</w:t>
      </w:r>
      <w:r>
        <w:t xml:space="preserve"> </w:t>
      </w:r>
      <w:r>
        <w:t xml:space="preserve">de</w:t>
      </w:r>
      <w:r>
        <w:t xml:space="preserve"> </w:t>
      </w:r>
      <w:r>
        <w:t xml:space="preserve">Stata</w:t>
      </w:r>
      <w:r>
        <w:t xml:space="preserve"> </w:t>
      </w:r>
      <w:r>
        <w:t xml:space="preserve">a</w:t>
      </w:r>
      <w:r>
        <w:t xml:space="preserve"> </w:t>
      </w:r>
      <w:r>
        <w:t xml:space="preserve">implémenté</w:t>
      </w:r>
      <w:r>
        <w:t xml:space="preserve"> </w:t>
      </w:r>
      <w:r>
        <w:t xml:space="preserve">un</w:t>
      </w:r>
      <w:r>
        <w:t xml:space="preserve"> </w:t>
      </w:r>
      <w:r>
        <w:t xml:space="preserve">nouveau</w:t>
      </w:r>
      <w:r>
        <w:t xml:space="preserve"> </w:t>
      </w:r>
      <w:r>
        <w:t xml:space="preserve">format,</w:t>
      </w:r>
      <w:r>
        <w:t xml:space="preserve"> </w:t>
      </w:r>
      <w:r>
        <w:t xml:space="preserve">associé</w:t>
      </w:r>
      <w:r>
        <w:t xml:space="preserve"> </w:t>
      </w:r>
      <w:r>
        <w:t xml:space="preserve">aux</w:t>
      </w:r>
      <w:r>
        <w:t xml:space="preserve"> </w:t>
      </w:r>
      <w:r>
        <w:t xml:space="preserve">frames,</w:t>
      </w:r>
      <w:r>
        <w:t xml:space="preserve"> </w:t>
      </w:r>
      <w:r>
        <w:t xml:space="preserve">le</w:t>
      </w:r>
      <w:r>
        <w:t xml:space="preserve"> </w:t>
      </w:r>
      <w:r>
        <w:t xml:space="preserve">format</w:t>
      </w:r>
      <w:r>
        <w:t xml:space="preserve"> </w:t>
      </w:r>
      <w:r>
        <w:rPr>
          <w:bCs/>
          <w:b/>
        </w:rPr>
        <w:t xml:space="preserve">.dtas</w:t>
      </w:r>
      <w:r>
        <w:t xml:space="preserve">.</w:t>
      </w:r>
      <w:r>
        <w:t xml:space="preserve"> </w:t>
      </w:r>
      <w:r>
        <w:t xml:space="preserve">Il</w:t>
      </w:r>
      <w:r>
        <w:t xml:space="preserve"> </w:t>
      </w:r>
      <w:r>
        <w:t xml:space="preserve">permet</w:t>
      </w:r>
      <w:r>
        <w:t xml:space="preserve"> </w:t>
      </w:r>
      <w:r>
        <w:t xml:space="preserve">d’enregistrer</w:t>
      </w:r>
      <w:r>
        <w:t xml:space="preserve"> </w:t>
      </w:r>
      <w:r>
        <w:t xml:space="preserve">toutes</w:t>
      </w:r>
      <w:r>
        <w:t xml:space="preserve"> </w:t>
      </w:r>
      <w:r>
        <w:t xml:space="preserve">les</w:t>
      </w:r>
      <w:r>
        <w:t xml:space="preserve"> </w:t>
      </w:r>
      <w:r>
        <w:t xml:space="preserve">frames</w:t>
      </w:r>
      <w:r>
        <w:t xml:space="preserve"> </w:t>
      </w:r>
      <w:r>
        <w:t xml:space="preserve">actives,</w:t>
      </w:r>
      <w:r>
        <w:t xml:space="preserve"> </w:t>
      </w:r>
      <w:r>
        <w:t xml:space="preserve">qu’elles</w:t>
      </w:r>
      <w:r>
        <w:t xml:space="preserve"> </w:t>
      </w:r>
      <w:r>
        <w:t xml:space="preserve">soit</w:t>
      </w:r>
      <w:r>
        <w:t xml:space="preserve"> </w:t>
      </w:r>
      <w:r>
        <w:t xml:space="preserve">liées</w:t>
      </w:r>
      <w:r>
        <w:t xml:space="preserve"> </w:t>
      </w:r>
      <w:r>
        <w:t xml:space="preserve">ou</w:t>
      </w:r>
      <w:r>
        <w:t xml:space="preserve"> </w:t>
      </w:r>
      <w:r>
        <w:t xml:space="preserve">non.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Par l’exemple.</w:t>
      </w:r>
    </w:p>
    <w:p>
      <w:pPr>
        <w:numPr>
          <w:ilvl w:val="0"/>
          <w:numId w:val="1001"/>
        </w:numPr>
        <w:pStyle w:val="Compact"/>
      </w:pPr>
      <w:r>
        <w:t xml:space="preserve">On charge la base</w:t>
      </w:r>
      <w:r>
        <w:t xml:space="preserve"> </w:t>
      </w:r>
      <w:r>
        <w:rPr>
          <w:iCs/>
          <w:i/>
        </w:rPr>
        <w:t xml:space="preserve">auto</w:t>
      </w:r>
      <w:r>
        <w:t xml:space="preserve"> </w:t>
      </w:r>
      <w:r>
        <w:t xml:space="preserve">(nom de la frame =</w:t>
      </w:r>
      <w:r>
        <w:t xml:space="preserve"> </w:t>
      </w:r>
      <w:r>
        <w:rPr>
          <w:iCs/>
          <w:i/>
        </w:rPr>
        <w:t xml:space="preserve">default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On renomme la frame en</w:t>
      </w:r>
      <w:r>
        <w:t xml:space="preserve"> </w:t>
      </w:r>
      <w:r>
        <w:rPr>
          <w:iCs/>
          <w:i/>
        </w:rPr>
        <w:t xml:space="preserve">auto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On génère la frame</w:t>
      </w:r>
      <w:r>
        <w:t xml:space="preserve"> </w:t>
      </w:r>
      <w:r>
        <w:rPr>
          <w:iCs/>
          <w:i/>
        </w:rPr>
        <w:t xml:space="preserve">prix</w:t>
      </w:r>
      <w:r>
        <w:t xml:space="preserve"> </w:t>
      </w:r>
      <w:r>
        <w:t xml:space="preserve">qui comprend la variable</w:t>
      </w:r>
      <w:r>
        <w:t xml:space="preserve"> </w:t>
      </w:r>
      <w:r>
        <w:rPr>
          <w:iCs/>
          <w:i/>
        </w:rPr>
        <w:t xml:space="preserve">price</w:t>
      </w:r>
      <w:r>
        <w:t xml:space="preserve"> </w:t>
      </w:r>
      <w:r>
        <w:t xml:space="preserve">de la frame</w:t>
      </w:r>
      <w:r>
        <w:t xml:space="preserve"> </w:t>
      </w:r>
      <w:r>
        <w:rPr>
          <w:iCs/>
          <w:i/>
        </w:rPr>
        <w:t xml:space="preserve">auto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sysuse</w:t>
      </w:r>
      <w:r>
        <w:rPr>
          <w:rStyle w:val="NormalTok"/>
        </w:rPr>
        <w:t xml:space="preserve"> auto </w:t>
      </w:r>
      <w:r>
        <w:br/>
      </w:r>
      <w:r>
        <w:rPr>
          <w:rStyle w:val="NormalTok"/>
        </w:rPr>
        <w:t xml:space="preserve">frame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auto</w:t>
      </w:r>
      <w:r>
        <w:br/>
      </w:r>
      <w:r>
        <w:rPr>
          <w:rStyle w:val="NormalTok"/>
        </w:rPr>
        <w:t xml:space="preserve">frame put price foreign, into(prix)</w:t>
      </w:r>
      <w:r>
        <w:br/>
      </w:r>
      <w:r>
        <w:br/>
      </w:r>
      <w:r>
        <w:rPr>
          <w:rStyle w:val="NormalTok"/>
        </w:rPr>
        <w:t xml:space="preserve">frame </w:t>
      </w:r>
      <w:r>
        <w:rPr>
          <w:rStyle w:val="OtherTok"/>
        </w:rPr>
        <w:t xml:space="preserve">dir</w:t>
      </w:r>
    </w:p>
    <w:p>
      <w:pPr>
        <w:pStyle w:val="SourceCode"/>
      </w:pPr>
      <w:r>
        <w:rPr>
          <w:rStyle w:val="VerbatimChar"/>
        </w:rPr>
        <w:t xml:space="preserve">&lt;IPython.core.display.HTML object&gt;</w:t>
      </w:r>
    </w:p>
    <w:p>
      <w:pPr>
        <w:pStyle w:val="SourceCode"/>
      </w:pPr>
      <w:r>
        <w:rPr>
          <w:rStyle w:val="VerbatimChar"/>
        </w:rPr>
        <w:t xml:space="preserve">(1978 automobile data)</w:t>
      </w:r>
      <w:r>
        <w:br/>
      </w:r>
      <w:r>
        <w:rPr>
          <w:rStyle w:val="VerbatimChar"/>
        </w:rPr>
        <w:t xml:space="preserve">  auto  74 x 12; 1978 automobile data</w:t>
      </w:r>
      <w:r>
        <w:br/>
      </w:r>
      <w:r>
        <w:rPr>
          <w:rStyle w:val="VerbatimChar"/>
        </w:rPr>
        <w:t xml:space="preserve">* prix  74 x 2; 1978 automobile data</w:t>
      </w:r>
      <w:r>
        <w:br/>
      </w:r>
      <w:r>
        <w:br/>
      </w:r>
      <w:r>
        <w:rPr>
          <w:rStyle w:val="VerbatimChar"/>
        </w:rPr>
        <w:t xml:space="preserve">Note: Frames marked with * contain unsaved data.</w:t>
      </w:r>
    </w:p>
    <w:p>
      <w:pPr>
        <w:numPr>
          <w:ilvl w:val="0"/>
          <w:numId w:val="1002"/>
        </w:numPr>
        <w:pStyle w:val="Compact"/>
      </w:pPr>
      <w:r>
        <w:t xml:space="preserve">La frame</w:t>
      </w:r>
      <w:r>
        <w:t xml:space="preserve"> </w:t>
      </w:r>
      <w:r>
        <w:rPr>
          <w:iCs/>
          <w:i/>
        </w:rPr>
        <w:t xml:space="preserve">prix</w:t>
      </w:r>
      <w:r>
        <w:t xml:space="preserve"> </w:t>
      </w:r>
      <w:r>
        <w:t xml:space="preserve">est transformé en une frame indicateurs avec la commande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frame prix {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price,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(foreign)</w:t>
      </w:r>
      <w:r>
        <w:br/>
      </w:r>
      <w:r>
        <w:rPr>
          <w:rStyle w:val="OtherTok"/>
        </w:rPr>
        <w:t xml:space="preserve">list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     +--------------------+</w:t>
      </w:r>
      <w:r>
        <w:br/>
      </w:r>
      <w:r>
        <w:rPr>
          <w:rStyle w:val="VerbatimChar"/>
        </w:rPr>
        <w:t xml:space="preserve">     |  foreign     price |</w:t>
      </w:r>
      <w:r>
        <w:br/>
      </w:r>
      <w:r>
        <w:rPr>
          <w:rStyle w:val="VerbatimChar"/>
        </w:rPr>
        <w:t xml:space="preserve">     |--------------------|</w:t>
      </w:r>
      <w:r>
        <w:br/>
      </w:r>
      <w:r>
        <w:rPr>
          <w:rStyle w:val="VerbatimChar"/>
        </w:rPr>
        <w:t xml:space="preserve">  1. | Domestic   6,072.4 |</w:t>
      </w:r>
      <w:r>
        <w:br/>
      </w:r>
      <w:r>
        <w:rPr>
          <w:rStyle w:val="VerbatimChar"/>
        </w:rPr>
        <w:t xml:space="preserve">  2. |  Foreign   6,384.7 |</w:t>
      </w:r>
      <w:r>
        <w:br/>
      </w:r>
      <w:r>
        <w:rPr>
          <w:rStyle w:val="VerbatimChar"/>
        </w:rPr>
        <w:t xml:space="preserve">     +--------------------+</w:t>
      </w:r>
    </w:p>
    <w:p>
      <w:pPr>
        <w:numPr>
          <w:ilvl w:val="0"/>
          <w:numId w:val="1003"/>
        </w:numPr>
        <w:pStyle w:val="Compact"/>
      </w:pPr>
      <w:r>
        <w:t xml:space="preserve">On enregistre les deux frames avec la commande</w:t>
      </w:r>
      <w:r>
        <w:t xml:space="preserve"> </w:t>
      </w:r>
      <w:r>
        <w:rPr>
          <w:rStyle w:val="VerbatimChar"/>
        </w:rPr>
        <w:t xml:space="preserve">frames save</w:t>
      </w:r>
      <w:r>
        <w:t xml:space="preserve"> </w:t>
      </w:r>
      <w:r>
        <w:t xml:space="preserve">au format</w:t>
      </w:r>
      <w:r>
        <w:t xml:space="preserve"> </w:t>
      </w:r>
      <w:r>
        <w:rPr>
          <w:bCs/>
          <w:b/>
        </w:rPr>
        <w:t xml:space="preserve">dtas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Cette collection de frames est appelée</w:t>
      </w:r>
      <w:r>
        <w:t xml:space="preserve"> </w:t>
      </w:r>
      <w:r>
        <w:rPr>
          <w:iCs/>
          <w:i/>
        </w:rPr>
        <w:t xml:space="preserve">auto_prix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frames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"auto_prix.dtas"</w:t>
      </w:r>
      <w:r>
        <w:rPr>
          <w:rStyle w:val="NormalTok"/>
        </w:rPr>
        <w:t xml:space="preserve">, frames(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replace</w:t>
      </w:r>
    </w:p>
    <w:p>
      <w:pPr>
        <w:pStyle w:val="SourceCode"/>
      </w:pPr>
      <w:r>
        <w:rPr>
          <w:rStyle w:val="VerbatimChar"/>
        </w:rPr>
        <w:t xml:space="preserve">file auto_prix.dtas saved</w:t>
      </w:r>
    </w:p>
    <w:p>
      <w:pPr>
        <w:numPr>
          <w:ilvl w:val="0"/>
          <w:numId w:val="1004"/>
        </w:numPr>
        <w:pStyle w:val="Compact"/>
      </w:pPr>
      <w:r>
        <w:t xml:space="preserve">On ferme les frames</w:t>
      </w:r>
    </w:p>
    <w:p>
      <w:pPr>
        <w:numPr>
          <w:ilvl w:val="0"/>
          <w:numId w:val="1004"/>
        </w:numPr>
        <w:pStyle w:val="Compact"/>
      </w:pPr>
      <w:r>
        <w:t xml:space="preserve">On ouvre la collection</w:t>
      </w:r>
      <w:r>
        <w:t xml:space="preserve"> </w:t>
      </w:r>
      <w:r>
        <w:rPr>
          <w:iCs/>
          <w:i/>
        </w:rPr>
        <w:t xml:space="preserve">auto_prix.dtas</w:t>
      </w:r>
    </w:p>
    <w:p>
      <w:pPr>
        <w:pStyle w:val="SourceCode"/>
      </w:pPr>
      <w:r>
        <w:rPr>
          <w:rStyle w:val="NormalTok"/>
        </w:rPr>
        <w:t xml:space="preserve">frame </w:t>
      </w:r>
      <w:r>
        <w:rPr>
          <w:rStyle w:val="KeywordTok"/>
        </w:rPr>
        <w:t xml:space="preserve">reset</w:t>
      </w:r>
      <w:r>
        <w:br/>
      </w:r>
      <w:r>
        <w:br/>
      </w:r>
      <w:r>
        <w:rPr>
          <w:rStyle w:val="NormalTok"/>
        </w:rPr>
        <w:t xml:space="preserve">frames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"auto_prix.dtas"</w:t>
      </w:r>
      <w:r>
        <w:rPr>
          <w:rStyle w:val="NormalTok"/>
        </w:rPr>
        <w:t xml:space="preserve">, frames(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frame </w:t>
      </w:r>
      <w:r>
        <w:rPr>
          <w:rStyle w:val="OtherTok"/>
        </w:rPr>
        <w:t xml:space="preserve">dir</w:t>
      </w:r>
      <w:r>
        <w:br/>
      </w:r>
      <w:r>
        <w:rPr>
          <w:rStyle w:val="NormalTok"/>
        </w:rPr>
        <w:t xml:space="preserve">frame change prix</w:t>
      </w:r>
      <w:r>
        <w:br/>
      </w:r>
      <w:r>
        <w:rPr>
          <w:rStyle w:val="OtherTok"/>
        </w:rPr>
        <w:t xml:space="preserve">list</w:t>
      </w:r>
    </w:p>
    <w:p>
      <w:pPr>
        <w:pStyle w:val="SourceCode"/>
      </w:pPr>
      <w:r>
        <w:rPr>
          <w:rStyle w:val="VerbatimChar"/>
        </w:rPr>
        <w:t xml:space="preserve">  auto  74 x 12; 1978 automobile data</w:t>
      </w:r>
      <w:r>
        <w:br/>
      </w:r>
      <w:r>
        <w:rPr>
          <w:rStyle w:val="VerbatimChar"/>
        </w:rPr>
        <w:t xml:space="preserve">  prix  2 x 2; 1978 automobile data</w:t>
      </w:r>
      <w:r>
        <w:br/>
      </w:r>
      <w:r>
        <w:rPr>
          <w:rStyle w:val="VerbatimChar"/>
        </w:rPr>
        <w:t xml:space="preserve">  auto     74 x 12; 1978 automobile data</w:t>
      </w:r>
      <w:r>
        <w:br/>
      </w:r>
      <w:r>
        <w:rPr>
          <w:rStyle w:val="VerbatimChar"/>
        </w:rPr>
        <w:t xml:space="preserve">  default  0 x 0</w:t>
      </w:r>
      <w:r>
        <w:br/>
      </w:r>
      <w:r>
        <w:rPr>
          <w:rStyle w:val="VerbatimChar"/>
        </w:rPr>
        <w:t xml:space="preserve">  prix     2 x 2; 1978 automobile data</w:t>
      </w:r>
      <w:r>
        <w:br/>
      </w:r>
      <w:r>
        <w:br/>
      </w:r>
      <w:r>
        <w:rPr>
          <w:rStyle w:val="VerbatimChar"/>
        </w:rPr>
        <w:t xml:space="preserve">     +--------------------+</w:t>
      </w:r>
      <w:r>
        <w:br/>
      </w:r>
      <w:r>
        <w:rPr>
          <w:rStyle w:val="VerbatimChar"/>
        </w:rPr>
        <w:t xml:space="preserve">     |  foreign     price |</w:t>
      </w:r>
      <w:r>
        <w:br/>
      </w:r>
      <w:r>
        <w:rPr>
          <w:rStyle w:val="VerbatimChar"/>
        </w:rPr>
        <w:t xml:space="preserve">     |--------------------|</w:t>
      </w:r>
      <w:r>
        <w:br/>
      </w:r>
      <w:r>
        <w:rPr>
          <w:rStyle w:val="VerbatimChar"/>
        </w:rPr>
        <w:t xml:space="preserve">  1. | Domestic   6,072.4 |</w:t>
      </w:r>
      <w:r>
        <w:br/>
      </w:r>
      <w:r>
        <w:rPr>
          <w:rStyle w:val="VerbatimChar"/>
        </w:rPr>
        <w:t xml:space="preserve">  2. |  Foreign   6,384.7 |</w:t>
      </w:r>
      <w:r>
        <w:br/>
      </w:r>
      <w:r>
        <w:rPr>
          <w:rStyle w:val="VerbatimChar"/>
        </w:rPr>
        <w:t xml:space="preserve">     +--------------------+</w:t>
      </w:r>
    </w:p>
    <w:p>
      <w:pPr>
        <w:numPr>
          <w:ilvl w:val="0"/>
          <w:numId w:val="1005"/>
        </w:numPr>
        <w:pStyle w:val="Compact"/>
      </w:pPr>
      <w:r>
        <w:t xml:space="preserve">On ferme la collection.</w:t>
      </w:r>
    </w:p>
    <w:p>
      <w:pPr>
        <w:numPr>
          <w:ilvl w:val="0"/>
          <w:numId w:val="1005"/>
        </w:numPr>
        <w:pStyle w:val="Compact"/>
      </w:pPr>
      <w:r>
        <w:t xml:space="preserve">On ouvre seulement la frame</w:t>
      </w:r>
      <w:r>
        <w:t xml:space="preserve"> </w:t>
      </w:r>
      <w:r>
        <w:rPr>
          <w:iCs/>
          <w:i/>
        </w:rPr>
        <w:t xml:space="preserve">prix</w:t>
      </w:r>
      <w:r>
        <w:t xml:space="preserve"> </w:t>
      </w:r>
      <w:r>
        <w:t xml:space="preserve">de la collection</w:t>
      </w:r>
      <w:r>
        <w:t xml:space="preserve"> </w:t>
      </w:r>
      <w:r>
        <w:rPr>
          <w:iCs/>
          <w:i/>
        </w:rPr>
        <w:t xml:space="preserve">auto_prix.dtas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frame </w:t>
      </w:r>
      <w:r>
        <w:rPr>
          <w:rStyle w:val="KeywordTok"/>
        </w:rPr>
        <w:t xml:space="preserve">reset</w:t>
      </w:r>
      <w:r>
        <w:br/>
      </w:r>
      <w:r>
        <w:br/>
      </w:r>
      <w:r>
        <w:rPr>
          <w:rStyle w:val="NormalTok"/>
        </w:rPr>
        <w:t xml:space="preserve">frames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"auto_prix.dtas"</w:t>
      </w:r>
      <w:r>
        <w:rPr>
          <w:rStyle w:val="NormalTok"/>
        </w:rPr>
        <w:t xml:space="preserve">, frames(prix)</w:t>
      </w:r>
      <w:r>
        <w:br/>
      </w:r>
      <w:r>
        <w:rPr>
          <w:rStyle w:val="NormalTok"/>
        </w:rPr>
        <w:t xml:space="preserve">frame </w:t>
      </w:r>
      <w:r>
        <w:rPr>
          <w:rStyle w:val="OtherTok"/>
        </w:rPr>
        <w:t xml:space="preserve">dir</w:t>
      </w:r>
    </w:p>
    <w:p>
      <w:pPr>
        <w:pStyle w:val="SourceCode"/>
      </w:pPr>
      <w:r>
        <w:rPr>
          <w:rStyle w:val="VerbatimChar"/>
        </w:rPr>
        <w:t xml:space="preserve">  prix  2 x 2; 1978 automobile data</w:t>
      </w:r>
      <w:r>
        <w:br/>
      </w:r>
      <w:r>
        <w:rPr>
          <w:rStyle w:val="VerbatimChar"/>
        </w:rPr>
        <w:t xml:space="preserve">  default  0 x 0</w:t>
      </w:r>
      <w:r>
        <w:br/>
      </w:r>
      <w:r>
        <w:rPr>
          <w:rStyle w:val="VerbatimChar"/>
        </w:rPr>
        <w:t xml:space="preserve">  prix     2 x 2; 1978 automobile data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a626a4"/>
    </w:rPr>
  </w:style>
  <w:style w:type="character" w:customStyle="1" w:styleId="DataTypeTok">
    <w:name w:val="DataTypeTok"/>
    <w:basedOn w:val="VerbatimChar"/>
    <w:rPr>
      <w:color w:val="a626a4"/>
    </w:rPr>
  </w:style>
  <w:style w:type="character" w:customStyle="1" w:styleId="DecValTok">
    <w:name w:val="DecValTok"/>
    <w:basedOn w:val="VerbatimChar"/>
    <w:rPr>
      <w:color w:val="986801"/>
    </w:rPr>
  </w:style>
  <w:style w:type="character" w:customStyle="1" w:styleId="BaseNTok">
    <w:name w:val="BaseNTok"/>
    <w:basedOn w:val="VerbatimChar"/>
    <w:rPr>
      <w:color w:val="986801"/>
    </w:rPr>
  </w:style>
  <w:style w:type="character" w:customStyle="1" w:styleId="FloatTok">
    <w:name w:val="FloatTok"/>
    <w:basedOn w:val="VerbatimChar"/>
    <w:rPr>
      <w:color w:val="986801"/>
    </w:rPr>
  </w:style>
  <w:style w:type="character" w:customStyle="1" w:styleId="ConstantTok">
    <w:name w:val="ConstantTok"/>
    <w:basedOn w:val="VerbatimChar"/>
    <w:rPr>
      <w:color w:val="986801"/>
    </w:rPr>
  </w:style>
  <w:style w:type="character" w:customStyle="1" w:styleId="CharTok">
    <w:name w:val="CharTok"/>
    <w:basedOn w:val="VerbatimChar"/>
    <w:rPr>
      <w:color w:val="50a14f"/>
    </w:rPr>
  </w:style>
  <w:style w:type="character" w:customStyle="1" w:styleId="SpecialCharTok">
    <w:name w:val="SpecialCharTok"/>
    <w:basedOn w:val="VerbatimChar"/>
    <w:rPr>
      <w:color w:val="0184bc"/>
    </w:rPr>
  </w:style>
  <w:style w:type="character" w:customStyle="1" w:styleId="StringTok">
    <w:name w:val="StringTok"/>
    <w:basedOn w:val="VerbatimChar"/>
    <w:rPr>
      <w:color w:val="50a14f"/>
    </w:rPr>
  </w:style>
  <w:style w:type="character" w:customStyle="1" w:styleId="VerbatimStringTok">
    <w:name w:val="VerbatimStringTok"/>
    <w:basedOn w:val="VerbatimChar"/>
    <w:rPr>
      <w:color w:val="da4453"/>
    </w:rPr>
  </w:style>
  <w:style w:type="character" w:customStyle="1" w:styleId="SpecialStringTok">
    <w:name w:val="SpecialStringTok"/>
    <w:basedOn w:val="VerbatimChar"/>
    <w:rPr>
      <w:color w:val="da4453"/>
    </w:rPr>
  </w:style>
  <w:style w:type="character" w:customStyle="1" w:styleId="ImportTok">
    <w:name w:val="ImportTok"/>
    <w:basedOn w:val="VerbatimChar"/>
    <w:rPr>
      <w:color w:val="50a14f"/>
    </w:rPr>
  </w:style>
  <w:style w:type="character" w:customStyle="1" w:styleId="CommentTok">
    <w:name w:val="CommentTok"/>
    <w:basedOn w:val="VerbatimChar"/>
    <w:rPr>
      <w:color w:val="a0a1a7"/>
      <w:i/>
    </w:rPr>
  </w:style>
  <w:style w:type="character" w:customStyle="1" w:styleId="DocumentationTok">
    <w:name w:val="DocumentationTok"/>
    <w:basedOn w:val="VerbatimChar"/>
    <w:rPr>
      <w:color w:val="e45649"/>
    </w:rPr>
  </w:style>
  <w:style w:type="character" w:customStyle="1" w:styleId="AnnotationTok">
    <w:name w:val="AnnotationTok"/>
    <w:basedOn w:val="VerbatimChar"/>
    <w:rPr>
      <w:color w:val="50a14f"/>
    </w:rPr>
  </w:style>
  <w:style w:type="character" w:customStyle="1" w:styleId="CommentVarTok">
    <w:name w:val="CommentVarTok"/>
    <w:basedOn w:val="VerbatimChar"/>
    <w:rPr>
      <w:color w:val="e45649"/>
      <w:i/>
    </w:rPr>
  </w:style>
  <w:style w:type="character" w:customStyle="1" w:styleId="OtherTok">
    <w:name w:val="OtherTok"/>
    <w:basedOn w:val="VerbatimChar"/>
    <w:rPr>
      <w:color w:val="27ae60"/>
    </w:rPr>
  </w:style>
  <w:style w:type="character" w:customStyle="1" w:styleId="FunctionTok">
    <w:name w:val="FunctionTok"/>
    <w:basedOn w:val="VerbatimChar"/>
    <w:rPr>
      <w:color w:val="4078f2"/>
    </w:rPr>
  </w:style>
  <w:style w:type="character" w:customStyle="1" w:styleId="VariableTok">
    <w:name w:val="VariableTok"/>
    <w:basedOn w:val="VerbatimChar"/>
    <w:rPr>
      <w:color w:val="e45649"/>
    </w:rPr>
  </w:style>
  <w:style w:type="character" w:customStyle="1" w:styleId="ControlFlowTok">
    <w:name w:val="ControlFlowTok"/>
    <w:basedOn w:val="VerbatimChar"/>
    <w:rPr>
      <w:color w:val="a626a4"/>
    </w:rPr>
  </w:style>
  <w:style w:type="character" w:customStyle="1" w:styleId="OperatorTok">
    <w:name w:val="OperatorTok"/>
    <w:basedOn w:val="VerbatimChar"/>
    <w:rPr>
      <w:color w:val="a626a4"/>
    </w:rPr>
  </w:style>
  <w:style w:type="character" w:customStyle="1" w:styleId="BuiltInTok">
    <w:name w:val="BuiltInTok"/>
    <w:basedOn w:val="VerbatimChar"/>
    <w:rPr>
      <w:color w:val="a626a4"/>
    </w:rPr>
  </w:style>
  <w:style w:type="character" w:customStyle="1" w:styleId="ExtensionTok">
    <w:name w:val="ExtensionTok"/>
    <w:basedOn w:val="VerbatimChar"/>
    <w:rPr>
      <w:color w:val="4078f2"/>
      <w:b/>
    </w:rPr>
  </w:style>
  <w:style w:type="character" w:customStyle="1" w:styleId="PreprocessorTok">
    <w:name w:val="PreprocessorTok"/>
    <w:basedOn w:val="VerbatimChar"/>
    <w:rPr>
      <w:color w:val="a626a4"/>
    </w:rPr>
  </w:style>
  <w:style w:type="character" w:customStyle="1" w:styleId="AttributeTok">
    <w:name w:val="AttributeTok"/>
    <w:basedOn w:val="VerbatimChar"/>
    <w:rPr>
      <w:color w:val="a626a4"/>
    </w:rPr>
  </w:style>
  <w:style w:type="character" w:customStyle="1" w:styleId="RegionMarkerTok">
    <w:name w:val="RegionMarkerTok"/>
    <w:basedOn w:val="VerbatimChar"/>
    <w:rPr>
      <w:color w:val="2980b9"/>
      <w:shd w:val="clear" w:fill="153042"/>
    </w:rPr>
  </w:style>
  <w:style w:type="character" w:customStyle="1" w:styleId="InformationTok">
    <w:name w:val="InformationTok"/>
    <w:basedOn w:val="VerbatimChar"/>
    <w:rPr>
      <w:color w:val="c45b00"/>
    </w:rPr>
  </w:style>
  <w:style w:type="character" w:customStyle="1" w:styleId="WarningTok">
    <w:name w:val="WarningTok"/>
    <w:basedOn w:val="VerbatimChar"/>
    <w:rPr>
      <w:color w:val="da4453"/>
    </w:rPr>
  </w:style>
  <w:style w:type="character" w:customStyle="1" w:styleId="AlertTok">
    <w:name w:val="AlertTok"/>
    <w:basedOn w:val="VerbatimChar"/>
    <w:rPr>
      <w:color w:val="95da4c"/>
      <w:shd w:val="clear" w:fill="4d1f24"/>
      <w:b/>
    </w:rPr>
  </w:style>
  <w:style w:type="character" w:customStyle="1" w:styleId="ErrorTok">
    <w:name w:val="ErrorTok"/>
    <w:basedOn w:val="VerbatimChar"/>
    <w:rPr>
      <w:color w:val="f44747"/>
      <w:u/>
    </w:rPr>
  </w:style>
  <w:style w:type="character" w:customStyle="1" w:styleId="NormalTok">
    <w:name w:val="NormalTok"/>
    <w:basedOn w:val="VerbatimChar"/>
    <w:rPr>
      <w:color w:val="383a42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format dtas</dc:title>
  <dc:creator>Marc Thévenin</dc:creator>
  <dc:language>fr</dc:language>
  <cp:keywords/>
  <dcterms:created xsi:type="dcterms:W3CDTF">2024-05-14T08:29:10Z</dcterms:created>
  <dcterms:modified xsi:type="dcterms:W3CDTF">2024-05-14T08:29:10Z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La version 18 de Stata a implémenté un nouveau format, associé aux frames, le format .dtas. Il permet d’enregistrer toutes les frames actives, qu’elles soit liées ou non.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2023-07-03</vt:lpwstr>
  </property>
  <property fmtid="{D5CDD505-2E9C-101B-9397-08002B2CF9AE}" pid="12" name="header-includes">
    <vt:lpwstr/>
  </property>
  <property fmtid="{D5CDD505-2E9C-101B-9397-08002B2CF9AE}" pid="13" name="image">
    <vt:lpwstr>https://pbs.twimg.com/media/Fupd5EUXoAAYcYx?format=jpg&amp;name=4096x4096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nbstata</vt:lpwstr>
  </property>
  <property fmtid="{D5CDD505-2E9C-101B-9397-08002B2CF9AE}" pid="17" name="labels">
    <vt:lpwstr/>
  </property>
  <property fmtid="{D5CDD505-2E9C-101B-9397-08002B2CF9AE}" pid="18" name="lightbox">
    <vt:lpwstr>True</vt:lpwstr>
  </property>
  <property fmtid="{D5CDD505-2E9C-101B-9397-08002B2CF9AE}" pid="19" name="page-layout">
    <vt:lpwstr>article</vt:lpwstr>
  </property>
  <property fmtid="{D5CDD505-2E9C-101B-9397-08002B2CF9AE}" pid="20" name="page-navigation">
    <vt:lpwstr>True</vt:lpwstr>
  </property>
  <property fmtid="{D5CDD505-2E9C-101B-9397-08002B2CF9AE}" pid="21" name="sidebar">
    <vt:lpwstr>False</vt:lpwstr>
  </property>
  <property fmtid="{D5CDD505-2E9C-101B-9397-08002B2CF9AE}" pid="22" name="title-block-banner">
    <vt:lpwstr>False</vt:lpwstr>
  </property>
  <property fmtid="{D5CDD505-2E9C-101B-9397-08002B2CF9AE}" pid="23" name="toc-title">
    <vt:lpwstr>Table des matières</vt:lpwstr>
  </property>
</Properties>
</file>