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Visualisation</w:t>
      </w:r>
      <w:r>
        <w:rPr>
          <w:bCs/>
          <w:b/>
        </w:rPr>
        <w:t xml:space="preserve"> </w:t>
      </w:r>
      <w:r>
        <w:rPr>
          <w:bCs/>
          <w:b/>
        </w:rPr>
        <w:t xml:space="preserve">des</w:t>
      </w:r>
      <w:r>
        <w:rPr>
          <w:bCs/>
          <w:b/>
        </w:rPr>
        <w:t xml:space="preserve"> </w:t>
      </w:r>
      <w:r>
        <w:rPr>
          <w:bCs/>
          <w:b/>
        </w:rPr>
        <w:t xml:space="preserve">densités</w:t>
      </w:r>
      <w:r>
        <w:rPr>
          <w:bCs/>
          <w:b/>
        </w:rPr>
        <w:t xml:space="preserve"> </w:t>
      </w:r>
      <w:r>
        <w:rPr>
          <w:bCs/>
          <w:b/>
        </w:rPr>
        <w:t xml:space="preserve">avec</w:t>
      </w:r>
      <w:r>
        <w:rPr>
          <w:bCs/>
          <w:b/>
        </w:rPr>
        <w:t xml:space="preserve"> </w:t>
      </w:r>
      <w:r>
        <w:rPr>
          <w:bCs/>
          <w:b/>
        </w:rPr>
        <w:t xml:space="preserve">gridge</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Depuis</w:t>
      </w:r>
      <w:r>
        <w:t xml:space="preserve"> </w:t>
      </w:r>
      <w:r>
        <w:t xml:space="preserve">2020,</w:t>
      </w:r>
      <w:r>
        <w:t xml:space="preserve"> </w:t>
      </w:r>
      <w:r>
        <w:t xml:space="preserve">des</w:t>
      </w:r>
      <w:r>
        <w:t xml:space="preserve"> </w:t>
      </w:r>
      <w:r>
        <w:t xml:space="preserve">programmes</w:t>
      </w:r>
      <w:r>
        <w:t xml:space="preserve"> </w:t>
      </w:r>
      <w:r>
        <w:t xml:space="preserve">permettent</w:t>
      </w:r>
      <w:r>
        <w:t xml:space="preserve"> </w:t>
      </w:r>
      <w:r>
        <w:t xml:space="preserve">de</w:t>
      </w:r>
      <w:r>
        <w:t xml:space="preserve"> </w:t>
      </w:r>
      <w:r>
        <w:t xml:space="preserve">générer</w:t>
      </w:r>
      <w:r>
        <w:t xml:space="preserve"> </w:t>
      </w:r>
      <w:r>
        <w:t xml:space="preserve">de</w:t>
      </w:r>
      <w:r>
        <w:t xml:space="preserve"> </w:t>
      </w:r>
      <w:r>
        <w:t xml:space="preserve">type</w:t>
      </w:r>
      <w:r>
        <w:t xml:space="preserve"> </w:t>
      </w:r>
      <w:r>
        <w:t xml:space="preserve">lignes</w:t>
      </w:r>
      <w:r>
        <w:t xml:space="preserve"> </w:t>
      </w:r>
      <w:r>
        <w:t xml:space="preserve">de</w:t>
      </w:r>
      <w:r>
        <w:t xml:space="preserve"> </w:t>
      </w:r>
      <w:r>
        <w:t xml:space="preserve">crête:</w:t>
      </w:r>
      <w:r>
        <w:t xml:space="preserve"> </w:t>
      </w:r>
      <w:r>
        <w:rPr>
          <w:rStyle w:val="VerbatimChar"/>
        </w:rPr>
        <w:t xml:space="preserve">joyplot</w:t>
      </w:r>
      <w:r>
        <w:t xml:space="preserve"> </w:t>
      </w:r>
      <w:r>
        <w:t xml:space="preserve">(A.Naqvi)</w:t>
      </w:r>
      <w:r>
        <w:t xml:space="preserve"> </w:t>
      </w:r>
      <w:r>
        <w:t xml:space="preserve">et</w:t>
      </w:r>
      <w:r>
        <w:t xml:space="preserve"> </w:t>
      </w:r>
      <w:r>
        <w:rPr>
          <w:rStyle w:val="VerbatimChar"/>
        </w:rPr>
        <w:t xml:space="preserve">joy_plot</w:t>
      </w:r>
      <w:r>
        <w:t xml:space="preserve"> </w:t>
      </w:r>
      <w:r>
        <w:t xml:space="preserve">(F.Rios-Avila).</w:t>
      </w:r>
      <w:r>
        <w:t xml:space="preserve"> </w:t>
      </w:r>
      <w:r>
        <w:t xml:space="preserve">A</w:t>
      </w:r>
      <w:r>
        <w:t xml:space="preserve"> </w:t>
      </w:r>
      <w:r>
        <w:t xml:space="preserve">partir</w:t>
      </w:r>
      <w:r>
        <w:t xml:space="preserve"> </w:t>
      </w:r>
      <w:r>
        <w:t xml:space="preserve">d’un</w:t>
      </w:r>
      <w:r>
        <w:t xml:space="preserve"> </w:t>
      </w:r>
      <w:r>
        <w:t xml:space="preserve">programme</w:t>
      </w:r>
      <w:r>
        <w:t xml:space="preserve"> </w:t>
      </w:r>
      <w:r>
        <w:t xml:space="preserve">écrit</w:t>
      </w:r>
      <w:r>
        <w:t xml:space="preserve"> </w:t>
      </w:r>
      <w:r>
        <w:t xml:space="preserve">à</w:t>
      </w:r>
      <w:r>
        <w:t xml:space="preserve"> </w:t>
      </w:r>
      <w:r>
        <w:t xml:space="preserve">l’automne</w:t>
      </w:r>
      <w:r>
        <w:t xml:space="preserve"> </w:t>
      </w:r>
      <w:r>
        <w:t xml:space="preserve">2020,</w:t>
      </w:r>
      <w:r>
        <w:t xml:space="preserve"> </w:t>
      </w:r>
      <w:r>
        <w:t xml:space="preserve">et</w:t>
      </w:r>
      <w:r>
        <w:t xml:space="preserve"> </w:t>
      </w:r>
      <w:r>
        <w:t xml:space="preserve">en</w:t>
      </w:r>
      <w:r>
        <w:t xml:space="preserve"> </w:t>
      </w:r>
      <w:r>
        <w:t xml:space="preserve">restant</w:t>
      </w:r>
      <w:r>
        <w:t xml:space="preserve"> </w:t>
      </w:r>
      <w:r>
        <w:t xml:space="preserve">au</w:t>
      </w:r>
      <w:r>
        <w:t xml:space="preserve"> </w:t>
      </w:r>
      <w:r>
        <w:t xml:space="preserve">plus</w:t>
      </w:r>
      <w:r>
        <w:t xml:space="preserve"> </w:t>
      </w:r>
      <w:r>
        <w:t xml:space="preserve">près</w:t>
      </w:r>
      <w:r>
        <w:t xml:space="preserve"> </w:t>
      </w:r>
      <w:r>
        <w:t xml:space="preserve">de</w:t>
      </w:r>
      <w:r>
        <w:t xml:space="preserve"> </w:t>
      </w:r>
      <w:r>
        <w:t xml:space="preserve">la</w:t>
      </w:r>
      <w:r>
        <w:t xml:space="preserve"> </w:t>
      </w:r>
      <w:r>
        <w:t xml:space="preserve">fonction</w:t>
      </w:r>
      <w:r>
        <w:t xml:space="preserve"> </w:t>
      </w:r>
      <w:r>
        <w:rPr>
          <w:rStyle w:val="VerbatimChar"/>
        </w:rPr>
        <w:t xml:space="preserve">ggridge</w:t>
      </w:r>
      <w:r>
        <w:t xml:space="preserve"> </w:t>
      </w:r>
      <w:r>
        <w:t xml:space="preserve">de</w:t>
      </w:r>
      <w:r>
        <w:t xml:space="preserve"> </w:t>
      </w:r>
      <w:r>
        <w:t xml:space="preserve">R,</w:t>
      </w:r>
      <w:r>
        <w:t xml:space="preserve"> </w:t>
      </w:r>
      <w:r>
        <w:t xml:space="preserve">j’ai</w:t>
      </w:r>
      <w:r>
        <w:t xml:space="preserve"> </w:t>
      </w:r>
      <w:r>
        <w:t xml:space="preserve">également</w:t>
      </w:r>
      <w:r>
        <w:t xml:space="preserve"> </w:t>
      </w:r>
      <w:r>
        <w:t xml:space="preserve">(et</w:t>
      </w:r>
      <w:r>
        <w:t xml:space="preserve"> </w:t>
      </w:r>
      <w:r>
        <w:t xml:space="preserve">modestement)</w:t>
      </w:r>
      <w:r>
        <w:t xml:space="preserve"> </w:t>
      </w:r>
      <w:r>
        <w:t xml:space="preserve">programmé</w:t>
      </w:r>
      <w:r>
        <w:t xml:space="preserve"> </w:t>
      </w:r>
      <w:r>
        <w:t xml:space="preserve">une</w:t>
      </w:r>
      <w:r>
        <w:t xml:space="preserve"> </w:t>
      </w:r>
      <w:r>
        <w:t xml:space="preserve">commande.</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La commande</w:t>
      </w:r>
      <w:r>
        <w:t xml:space="preserve"> </w:t>
      </w:r>
      <w:r>
        <w:rPr>
          <w:rStyle w:val="VerbatimChar"/>
        </w:rPr>
        <w:t xml:space="preserve">gridge</w:t>
      </w:r>
      <w:r>
        <w:t xml:space="preserve"> </w:t>
      </w:r>
      <w:r>
        <w:t xml:space="preserve">permet, entre autres, de contrôler le tri les modalités de l’axe discret à partir d’une fonction autorisée avec</w:t>
      </w:r>
      <w:r>
        <w:t xml:space="preserve"> </w:t>
      </w:r>
      <w:r>
        <w:rPr>
          <w:rStyle w:val="VerbatimChar"/>
        </w:rPr>
        <w:t xml:space="preserve">egen</w:t>
      </w:r>
      <w:r>
        <w:t xml:space="preserve"> </w:t>
      </w:r>
      <w:r>
        <w:t xml:space="preserve">(</w:t>
      </w:r>
      <w:r>
        <w:rPr>
          <w:iCs/>
          <w:i/>
        </w:rPr>
        <w:t xml:space="preserve">mean</w:t>
      </w:r>
      <w:r>
        <w:t xml:space="preserve">,</w:t>
      </w:r>
      <w:r>
        <w:t xml:space="preserve"> </w:t>
      </w:r>
      <w:r>
        <w:rPr>
          <w:iCs/>
          <w:i/>
        </w:rPr>
        <w:t xml:space="preserve">median</w:t>
      </w:r>
      <w:r>
        <w:t xml:space="preserve">,</w:t>
      </w:r>
      <w:r>
        <w:t xml:space="preserve"> </w:t>
      </w:r>
      <w:r>
        <w:rPr>
          <w:iCs/>
          <w:i/>
        </w:rPr>
        <w:t xml:space="preserve">sd</w:t>
      </w:r>
      <w:r>
        <w:t xml:space="preserve">….), de choisir librement un intervalle sur l’axe des abscisses pour éviter le report de valeurs sortant d’une borne acceptable (probabilité négatives ou supérieure à 1 dans l’exemple). Comme on estime des densités, le nombre d’observations minimales a été fixé à 10. Si ce critère n’est pas respecté, les valeurs de y en cause sont affichées. Des améliorations restent néanmoins à prévoir.</w:t>
      </w:r>
    </w:p>
    <w:bookmarkStart w:id="20" w:name="installation"/>
    <w:p>
      <w:pPr>
        <w:pStyle w:val="Heading1"/>
      </w:pPr>
      <w:r>
        <w:t xml:space="preserve">1. Installation</w:t>
      </w:r>
    </w:p>
    <w:p>
      <w:pPr>
        <w:pStyle w:val="SourceCode"/>
      </w:pPr>
      <w:r>
        <w:rPr>
          <w:rStyle w:val="NormalTok"/>
        </w:rPr>
        <w:t xml:space="preserve">net install gridge, </w:t>
      </w:r>
      <w:r>
        <w:rPr>
          <w:rStyle w:val="FunctionTok"/>
        </w:rPr>
        <w:t xml:space="preserve">from</w:t>
      </w:r>
      <w:r>
        <w:rPr>
          <w:rStyle w:val="NormalTok"/>
        </w:rPr>
        <w:t xml:space="preserve">(</w:t>
      </w:r>
      <w:r>
        <w:rPr>
          <w:rStyle w:val="StringTok"/>
        </w:rPr>
        <w:t xml:space="preserve">"https://raw.githubusercontent.com/mthevenin/stata_graphiques/master/ressources/gridge/"</w:t>
      </w:r>
      <w:r>
        <w:rPr>
          <w:rStyle w:val="NormalTok"/>
        </w:rPr>
        <w:t xml:space="preserve">) replace</w:t>
      </w:r>
    </w:p>
    <w:bookmarkEnd w:id="20"/>
    <w:bookmarkStart w:id="22" w:name="syntaxe"/>
    <w:p>
      <w:pPr>
        <w:pStyle w:val="Heading1"/>
      </w:pPr>
      <w:r>
        <w:t xml:space="preserve">2. Syntaxe</w:t>
      </w:r>
    </w:p>
    <w:p>
      <w:pPr>
        <w:pStyle w:val="SourceCode"/>
      </w:pPr>
      <w:r>
        <w:rPr>
          <w:rStyle w:val="NormalTok"/>
        </w:rPr>
        <w:t xml:space="preserve">syntax variable [</w:t>
      </w:r>
      <w:r>
        <w:rPr>
          <w:rStyle w:val="ControlFlowTok"/>
        </w:rPr>
        <w:t xml:space="preserve">if</w:t>
      </w:r>
      <w:r>
        <w:rPr>
          <w:rStyle w:val="NormalTok"/>
        </w:rPr>
        <w:t xml:space="preserve">],                                                                </w:t>
      </w:r>
      <w:r>
        <w:rPr>
          <w:rStyle w:val="SpecialCharTok"/>
        </w:rPr>
        <w:t xml:space="preserve">/</w:t>
      </w:r>
      <w:r>
        <w:rPr>
          <w:rStyle w:val="ErrorTok"/>
        </w:rPr>
        <w:t xml:space="preserve">//</w:t>
      </w:r>
      <w:r>
        <w:br/>
      </w:r>
      <w:r>
        <w:rPr>
          <w:rStyle w:val="FunctionTok"/>
        </w:rPr>
        <w:t xml:space="preserve">over</w:t>
      </w:r>
      <w:r>
        <w:rPr>
          <w:rStyle w:val="NormalTok"/>
        </w:rPr>
        <w:t xml:space="preserve">(variable)  </w:t>
      </w:r>
      <w:r>
        <w:rPr>
          <w:rStyle w:val="FunctionTok"/>
        </w:rPr>
        <w:t xml:space="preserve">super</w:t>
      </w:r>
      <w:r>
        <w:rPr>
          <w:rStyle w:val="NormalTok"/>
        </w:rPr>
        <w:t xml:space="preserve">(numeric </w:t>
      </w:r>
      <w:r>
        <w:rPr>
          <w:rStyle w:val="FloatTok"/>
        </w:rPr>
        <w:t xml:space="preserve">1.8</w:t>
      </w:r>
      <w:r>
        <w:rPr>
          <w:rStyle w:val="NormalTok"/>
        </w:rPr>
        <w:t xml:space="preserve">)                                                   </w:t>
      </w:r>
      <w:r>
        <w:rPr>
          <w:rStyle w:val="SpecialCharTok"/>
        </w:rPr>
        <w:t xml:space="preserve">/</w:t>
      </w:r>
      <w:r>
        <w:rPr>
          <w:rStyle w:val="ErrorTok"/>
        </w:rPr>
        <w:t xml:space="preserve">//</w:t>
      </w:r>
      <w:r>
        <w:br/>
      </w:r>
      <w:r>
        <w:rPr>
          <w:rStyle w:val="FunctionTok"/>
        </w:rPr>
        <w:t xml:space="preserve">sort</w:t>
      </w:r>
      <w:r>
        <w:rPr>
          <w:rStyle w:val="NormalTok"/>
        </w:rPr>
        <w:t xml:space="preserve">(string)  </w:t>
      </w:r>
      <w:r>
        <w:rPr>
          <w:rStyle w:val="FunctionTok"/>
        </w:rPr>
        <w:t xml:space="preserve">sortrev</w:t>
      </w:r>
      <w:r>
        <w:rPr>
          <w:rStyle w:val="NormalTok"/>
        </w:rPr>
        <w:t xml:space="preserve">(string) </w:t>
      </w:r>
      <w:r>
        <w:rPr>
          <w:rStyle w:val="FunctionTok"/>
        </w:rPr>
        <w:t xml:space="preserve">bw</w:t>
      </w:r>
      <w:r>
        <w:rPr>
          <w:rStyle w:val="NormalTok"/>
        </w:rPr>
        <w:t xml:space="preserve">(real</w:t>
      </w:r>
      <w:r>
        <w:rPr>
          <w:rStyle w:val="SpecialCharTok"/>
        </w:rPr>
        <w:t xml:space="preserve">&gt;</w:t>
      </w:r>
      <w:r>
        <w:rPr>
          <w:rStyle w:val="DecValTok"/>
        </w:rPr>
        <w:t xml:space="preserve">0</w:t>
      </w:r>
      <w:r>
        <w:rPr>
          <w:rStyle w:val="NormalTok"/>
        </w:rPr>
        <w:t xml:space="preserve"> </w:t>
      </w:r>
      <w:r>
        <w:rPr>
          <w:rStyle w:val="FloatTok"/>
        </w:rPr>
        <w:t xml:space="preserve">1.5</w:t>
      </w:r>
      <w:r>
        <w:rPr>
          <w:rStyle w:val="NormalTok"/>
        </w:rPr>
        <w:t xml:space="preserve">)                                         </w:t>
      </w:r>
      <w:r>
        <w:rPr>
          <w:rStyle w:val="SpecialCharTok"/>
        </w:rPr>
        <w:t xml:space="preserve">/</w:t>
      </w:r>
      <w:r>
        <w:rPr>
          <w:rStyle w:val="ErrorTok"/>
        </w:rPr>
        <w:t xml:space="preserve">//</w:t>
      </w:r>
      <w:r>
        <w:br/>
      </w:r>
      <w:r>
        <w:rPr>
          <w:rStyle w:val="FunctionTok"/>
        </w:rPr>
        <w:t xml:space="preserve">palette</w:t>
      </w:r>
      <w:r>
        <w:rPr>
          <w:rStyle w:val="NormalTok"/>
        </w:rPr>
        <w:t xml:space="preserve">(string) colrev </w:t>
      </w:r>
      <w:r>
        <w:rPr>
          <w:rStyle w:val="FunctionTok"/>
        </w:rPr>
        <w:t xml:space="preserve">opac</w:t>
      </w:r>
      <w:r>
        <w:rPr>
          <w:rStyle w:val="NormalTok"/>
        </w:rPr>
        <w:t xml:space="preserve">(integer </w:t>
      </w:r>
      <w:r>
        <w:rPr>
          <w:rStyle w:val="DecValTok"/>
        </w:rPr>
        <w:t xml:space="preserve">80</w:t>
      </w:r>
      <w:r>
        <w:rPr>
          <w:rStyle w:val="NormalTok"/>
        </w:rPr>
        <w:t xml:space="preserve">)  </w:t>
      </w:r>
      <w:r>
        <w:rPr>
          <w:rStyle w:val="FunctionTok"/>
        </w:rPr>
        <w:t xml:space="preserve">lc</w:t>
      </w:r>
      <w:r>
        <w:rPr>
          <w:rStyle w:val="NormalTok"/>
        </w:rPr>
        <w:t xml:space="preserve">(integer </w:t>
      </w:r>
      <w:r>
        <w:rPr>
          <w:rStyle w:val="DecValTok"/>
        </w:rPr>
        <w:t xml:space="preserve">2</w:t>
      </w:r>
      <w:r>
        <w:rPr>
          <w:rStyle w:val="NormalTok"/>
        </w:rPr>
        <w:t xml:space="preserve">)] </w:t>
      </w:r>
      <w:r>
        <w:rPr>
          <w:rStyle w:val="FunctionTok"/>
        </w:rPr>
        <w:t xml:space="preserve">lw</w:t>
      </w:r>
      <w:r>
        <w:rPr>
          <w:rStyle w:val="NormalTok"/>
        </w:rPr>
        <w:t xml:space="preserve">(real .</w:t>
      </w:r>
      <w:r>
        <w:rPr>
          <w:rStyle w:val="DecValTok"/>
        </w:rPr>
        <w:t xml:space="preserve">5</w:t>
      </w:r>
      <w:r>
        <w:rPr>
          <w:rStyle w:val="NormalTok"/>
        </w:rPr>
        <w:t xml:space="preserve">)] </w:t>
      </w:r>
      <w:r>
        <w:rPr>
          <w:rStyle w:val="FunctionTok"/>
        </w:rPr>
        <w:t xml:space="preserve">gopts</w:t>
      </w:r>
      <w:r>
        <w:rPr>
          <w:rStyle w:val="NormalTok"/>
        </w:rPr>
        <w:t xml:space="preserve">(string)]  </w:t>
      </w:r>
      <w:r>
        <w:rPr>
          <w:rStyle w:val="SpecialCharTok"/>
        </w:rPr>
        <w:t xml:space="preserve">/</w:t>
      </w:r>
      <w:r>
        <w:rPr>
          <w:rStyle w:val="ErrorTok"/>
        </w:rPr>
        <w:t xml:space="preserve">//</w:t>
      </w:r>
      <w:r>
        <w:rPr>
          <w:rStyle w:val="NormalTok"/>
        </w:rPr>
        <w:t xml:space="preserve">   </w:t>
      </w:r>
      <w:r>
        <w:br/>
      </w:r>
      <w:r>
        <w:rPr>
          <w:rStyle w:val="FunctionTok"/>
        </w:rPr>
        <w:t xml:space="preserve">range</w:t>
      </w:r>
      <w:r>
        <w:rPr>
          <w:rStyle w:val="NormalTok"/>
        </w:rPr>
        <w:t xml:space="preserve">(value1 value2)   </w:t>
      </w:r>
    </w:p>
    <w:p>
      <w:pPr>
        <w:pStyle w:val="FirstParagraph"/>
      </w:pPr>
      <w:r>
        <w:rPr>
          <w:iCs/>
          <w:i/>
        </w:rPr>
        <w:t xml:space="preserve">Entre parenthèse le type d’argument, suivi si nécessaire de la valeur par défaut.</w:t>
      </w:r>
    </w:p>
    <w:p>
      <w:pPr>
        <w:pStyle w:val="BodyText"/>
      </w:pPr>
      <w:r>
        <w:rPr>
          <w:bCs/>
          <w:b/>
        </w:rPr>
        <w:t xml:space="preserve">Arguments</w:t>
      </w:r>
    </w:p>
    <w:p>
      <w:pPr>
        <w:numPr>
          <w:ilvl w:val="0"/>
          <w:numId w:val="1001"/>
        </w:numPr>
        <w:pStyle w:val="Compact"/>
      </w:pPr>
      <w:r>
        <w:rPr>
          <w:rStyle w:val="VerbatimChar"/>
        </w:rPr>
        <w:t xml:space="preserve">over(variable)</w:t>
      </w:r>
      <w:r>
        <w:t xml:space="preserve">: variable de stratification. De type numérique avec ou non un label</w:t>
      </w:r>
    </w:p>
    <w:p>
      <w:pPr>
        <w:numPr>
          <w:ilvl w:val="0"/>
          <w:numId w:val="1001"/>
        </w:numPr>
        <w:pStyle w:val="Compact"/>
      </w:pPr>
      <w:r>
        <w:rPr>
          <w:rStyle w:val="VerbatimChar"/>
        </w:rPr>
        <w:t xml:space="preserve">super(numeric 1.8)</w:t>
      </w:r>
      <w:r>
        <w:t xml:space="preserve">: degré de superposition des densités. Positif de préférence.</w:t>
      </w:r>
    </w:p>
    <w:p>
      <w:pPr>
        <w:numPr>
          <w:ilvl w:val="0"/>
          <w:numId w:val="1001"/>
        </w:numPr>
        <w:pStyle w:val="Compact"/>
      </w:pPr>
      <w:r>
        <w:rPr>
          <w:rStyle w:val="VerbatimChar"/>
        </w:rPr>
        <w:t xml:space="preserve">sort(string)</w:t>
      </w:r>
      <w:r>
        <w:t xml:space="preserve">:</w:t>
      </w:r>
      <w:r>
        <w:t xml:space="preserve"> </w:t>
      </w:r>
      <w:r>
        <w:rPr>
          <w:bCs/>
          <w:b/>
        </w:rPr>
        <w:t xml:space="preserve">mean</w:t>
      </w:r>
      <w:r>
        <w:t xml:space="preserve">,</w:t>
      </w:r>
      <w:r>
        <w:t xml:space="preserve"> </w:t>
      </w:r>
      <w:r>
        <w:rPr>
          <w:bCs/>
          <w:b/>
        </w:rPr>
        <w:t xml:space="preserve">median</w:t>
      </w:r>
      <w:r>
        <w:t xml:space="preserve">,</w:t>
      </w:r>
      <w:r>
        <w:t xml:space="preserve"> </w:t>
      </w:r>
      <w:r>
        <w:rPr>
          <w:bCs/>
          <w:b/>
        </w:rPr>
        <w:t xml:space="preserve">sd</w:t>
      </w:r>
      <w:r>
        <w:t xml:space="preserve">,</w:t>
      </w:r>
      <w:r>
        <w:t xml:space="preserve"> </w:t>
      </w:r>
      <w:r>
        <w:rPr>
          <w:bCs/>
          <w:b/>
        </w:rPr>
        <w:t xml:space="preserve">iqr</w:t>
      </w:r>
      <w:r>
        <w:t xml:space="preserve">,</w:t>
      </w:r>
      <w:r>
        <w:t xml:space="preserve"> </w:t>
      </w:r>
      <w:r>
        <w:rPr>
          <w:bCs/>
          <w:b/>
        </w:rPr>
        <w:t xml:space="preserve">mode</w:t>
      </w:r>
      <w:r>
        <w:t xml:space="preserve"> </w:t>
      </w:r>
      <w:r>
        <w:t xml:space="preserve">(ou autre fonction statistique compatible avec</w:t>
      </w:r>
      <w:r>
        <w:t xml:space="preserve"> </w:t>
      </w:r>
      <w:r>
        <w:rPr>
          <w:rStyle w:val="VerbatimChar"/>
        </w:rPr>
        <w:t xml:space="preserve">egen</w:t>
      </w:r>
      <w:r>
        <w:t xml:space="preserve">)</w:t>
      </w:r>
    </w:p>
    <w:p>
      <w:pPr>
        <w:numPr>
          <w:ilvl w:val="0"/>
          <w:numId w:val="1001"/>
        </w:numPr>
        <w:pStyle w:val="Compact"/>
      </w:pPr>
      <w:r>
        <w:rPr>
          <w:rStyle w:val="VerbatimChar"/>
        </w:rPr>
        <w:t xml:space="preserve">sortrev(string)</w:t>
      </w:r>
      <w:r>
        <w:t xml:space="preserve"> </w:t>
      </w:r>
      <w:r>
        <w:t xml:space="preserve">-</w:t>
      </w:r>
      <w:r>
        <w:t xml:space="preserve"> </w:t>
      </w:r>
      <w:r>
        <w:rPr>
          <w:rStyle w:val="VerbatimChar"/>
        </w:rPr>
        <w:t xml:space="preserve">sortr(string)</w:t>
      </w:r>
      <w:r>
        <w:t xml:space="preserve">: idem mais les valeurs de la variable</w:t>
      </w:r>
      <w:r>
        <w:t xml:space="preserve"> </w:t>
      </w:r>
      <w:r>
        <w:rPr>
          <w:rStyle w:val="VerbatimChar"/>
        </w:rPr>
        <w:t xml:space="preserve">over()</w:t>
      </w:r>
      <w:r>
        <w:t xml:space="preserve"> </w:t>
      </w:r>
      <w:r>
        <w:t xml:space="preserve">seront affichées en ordre décroissant</w:t>
      </w:r>
    </w:p>
    <w:p>
      <w:pPr>
        <w:numPr>
          <w:ilvl w:val="0"/>
          <w:numId w:val="1001"/>
        </w:numPr>
        <w:pStyle w:val="Compact"/>
      </w:pPr>
      <w:r>
        <w:rPr>
          <w:rStyle w:val="VerbatimChar"/>
        </w:rPr>
        <w:t xml:space="preserve">bw(real&gt;0 1.5)</w:t>
      </w:r>
      <w:r>
        <w:t xml:space="preserve">: largeur de la fenêtre de lissage.</w:t>
      </w:r>
    </w:p>
    <w:p>
      <w:pPr>
        <w:numPr>
          <w:ilvl w:val="0"/>
          <w:numId w:val="1001"/>
        </w:numPr>
        <w:pStyle w:val="Compact"/>
      </w:pPr>
      <w:r>
        <w:rPr>
          <w:rStyle w:val="VerbatimChar"/>
        </w:rPr>
        <w:t xml:space="preserve">palette(string)</w:t>
      </w:r>
      <w:r>
        <w:t xml:space="preserve"> </w:t>
      </w:r>
      <w:r>
        <w:rPr>
          <w:rStyle w:val="VerbatimChar"/>
        </w:rPr>
        <w:t xml:space="preserve">pal(string)</w:t>
      </w:r>
      <w:r>
        <w:t xml:space="preserve">: nom d’une palette du package</w:t>
      </w:r>
      <w:r>
        <w:t xml:space="preserve"> </w:t>
      </w:r>
      <w:r>
        <w:rPr>
          <w:rStyle w:val="VerbatimChar"/>
        </w:rPr>
        <w:t xml:space="preserve">colorpalette</w:t>
      </w:r>
      <w:r>
        <w:t xml:space="preserve">. Ce dernier sera installé comme dépendance si nécessaire. L’ordre des couleurs sera inversé par rapport à palette sélectionnée.</w:t>
      </w:r>
    </w:p>
    <w:p>
      <w:pPr>
        <w:numPr>
          <w:ilvl w:val="0"/>
          <w:numId w:val="1001"/>
        </w:numPr>
        <w:pStyle w:val="Compact"/>
      </w:pPr>
      <w:r>
        <w:rPr>
          <w:rStyle w:val="VerbatimChar"/>
        </w:rPr>
        <w:t xml:space="preserve">colrev</w:t>
      </w:r>
      <w:r>
        <w:t xml:space="preserve">: permet d’inverser l’ordre des couleurs de la palette. Permet de retrouvet l’ordre de la palette d’origine de</w:t>
      </w:r>
      <w:r>
        <w:t xml:space="preserve"> </w:t>
      </w:r>
      <w:r>
        <w:rPr>
          <w:rStyle w:val="VerbatimChar"/>
        </w:rPr>
        <w:t xml:space="preserve">colorpalette</w:t>
      </w:r>
    </w:p>
    <w:p>
      <w:pPr>
        <w:numPr>
          <w:ilvl w:val="0"/>
          <w:numId w:val="1001"/>
        </w:numPr>
        <w:pStyle w:val="Compact"/>
      </w:pPr>
      <w:r>
        <w:rPr>
          <w:rStyle w:val="VerbatimChar"/>
        </w:rPr>
        <w:t xml:space="preserve">opac(integer 80)</w:t>
      </w:r>
      <w:r>
        <w:t xml:space="preserve">: % d’opacité des couleurs. Valeur max = 100</w:t>
      </w:r>
    </w:p>
    <w:p>
      <w:pPr>
        <w:numPr>
          <w:ilvl w:val="0"/>
          <w:numId w:val="1001"/>
        </w:numPr>
        <w:pStyle w:val="Compact"/>
      </w:pPr>
      <w:r>
        <w:rPr>
          <w:rStyle w:val="VerbatimChar"/>
        </w:rPr>
        <w:t xml:space="preserve">range(value1 value2)</w:t>
      </w:r>
      <w:r>
        <w:t xml:space="preserve">: permet de borner les valeurs de l’axe continu (x). value1</w:t>
      </w:r>
      <w:r>
        <w:t xml:space="preserve"> </w:t>
      </w:r>
      <m:oMath>
        <m:r>
          <m:rPr>
            <m:sty m:val="p"/>
          </m:rPr>
          <m:t>&lt;</m:t>
        </m:r>
      </m:oMath>
      <w:r>
        <w:t xml:space="preserve"> </w:t>
      </w:r>
      <w:r>
        <w:t xml:space="preserve">value2</w:t>
      </w:r>
    </w:p>
    <w:p>
      <w:pPr>
        <w:numPr>
          <w:ilvl w:val="0"/>
          <w:numId w:val="1001"/>
        </w:numPr>
        <w:pStyle w:val="Compact"/>
      </w:pPr>
      <w:r>
        <w:rPr>
          <w:rStyle w:val="VerbatimChar"/>
        </w:rPr>
        <w:t xml:space="preserve">lc(integer 2)</w:t>
      </w:r>
      <w:r>
        <w:t xml:space="preserve">: échelle de gris du contour des densités (palette</w:t>
      </w:r>
      <w:r>
        <w:t xml:space="preserve"> </w:t>
      </w:r>
      <w:r>
        <w:rPr>
          <w:bCs/>
          <w:b/>
        </w:rPr>
        <w:t xml:space="preserve">gs</w:t>
      </w:r>
      <w:r>
        <w:t xml:space="preserve">). Valeurs comprise entre 1 (noir) et 15 (blanc)</w:t>
      </w:r>
    </w:p>
    <w:p>
      <w:pPr>
        <w:numPr>
          <w:ilvl w:val="0"/>
          <w:numId w:val="1001"/>
        </w:numPr>
        <w:pStyle w:val="Compact"/>
      </w:pPr>
      <w:r>
        <w:rPr>
          <w:rStyle w:val="VerbatimChar"/>
        </w:rPr>
        <w:t xml:space="preserve">lw(real .5)</w:t>
      </w:r>
      <w:r>
        <w:t xml:space="preserve">: épaisseur du contour des densités en valeur relative. Valeur minimum 0</w:t>
      </w:r>
    </w:p>
    <w:p>
      <w:pPr>
        <w:numPr>
          <w:ilvl w:val="0"/>
          <w:numId w:val="1001"/>
        </w:numPr>
        <w:pStyle w:val="Compact"/>
      </w:pPr>
      <w:r>
        <w:rPr>
          <w:rStyle w:val="VerbatimChar"/>
        </w:rPr>
        <w:t xml:space="preserve">gopts(string)</w:t>
      </w:r>
      <w:r>
        <w:t xml:space="preserve">: autres options des graphique de type</w:t>
      </w:r>
      <w:r>
        <w:t xml:space="preserve"> </w:t>
      </w:r>
      <w:r>
        <w:rPr>
          <w:rStyle w:val="VerbatimChar"/>
        </w:rPr>
        <w:t xml:space="preserve">tw</w:t>
      </w:r>
      <w:r>
        <w:t xml:space="preserve">: titre, xlabel, plotr, graphr….</w:t>
      </w:r>
      <w:r>
        <w:t xml:space="preserve"> </w:t>
      </w:r>
      <w:r>
        <w:rPr>
          <w:bCs/>
          <w:b/>
        </w:rPr>
        <w:t xml:space="preserve">Ne pas utiliser l’option</w:t>
      </w:r>
      <w:r>
        <w:rPr>
          <w:bCs/>
          <w:b/>
        </w:rPr>
        <w:t xml:space="preserve"> </w:t>
      </w:r>
      <w:r>
        <w:rPr>
          <w:rStyle w:val="VerbatimChar"/>
          <w:bCs/>
          <w:b/>
        </w:rPr>
        <w:t xml:space="preserve">ylabel</w:t>
      </w:r>
      <w:r>
        <w:t xml:space="preserve"> </w:t>
      </w:r>
      <w:r>
        <w:t xml:space="preserve">(option spécifique à venir).</w:t>
      </w:r>
    </w:p>
    <w:p>
      <w:pPr>
        <w:pStyle w:val="FirstParagraph"/>
      </w:pPr>
      <w:r>
        <w:rPr>
          <w:bCs/>
          <w:b/>
        </w:rPr>
        <w:t xml:space="preserve">Remarques</w:t>
      </w:r>
    </w:p>
    <w:p>
      <w:pPr>
        <w:numPr>
          <w:ilvl w:val="0"/>
          <w:numId w:val="1002"/>
        </w:numPr>
        <w:pStyle w:val="Compact"/>
      </w:pPr>
      <w:r>
        <w:t xml:space="preserve">Pour la variable de l’argument</w:t>
      </w:r>
      <w:r>
        <w:t xml:space="preserve"> </w:t>
      </w:r>
      <w:r>
        <w:rPr>
          <w:rStyle w:val="VerbatimChar"/>
        </w:rPr>
        <w:t xml:space="preserve">over()</w:t>
      </w:r>
      <w:r>
        <w:t xml:space="preserve">, chaque valeur doivent avoir au moins 10 observations. Si ce n’est pas le cas, la commande n’exécutera pas le graphique mais affichera les valeurs dont le nombre d’observation est insuffisant.</w:t>
      </w:r>
    </w:p>
    <w:p>
      <w:pPr>
        <w:numPr>
          <w:ilvl w:val="0"/>
          <w:numId w:val="1002"/>
        </w:numPr>
        <w:pStyle w:val="Compact"/>
      </w:pPr>
      <w:r>
        <w:t xml:space="preserve">Toujours pour la variable de l’argument</w:t>
      </w:r>
      <w:r>
        <w:t xml:space="preserve"> </w:t>
      </w:r>
      <w:r>
        <w:rPr>
          <w:rStyle w:val="VerbatimChar"/>
        </w:rPr>
        <w:t xml:space="preserve">over()</w:t>
      </w:r>
      <w:r>
        <w:t xml:space="preserve">, j’ai pour l’instant limité le format de la variable à un format numérique, avec ou sans labels affectés aux valeurs.</w:t>
      </w:r>
    </w:p>
    <w:p>
      <w:pPr>
        <w:numPr>
          <w:ilvl w:val="0"/>
          <w:numId w:val="1002"/>
        </w:numPr>
        <w:pStyle w:val="Compact"/>
      </w:pPr>
      <w:r>
        <w:t xml:space="preserve">Ce type de visualisation est également utilisée pour représenter comparer l’évolution dans le temps d’une variable quantitative, par exemple entre pays (très à la mode avec le COVID)</w:t>
      </w:r>
      <w:hyperlink r:id="rId21">
        <w:r>
          <w:rPr>
            <w:rStyle w:val="Hyperlink"/>
          </w:rPr>
          <w:t xml:space="preserve">exemple</w:t>
        </w:r>
      </w:hyperlink>
      <w:r>
        <w:t xml:space="preserve">. Cela permet d’offrir un certain contrôle des effets dits</w:t>
      </w:r>
      <w:r>
        <w:t xml:space="preserve"> </w:t>
      </w:r>
      <w:r>
        <w:t xml:space="preserve">“</w:t>
      </w:r>
      <w:r>
        <w:t xml:space="preserve">spaghetti</w:t>
      </w:r>
      <w:r>
        <w:t xml:space="preserve">”</w:t>
      </w:r>
      <w:r>
        <w:t xml:space="preserve">, mais je préfère dans ce cadre les approches de type</w:t>
      </w:r>
      <w:r>
        <w:t xml:space="preserve"> </w:t>
      </w:r>
      <w:r>
        <w:rPr>
          <w:iCs/>
          <w:i/>
        </w:rPr>
        <w:t xml:space="preserve">small-multiple</w:t>
      </w:r>
      <w:r>
        <w:t xml:space="preserve">. Par ailleurs, dans l’esprit des courbes de Ridge, l’axe Y est plutôt de type ordonné. Cette option est offerte dans la fonction</w:t>
      </w:r>
      <w:r>
        <w:t xml:space="preserve"> </w:t>
      </w:r>
      <w:r>
        <w:rPr>
          <w:rStyle w:val="VerbatimChar"/>
        </w:rPr>
        <w:t xml:space="preserve">joyplot</w:t>
      </w:r>
      <w:r>
        <w:t xml:space="preserve"> </w:t>
      </w:r>
      <w:r>
        <w:t xml:space="preserve">(A.Navqui).</w:t>
      </w:r>
    </w:p>
    <w:bookmarkEnd w:id="22"/>
    <w:bookmarkStart w:id="34" w:name="exemples"/>
    <w:p>
      <w:pPr>
        <w:pStyle w:val="Heading1"/>
      </w:pPr>
      <w:r>
        <w:t xml:space="preserve">3. Exemples</w:t>
      </w:r>
    </w:p>
    <w:bookmarkStart w:id="26" w:name="exemple-1"/>
    <w:p>
      <w:pPr>
        <w:pStyle w:val="Heading2"/>
      </w:pPr>
      <w:r>
        <w:t xml:space="preserve">3.1 Exemple 1</w:t>
      </w:r>
    </w:p>
    <w:p>
      <w:pPr>
        <w:pStyle w:val="FirstParagraph"/>
      </w:pPr>
      <w:r>
        <w:rPr>
          <w:iCs/>
          <w:i/>
          <w:bCs/>
          <w:b/>
        </w:rPr>
        <w:t xml:space="preserve">Ouverture de la base</w:t>
      </w:r>
    </w:p>
    <w:p>
      <w:pPr>
        <w:pStyle w:val="SourceCode"/>
      </w:pPr>
      <w:r>
        <w:rPr>
          <w:rStyle w:val="NormalTok"/>
        </w:rPr>
        <w:t xml:space="preserve">webuse set  </w:t>
      </w:r>
      <w:r>
        <w:rPr>
          <w:rStyle w:val="StringTok"/>
        </w:rPr>
        <w:t xml:space="preserve">"https://raw.githubusercontent.com//mthevenin/stata_graphiques/master/ressources/gridge"</w:t>
      </w:r>
      <w:r>
        <w:br/>
      </w:r>
      <w:r>
        <w:rPr>
          <w:rStyle w:val="NormalTok"/>
        </w:rPr>
        <w:t xml:space="preserve">webuse </w:t>
      </w:r>
      <w:r>
        <w:rPr>
          <w:rStyle w:val="StringTok"/>
        </w:rPr>
        <w:t xml:space="preserve">"probability.dta"</w:t>
      </w:r>
      <w:r>
        <w:rPr>
          <w:rStyle w:val="NormalTok"/>
        </w:rPr>
        <w:t xml:space="preserve">, clear</w:t>
      </w:r>
      <w:r>
        <w:br/>
      </w:r>
      <w:r>
        <w:rPr>
          <w:rStyle w:val="NormalTok"/>
        </w:rPr>
        <w:t xml:space="preserve">webuse set</w:t>
      </w:r>
    </w:p>
    <w:p>
      <w:pPr>
        <w:pStyle w:val="FirstParagraph"/>
      </w:pPr>
      <w:r>
        <w:rPr>
          <w:iCs/>
          <w:i/>
          <w:bCs/>
          <w:b/>
        </w:rPr>
        <w:t xml:space="preserve">Graphique</w:t>
      </w:r>
    </w:p>
    <w:p>
      <w:pPr>
        <w:pStyle w:val="SourceCode"/>
      </w:pPr>
      <w:r>
        <w:rPr>
          <w:rStyle w:val="CommentTok"/>
        </w:rPr>
        <w:t xml:space="preserve">#delimit;</w:t>
      </w:r>
      <w:r>
        <w:br/>
      </w:r>
      <w:r>
        <w:rPr>
          <w:rStyle w:val="NormalTok"/>
        </w:rPr>
        <w:t xml:space="preserve">gridge p , </w:t>
      </w:r>
      <w:r>
        <w:rPr>
          <w:rStyle w:val="FunctionTok"/>
        </w:rPr>
        <w:t xml:space="preserve">over</w:t>
      </w:r>
      <w:r>
        <w:rPr>
          <w:rStyle w:val="NormalTok"/>
        </w:rPr>
        <w:t xml:space="preserve">(proba) </w:t>
      </w:r>
      <w:r>
        <w:br/>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FunctionTok"/>
        </w:rPr>
        <w:t xml:space="preserve">bw</w:t>
      </w:r>
      <w:r>
        <w:rPr>
          <w:rStyle w:val="NormalTok"/>
        </w:rPr>
        <w:t xml:space="preserve">(</w:t>
      </w:r>
      <w:r>
        <w:rPr>
          <w:rStyle w:val="DecValTok"/>
        </w:rPr>
        <w:t xml:space="preserve">2</w:t>
      </w:r>
      <w:r>
        <w:rPr>
          <w:rStyle w:val="NormalTok"/>
        </w:rPr>
        <w:t xml:space="preserve">) </w:t>
      </w:r>
      <w:r>
        <w:br/>
      </w:r>
      <w:r>
        <w:rPr>
          <w:rStyle w:val="FunctionTok"/>
        </w:rPr>
        <w:t xml:space="preserve">palette</w:t>
      </w:r>
      <w:r>
        <w:rPr>
          <w:rStyle w:val="NormalTok"/>
        </w:rPr>
        <w:t xml:space="preserve">(flare) </w:t>
      </w:r>
      <w:r>
        <w:rPr>
          <w:rStyle w:val="FunctionTok"/>
        </w:rPr>
        <w:t xml:space="preserve">op</w:t>
      </w:r>
      <w:r>
        <w:rPr>
          <w:rStyle w:val="NormalTok"/>
        </w:rPr>
        <w:t xml:space="preserve">(</w:t>
      </w:r>
      <w:r>
        <w:rPr>
          <w:rStyle w:val="DecValTok"/>
        </w:rPr>
        <w:t xml:space="preserve">90</w:t>
      </w:r>
      <w:r>
        <w:rPr>
          <w:rStyle w:val="NormalTok"/>
        </w:rPr>
        <w:t xml:space="preserve">)</w:t>
      </w:r>
      <w:r>
        <w:br/>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"Probabilités assignées"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FunctionTok"/>
        </w:rPr>
        <w:t xml:space="preserve">caption</w:t>
      </w:r>
      <w:r>
        <w:rPr>
          <w:rStyle w:val="NormalTok"/>
        </w:rPr>
        <w:t xml:space="preserve">(</w:t>
      </w:r>
      <w:r>
        <w:rPr>
          <w:rStyle w:val="StringTok"/>
        </w:rPr>
        <w:t xml:space="preserve">"Source: Reddit"</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br/>
      </w:r>
      <w:r>
        <w:rPr>
          <w:rStyle w:val="FunctionTok"/>
        </w:rPr>
        <w:t xml:space="preserve">xtitle</w:t>
      </w:r>
      <w:r>
        <w:rPr>
          <w:rStyle w:val="NormalTok"/>
        </w:rPr>
        <w:t xml:space="preserve">(</w:t>
      </w:r>
      <w:r>
        <w:rPr>
          <w:rStyle w:val="StringTok"/>
        </w:rPr>
        <w:t xml:space="preserve">"probabilités (%)"</w:t>
      </w:r>
      <w:r>
        <w:rPr>
          <w:rStyle w:val="NormalTok"/>
        </w:rPr>
        <w:t xml:space="preserve">)) </w:t>
      </w:r>
      <w:r>
        <w:br/>
      </w:r>
      <w:r>
        <w:rPr>
          <w:rStyle w:val="NormalTok"/>
        </w:rPr>
        <w:t xml:space="preserve">;</w:t>
      </w:r>
    </w:p>
    <w:p>
      <w:pPr>
        <w:pStyle w:val="FirstParagraph"/>
      </w:pPr>
      <w:r>
        <w:drawing>
          <wp:inline>
            <wp:extent cx="3733800" cy="2716550"/>
            <wp:effectExtent b="0" l="0" r="0" t="0"/>
            <wp:docPr descr="" title="" id="24" name="Picture"/>
            <a:graphic>
              <a:graphicData uri="http://schemas.openxmlformats.org/drawingml/2006/picture">
                <pic:pic>
                  <pic:nvPicPr>
                    <pic:cNvPr descr="g1.png" id="25" name="Picture"/>
                    <pic:cNvPicPr>
                      <a:picLocks noChangeArrowheads="1" noChangeAspect="1"/>
                    </pic:cNvPicPr>
                  </pic:nvPicPr>
                  <pic:blipFill>
                    <a:blip r:embed="rId23"/>
                    <a:stretch>
                      <a:fillRect/>
                    </a:stretch>
                  </pic:blipFill>
                  <pic:spPr bwMode="auto">
                    <a:xfrm>
                      <a:off x="0" y="0"/>
                      <a:ext cx="3733800" cy="2716550"/>
                    </a:xfrm>
                    <a:prstGeom prst="rect">
                      <a:avLst/>
                    </a:prstGeom>
                    <a:noFill/>
                    <a:ln w="9525">
                      <a:noFill/>
                      <a:headEnd/>
                      <a:tailEnd/>
                    </a:ln>
                  </pic:spPr>
                </pic:pic>
              </a:graphicData>
            </a:graphic>
          </wp:inline>
        </w:drawing>
      </w:r>
    </w:p>
    <w:bookmarkEnd w:id="26"/>
    <w:bookmarkStart w:id="33" w:name="exemple-2"/>
    <w:p>
      <w:pPr>
        <w:pStyle w:val="Heading2"/>
      </w:pPr>
      <w:r>
        <w:t xml:space="preserve">3.2 Exemple 2</w:t>
      </w:r>
    </w:p>
    <w:p>
      <w:pPr>
        <w:pStyle w:val="FirstParagraph"/>
      </w:pPr>
      <w:r>
        <w:t xml:space="preserve">Dans le premier exemple, les modalités de l’axe discret était ordonnée. Avec cet exemple, Le premier graphique représente la série de distributions suivant l’ordre des valeurs par défaut de la variable</w:t>
      </w:r>
      <w:r>
        <w:t xml:space="preserve"> </w:t>
      </w:r>
      <w:r>
        <w:rPr>
          <w:iCs/>
          <w:i/>
        </w:rPr>
        <w:t xml:space="preserve">zône</w:t>
      </w:r>
      <w:r>
        <w:t xml:space="preserve">. Le second graphique avec l’option</w:t>
      </w:r>
      <w:r>
        <w:t xml:space="preserve"> </w:t>
      </w:r>
      <w:r>
        <w:rPr>
          <w:rStyle w:val="VerbatimChar"/>
        </w:rPr>
        <w:t xml:space="preserve">sort(median)</w:t>
      </w:r>
      <w:r>
        <w:t xml:space="preserve"> </w:t>
      </w:r>
      <w:r>
        <w:t xml:space="preserve">trie de manière croissante les secteurs selon la valeur médiane du prix de la location, enfin le troisième applique un tri décroissant avec l’option</w:t>
      </w:r>
      <w:r>
        <w:t xml:space="preserve"> </w:t>
      </w:r>
      <w:r>
        <w:rPr>
          <w:rStyle w:val="VerbatimChar"/>
        </w:rPr>
        <w:t xml:space="preserve">sortrev(median)</w:t>
      </w:r>
      <w:r>
        <w:t xml:space="preserve">.</w:t>
      </w:r>
    </w:p>
    <w:p>
      <w:pPr>
        <w:pStyle w:val="BodyText"/>
      </w:pPr>
      <w:r>
        <w:rPr>
          <w:iCs/>
          <w:i/>
          <w:bCs/>
          <w:b/>
        </w:rPr>
        <w:t xml:space="preserve">Ouverture de la base</w:t>
      </w:r>
    </w:p>
    <w:p>
      <w:pPr>
        <w:pStyle w:val="SourceCode"/>
      </w:pPr>
      <w:r>
        <w:rPr>
          <w:rStyle w:val="NormalTok"/>
        </w:rPr>
        <w:t xml:space="preserve">webuse set https</w:t>
      </w:r>
      <w:r>
        <w:rPr>
          <w:rStyle w:val="SpecialCharTok"/>
        </w:rPr>
        <w:t xml:space="preserve">:</w:t>
      </w:r>
      <w:r>
        <w:rPr>
          <w:rStyle w:val="ErrorTok"/>
        </w:rPr>
        <w:t xml:space="preserve">//</w:t>
      </w:r>
      <w:r>
        <w:rPr>
          <w:rStyle w:val="NormalTok"/>
        </w:rPr>
        <w:t xml:space="preserve">github.com</w:t>
      </w:r>
      <w:r>
        <w:rPr>
          <w:rStyle w:val="SpecialCharTok"/>
        </w:rPr>
        <w:t xml:space="preserve">/</w:t>
      </w:r>
      <w:r>
        <w:rPr>
          <w:rStyle w:val="NormalTok"/>
        </w:rPr>
        <w:t xml:space="preserve">mthevenin</w:t>
      </w:r>
      <w:r>
        <w:rPr>
          <w:rStyle w:val="SpecialCharTok"/>
        </w:rPr>
        <w:t xml:space="preserve">/</w:t>
      </w:r>
      <w:r>
        <w:rPr>
          <w:rStyle w:val="NormalTok"/>
        </w:rPr>
        <w:t xml:space="preserve">stata_graphiques</w:t>
      </w:r>
      <w:r>
        <w:rPr>
          <w:rStyle w:val="SpecialCharTok"/>
        </w:rPr>
        <w:t xml:space="preserve">/</w:t>
      </w:r>
      <w:r>
        <w:rPr>
          <w:rStyle w:val="NormalTok"/>
        </w:rPr>
        <w:t xml:space="preserve">tree</w:t>
      </w:r>
      <w:r>
        <w:rPr>
          <w:rStyle w:val="SpecialCharTok"/>
        </w:rPr>
        <w:t xml:space="preserve">/</w:t>
      </w:r>
      <w:r>
        <w:rPr>
          <w:rStyle w:val="NormalTok"/>
        </w:rPr>
        <w:t xml:space="preserve">main</w:t>
      </w:r>
      <w:r>
        <w:rPr>
          <w:rStyle w:val="SpecialCharTok"/>
        </w:rPr>
        <w:t xml:space="preserve">/</w:t>
      </w:r>
      <w:r>
        <w:rPr>
          <w:rStyle w:val="NormalTok"/>
        </w:rPr>
        <w:t xml:space="preserve">bases</w:t>
      </w:r>
      <w:r>
        <w:br/>
      </w:r>
      <w:r>
        <w:rPr>
          <w:rStyle w:val="NormalTok"/>
        </w:rPr>
        <w:t xml:space="preserve">use rbnb_paris, replace</w:t>
      </w:r>
      <w:r>
        <w:br/>
      </w:r>
      <w:r>
        <w:rPr>
          <w:rStyle w:val="NormalTok"/>
        </w:rPr>
        <w:t xml:space="preserve">webuse set</w:t>
      </w:r>
    </w:p>
    <w:p>
      <w:pPr>
        <w:pStyle w:val="FirstParagraph"/>
      </w:pPr>
      <w:r>
        <w:rPr>
          <w:iCs/>
          <w:i/>
          <w:bCs/>
          <w:b/>
        </w:rPr>
        <w:t xml:space="preserve">Graphique 1</w:t>
      </w:r>
    </w:p>
    <w:p>
      <w:pPr>
        <w:pStyle w:val="SourceCode"/>
      </w:pPr>
      <w:r>
        <w:rPr>
          <w:rStyle w:val="NormalTok"/>
        </w:rPr>
        <w:t xml:space="preserve">gridge price </w:t>
      </w:r>
      <w:r>
        <w:rPr>
          <w:rStyle w:val="ControlFlowTok"/>
        </w:rPr>
        <w:t xml:space="preserve">if</w:t>
      </w:r>
      <w:r>
        <w:rPr>
          <w:rStyle w:val="NormalTok"/>
        </w:rPr>
        <w:t xml:space="preserve"> price</w:t>
      </w:r>
      <w:r>
        <w:rPr>
          <w:rStyle w:val="SpecialCharTok"/>
        </w:rPr>
        <w:t xml:space="preserve">&lt;=</w:t>
      </w:r>
      <w:r>
        <w:rPr>
          <w:rStyle w:val="DecValTok"/>
        </w:rPr>
        <w:t xml:space="preserve">300</w:t>
      </w:r>
      <w:r>
        <w:rPr>
          <w:rStyle w:val="NormalTok"/>
        </w:rPr>
        <w:t xml:space="preserve">, </w:t>
      </w:r>
      <w:r>
        <w:rPr>
          <w:rStyle w:val="FunctionTok"/>
        </w:rPr>
        <w:t xml:space="preserve">over</w:t>
      </w:r>
      <w:r>
        <w:rPr>
          <w:rStyle w:val="NormalTok"/>
        </w:rPr>
        <w:t xml:space="preserve">(zone)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w:t>
      </w:r>
    </w:p>
    <w:p>
      <w:pPr>
        <w:pStyle w:val="FirstParagraph"/>
      </w:pPr>
      <w:r>
        <w:rPr>
          <w:iCs/>
          <w:i/>
          <w:bCs/>
          <w:b/>
        </w:rPr>
        <w:t xml:space="preserve">Graphique 2</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w:t>
      </w:r>
      <w:r>
        <w:rPr>
          <w:rStyle w:val="NormalTok"/>
        </w:rPr>
        <w:t xml:space="preserve">(mean)</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FunctionTok"/>
        </w:rPr>
        <w:t xml:space="preserve">op</w:t>
      </w:r>
      <w:r>
        <w:rPr>
          <w:rStyle w:val="NormalTok"/>
        </w:rPr>
        <w:t xml:space="preserve">(</w:t>
      </w:r>
      <w:r>
        <w:rPr>
          <w:rStyle w:val="DecValTok"/>
        </w:rPr>
        <w:t xml:space="preserve">100</w:t>
      </w:r>
      <w:r>
        <w:rPr>
          <w:rStyle w:val="NormalTok"/>
        </w:rPr>
        <w:t xml:space="preserve">)</w:t>
      </w:r>
      <w:r>
        <w:br/>
      </w:r>
      <w:r>
        <w:rPr>
          <w:rStyle w:val="NormalTok"/>
        </w:rPr>
        <w:t xml:space="preserve">;</w:t>
      </w:r>
    </w:p>
    <w:p>
      <w:pPr>
        <w:pStyle w:val="FirstParagraph"/>
      </w:pPr>
      <w:r>
        <w:drawing>
          <wp:inline>
            <wp:extent cx="3733800" cy="2716935"/>
            <wp:effectExtent b="0" l="0" r="0" t="0"/>
            <wp:docPr descr="" title="" id="28" name="Picture"/>
            <a:graphic>
              <a:graphicData uri="http://schemas.openxmlformats.org/drawingml/2006/picture">
                <pic:pic>
                  <pic:nvPicPr>
                    <pic:cNvPr descr="g2.png" id="29" name="Picture"/>
                    <pic:cNvPicPr>
                      <a:picLocks noChangeArrowheads="1" noChangeAspect="1"/>
                    </pic:cNvPicPr>
                  </pic:nvPicPr>
                  <pic:blipFill>
                    <a:blip r:embed="rId27"/>
                    <a:stretch>
                      <a:fillRect/>
                    </a:stretch>
                  </pic:blipFill>
                  <pic:spPr bwMode="auto">
                    <a:xfrm>
                      <a:off x="0" y="0"/>
                      <a:ext cx="3733800" cy="2716935"/>
                    </a:xfrm>
                    <a:prstGeom prst="rect">
                      <a:avLst/>
                    </a:prstGeom>
                    <a:noFill/>
                    <a:ln w="9525">
                      <a:noFill/>
                      <a:headEnd/>
                      <a:tailEnd/>
                    </a:ln>
                  </pic:spPr>
                </pic:pic>
              </a:graphicData>
            </a:graphic>
          </wp:inline>
        </w:drawing>
      </w:r>
    </w:p>
    <w:p>
      <w:pPr>
        <w:pStyle w:val="BodyText"/>
      </w:pPr>
      <w:r>
        <w:rPr>
          <w:iCs/>
          <w:i/>
          <w:bCs/>
          <w:b/>
        </w:rPr>
        <w:t xml:space="preserve">Graphique 3</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sortrev</w:t>
      </w:r>
      <w:r>
        <w:rPr>
          <w:rStyle w:val="NormalTok"/>
        </w:rPr>
        <w:t xml:space="preserve">(mean) colrev</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NormalTok"/>
        </w:rPr>
        <w:t xml:space="preserve">;</w:t>
      </w:r>
    </w:p>
    <w:p>
      <w:pPr>
        <w:pStyle w:val="FirstParagraph"/>
      </w:pPr>
      <w:r>
        <w:drawing>
          <wp:inline>
            <wp:extent cx="3733800" cy="2716935"/>
            <wp:effectExtent b="0" l="0" r="0" t="0"/>
            <wp:docPr descr="" title="" id="31" name="Picture"/>
            <a:graphic>
              <a:graphicData uri="http://schemas.openxmlformats.org/drawingml/2006/picture">
                <pic:pic>
                  <pic:nvPicPr>
                    <pic:cNvPr descr="g3.png" id="32" name="Picture"/>
                    <pic:cNvPicPr>
                      <a:picLocks noChangeArrowheads="1" noChangeAspect="1"/>
                    </pic:cNvPicPr>
                  </pic:nvPicPr>
                  <pic:blipFill>
                    <a:blip r:embed="rId30"/>
                    <a:stretch>
                      <a:fillRect/>
                    </a:stretch>
                  </pic:blipFill>
                  <pic:spPr bwMode="auto">
                    <a:xfrm>
                      <a:off x="0" y="0"/>
                      <a:ext cx="3733800" cy="2716935"/>
                    </a:xfrm>
                    <a:prstGeom prst="rect">
                      <a:avLst/>
                    </a:prstGeom>
                    <a:noFill/>
                    <a:ln w="9525">
                      <a:noFill/>
                      <a:headEnd/>
                      <a:tailEnd/>
                    </a:ln>
                  </pic:spPr>
                </pic:pic>
              </a:graphicData>
            </a:graphic>
          </wp:inline>
        </w:drawing>
      </w:r>
    </w:p>
    <w:bookmarkEnd w:id="33"/>
    <w:bookmarkEnd w:id="34"/>
    <w:bookmarkStart w:id="35" w:name="Xba862d96b4e9c8011b6662ea61c2cad44fb8153"/>
    <w:p>
      <w:pPr>
        <w:pStyle w:val="Heading1"/>
      </w:pPr>
      <w:r>
        <w:t xml:space="preserve">4. Nombre d’observations insuffisantes pour estimer les densités</w:t>
      </w:r>
    </w:p>
    <w:p>
      <w:pPr>
        <w:pStyle w:val="FirstParagraph"/>
      </w:pPr>
      <w:r>
        <w:t xml:space="preserve">Le seuil à été fixé à 10 observations. Si ce n’est pas le cas, le graphique n’est pas exécuté mais les informations sur les valeurs de y qui manquent d’informations sont indiquées</w:t>
      </w:r>
    </w:p>
    <w:p>
      <w:pPr>
        <w:pStyle w:val="SourceCode"/>
      </w:pPr>
      <w:r>
        <w:rPr>
          <w:rStyle w:val="NormalTok"/>
        </w:rPr>
        <w:t xml:space="preserve">webuse nhanes2, clear</w:t>
      </w:r>
      <w:r>
        <w:br/>
      </w:r>
      <w:r>
        <w:br/>
      </w:r>
      <w:r>
        <w:rPr>
          <w:rStyle w:val="NormalTok"/>
        </w:rPr>
        <w:t xml:space="preserve">gen bmi2 </w:t>
      </w:r>
      <w:r>
        <w:rPr>
          <w:rStyle w:val="OtherTok"/>
        </w:rPr>
        <w:t xml:space="preserve">=</w:t>
      </w:r>
      <w:r>
        <w:rPr>
          <w:rStyle w:val="NormalTok"/>
        </w:rPr>
        <w:t xml:space="preserve"> </w:t>
      </w:r>
      <w:r>
        <w:rPr>
          <w:rStyle w:val="FunctionTok"/>
        </w:rPr>
        <w:t xml:space="preserve">round</w:t>
      </w:r>
      <w:r>
        <w:rPr>
          <w:rStyle w:val="NormalTok"/>
        </w:rPr>
        <w:t xml:space="preserve">(bmi)</w:t>
      </w:r>
      <w:r>
        <w:br/>
      </w:r>
      <w:r>
        <w:rPr>
          <w:rStyle w:val="NormalTok"/>
        </w:rPr>
        <w:t xml:space="preserve">gridge bpsystol, </w:t>
      </w:r>
      <w:r>
        <w:rPr>
          <w:rStyle w:val="FunctionTok"/>
        </w:rPr>
        <w:t xml:space="preserve">over</w:t>
      </w:r>
      <w:r>
        <w:rPr>
          <w:rStyle w:val="NormalTok"/>
        </w:rPr>
        <w:t xml:space="preserve">(bmi2)</w:t>
      </w:r>
      <w:r>
        <w:br/>
      </w:r>
      <w:r>
        <w:br/>
      </w:r>
      <w:r>
        <w:rPr>
          <w:rStyle w:val="SpecialCharTok"/>
        </w:rPr>
        <w:t xml:space="preserve">/</w:t>
      </w:r>
      <w:r>
        <w:rPr>
          <w:rStyle w:val="ErrorTok"/>
        </w:rPr>
        <w:t xml:space="preserve">*</w:t>
      </w:r>
      <w:r>
        <w:br/>
      </w:r>
      <w:r>
        <w:rPr>
          <w:rStyle w:val="NormalTok"/>
        </w:rPr>
        <w:t xml:space="preserve">bmi2</w:t>
      </w:r>
      <w:r>
        <w:rPr>
          <w:rStyle w:val="OtherTok"/>
        </w:rPr>
        <w:t xml:space="preserve">=</w:t>
      </w:r>
      <w:r>
        <w:rPr>
          <w:rStyle w:val="DecValTok"/>
        </w:rPr>
        <w:t xml:space="preserve">12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bmi2=14: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15</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bmi2=46: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bmi2=48: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49</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bmi2=51: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bmi2=53: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54</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bmi2=55: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bmi2=61: nombre d'</w:t>
      </w:r>
      <w:r>
        <w:rPr>
          <w:rStyle w:val="NormalTok"/>
        </w:rPr>
        <w:t xml:space="preserve">observations insuffisant pour estimer les densités</w:t>
      </w:r>
      <w:r>
        <w:br/>
      </w:r>
      <w:r>
        <w:rPr>
          <w:rStyle w:val="NormalTok"/>
        </w:rPr>
        <w:t xml:space="preserve"> Exit</w:t>
      </w:r>
      <w:r>
        <w:rPr>
          <w:rStyle w:val="SpecialCharTok"/>
        </w:rPr>
        <w:t xml:space="preserve">:</w:t>
      </w:r>
      <w:r>
        <w:rPr>
          <w:rStyle w:val="NormalTok"/>
        </w:rPr>
        <w:t xml:space="preserve"> nombre d</w:t>
      </w:r>
      <w:r>
        <w:rPr>
          <w:rStyle w:val="StringTok"/>
        </w:rPr>
        <w:t xml:space="preserve">'observations minimum = 10</w:t>
      </w:r>
      <w:r>
        <w:br/>
      </w:r>
      <w:r>
        <w:rPr>
          <w:rStyle w:val="StringTok"/>
        </w:rPr>
        <w:t xml:space="preserve"> */</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1" Target="https://www.ined.fr/fichier/rte/166/Page%20accueil/SDR_plot_all_countries_fr.jpg" TargetMode="External" /></Relationships>
</file>

<file path=word/_rels/footnotes.xml.rels><?xml version="1.0" encoding="UTF-8"?><Relationships xmlns="http://schemas.openxmlformats.org/package/2006/relationships"><Relationship Type="http://schemas.openxmlformats.org/officeDocument/2006/relationships/hyperlink" Id="rId21" Target="https://www.ined.fr/fichier/rte/166/Page%20accueil/SDR_plot_all_countries_fr.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Visualisation des densités avec gridge</dc:title>
  <dc:creator>Marc Thévenin</dc:creator>
  <dc:language>fr</dc:language>
  <cp:keywords/>
  <dcterms:created xsi:type="dcterms:W3CDTF">2024-05-07T12:56:28Z</dcterms:created>
  <dcterms:modified xsi:type="dcterms:W3CDTF">2024-05-07T12:56:28Z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Depuis 2020, des programmes permettent de générer de type lignes de crête: joyplot (A.Naqvi) et joy_plot (F.Rios-Avila). A partir d’un programme écrit à l’automne 2020, et en restant au plus près de la fonction ggridge de R, j’ai également (et modestement) programmé une commande.</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