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2.png" ContentType="image/png"/>
  <Override PartName="/word/media/rId25.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Types</w:t>
      </w:r>
      <w:r>
        <w:t xml:space="preserve"> </w:t>
      </w:r>
      <w:r>
        <w:t xml:space="preserve">et</w:t>
      </w:r>
      <w:r>
        <w:t xml:space="preserve"> </w:t>
      </w:r>
      <w:r>
        <w:t xml:space="preserve">syntaxe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types-de-graphique"/>
    <w:p>
      <w:pPr>
        <w:pStyle w:val="Heading1"/>
      </w:pPr>
      <w:r>
        <w:t xml:space="preserve">1. </w:t>
      </w:r>
      <w:r>
        <w:rPr>
          <w:bCs/>
          <w:b/>
        </w:rPr>
        <w:t xml:space="preserve">Types de graphique</w:t>
      </w:r>
    </w:p>
    <w:p>
      <w:pPr>
        <w:pStyle w:val="FirstParagraph"/>
      </w:pPr>
      <w:r>
        <w:t xml:space="preserve">On peut identifier deux types de graphiques avec Stata.</w:t>
      </w:r>
    </w:p>
    <w:bookmarkStart w:id="20" w:name="oneway-et-twoway"/>
    <w:p>
      <w:pPr>
        <w:pStyle w:val="Heading2"/>
      </w:pPr>
      <w:r>
        <w:t xml:space="preserve">1.1 Oneway et twoway</w:t>
      </w:r>
    </w:p>
    <w:p>
      <w:pPr>
        <w:numPr>
          <w:ilvl w:val="0"/>
          <w:numId w:val="1001"/>
        </w:numPr>
        <w:pStyle w:val="Compact"/>
      </w:pPr>
      <w:r>
        <w:t xml:space="preserve">Les</w:t>
      </w:r>
      <w:r>
        <w:t xml:space="preserve"> </w:t>
      </w:r>
      <w:r>
        <w:rPr>
          <w:iCs/>
          <w:i/>
          <w:bCs/>
          <w:b/>
        </w:rPr>
        <w:t xml:space="preserve">graphiques de type one-way</w:t>
      </w:r>
      <w:r>
        <w:t xml:space="preserve"> </w:t>
      </w:r>
      <w:r>
        <w:t xml:space="preserve">: coordonnées sur un seul axe avec ou non, un axe discret. Ils peuvent être préfixés ou non par</w:t>
      </w:r>
      <w:r>
        <w:t xml:space="preserve"> </w:t>
      </w:r>
      <w:r>
        <w:rPr>
          <w:rStyle w:val="VerbatimChar"/>
        </w:rPr>
        <w:t xml:space="preserve">graph</w:t>
      </w:r>
      <w:r>
        <w:t xml:space="preserve">:</w:t>
      </w:r>
      <w:r>
        <w:t xml:space="preserve"> </w:t>
      </w:r>
      <w:r>
        <w:rPr>
          <w:rStyle w:val="VerbatimChar"/>
          <w:bCs/>
          <w:b/>
        </w:rPr>
        <w:t xml:space="preserve">graph box</w:t>
      </w:r>
      <w:r>
        <w:t xml:space="preserve">,</w:t>
      </w:r>
      <w:r>
        <w:t xml:space="preserve"> </w:t>
      </w:r>
      <w:r>
        <w:rPr>
          <w:rStyle w:val="VerbatimChar"/>
          <w:bCs/>
          <w:b/>
        </w:rPr>
        <w:t xml:space="preserve">graph bar</w:t>
      </w:r>
      <w:r>
        <w:t xml:space="preserve">,</w:t>
      </w:r>
      <w:r>
        <w:t xml:space="preserve"> </w:t>
      </w:r>
      <w:r>
        <w:rPr>
          <w:rStyle w:val="VerbatimChar"/>
          <w:bCs/>
          <w:b/>
        </w:rPr>
        <w:t xml:space="preserve">histogram</w:t>
      </w:r>
      <w:r>
        <w:t xml:space="preserve"> </w:t>
      </w:r>
      <w:r>
        <w:t xml:space="preserve">…..</w:t>
      </w:r>
      <w:r>
        <w:br/>
      </w:r>
    </w:p>
    <w:p>
      <w:pPr>
        <w:numPr>
          <w:ilvl w:val="0"/>
          <w:numId w:val="1001"/>
        </w:numPr>
        <w:pStyle w:val="Compact"/>
      </w:pPr>
      <w:r>
        <w:t xml:space="preserve">Les</w:t>
      </w:r>
      <w:r>
        <w:t xml:space="preserve"> </w:t>
      </w:r>
      <w:r>
        <w:rPr>
          <w:iCs/>
          <w:i/>
          <w:bCs/>
          <w:b/>
        </w:rPr>
        <w:t xml:space="preserve">graphiques de type two-way</w:t>
      </w:r>
      <w:r>
        <w:t xml:space="preserve"> </w:t>
      </w:r>
      <w:r>
        <w:t xml:space="preserve">: coordonnées sur deux axes, optionnellement selon le type de graphique un troisième axe peut être renseigné. Ils sont préfixés ou non par</w:t>
      </w:r>
      <w:r>
        <w:t xml:space="preserve"> </w:t>
      </w:r>
      <w:r>
        <w:rPr>
          <w:rStyle w:val="VerbatimChar"/>
        </w:rPr>
        <w:t xml:space="preserve">tw</w:t>
      </w:r>
      <w:r>
        <w:t xml:space="preserve"> </w:t>
      </w:r>
      <w:r>
        <w:t xml:space="preserve">(twoway) :</w:t>
      </w:r>
      <w:r>
        <w:t xml:space="preserve"> </w:t>
      </w:r>
      <w:r>
        <w:rPr>
          <w:rStyle w:val="VerbatimChar"/>
        </w:rPr>
        <w:t xml:space="preserve">tw scatter</w:t>
      </w:r>
      <w:r>
        <w:t xml:space="preserve">,</w:t>
      </w:r>
      <w:r>
        <w:t xml:space="preserve"> </w:t>
      </w:r>
      <w:r>
        <w:rPr>
          <w:rStyle w:val="VerbatimChar"/>
        </w:rPr>
        <w:t xml:space="preserve">tw line</w:t>
      </w:r>
      <w:r>
        <w:t xml:space="preserve">, …</w:t>
      </w:r>
    </w:p>
    <w:p>
      <w:pPr>
        <w:pStyle w:val="FirstParagraph"/>
      </w:pPr>
      <w:r>
        <w:t xml:space="preserve">Certains types de graphiques sont de type oneway ou twoway. C’est le cas des histogrammes avec une commande</w:t>
      </w:r>
      <w:r>
        <w:t xml:space="preserve"> </w:t>
      </w:r>
      <w:r>
        <w:rPr>
          <w:rStyle w:val="VerbatimChar"/>
        </w:rPr>
        <w:t xml:space="preserve">histogram</w:t>
      </w:r>
      <w:r>
        <w:t xml:space="preserve"> </w:t>
      </w:r>
      <w:r>
        <w:t xml:space="preserve">et une commande</w:t>
      </w:r>
      <w:r>
        <w:t xml:space="preserve"> </w:t>
      </w:r>
      <w:r>
        <w:rPr>
          <w:rStyle w:val="VerbatimChar"/>
        </w:rPr>
        <w:t xml:space="preserve">tw histogram</w:t>
      </w:r>
      <w:r>
        <w:t xml:space="preserve">.</w:t>
      </w:r>
      <w:r>
        <w:br/>
      </w:r>
      <w:r>
        <w:t xml:space="preserve"> </w:t>
      </w:r>
      <w:r>
        <w:t xml:space="preserve">Les coordonnées sont généralement renseignées par des noms de variables. Pour certaines commandes graphiques, les valeurs sont directement renseignées:</w:t>
      </w:r>
      <w:r>
        <w:t xml:space="preserve"> </w:t>
      </w:r>
      <w:r>
        <w:rPr>
          <w:rStyle w:val="VerbatimChar"/>
        </w:rPr>
        <w:t xml:space="preserve">tw scatteri</w:t>
      </w:r>
      <w:r>
        <w:t xml:space="preserve"> </w:t>
      </w:r>
      <w:r>
        <w:t xml:space="preserve">pour un nuage ou</w:t>
      </w:r>
      <w:r>
        <w:t xml:space="preserve"> </w:t>
      </w:r>
      <w:r>
        <w:rPr>
          <w:rStyle w:val="VerbatimChar"/>
        </w:rPr>
        <w:t xml:space="preserve">tw pci</w:t>
      </w:r>
      <w:r>
        <w:t xml:space="preserve"> </w:t>
      </w:r>
      <w:r>
        <w:t xml:space="preserve">pour des segments [ici 4 coordonnées : (ymin, xmin) et (ymax, xmax)].</w:t>
      </w:r>
      <w:r>
        <w:br/>
      </w:r>
      <w:r>
        <w:t xml:space="preserve">Un graphique peut être aussi généré par une fonction :</w:t>
      </w:r>
      <w:r>
        <w:t xml:space="preserve"> </w:t>
      </w:r>
      <w:r>
        <w:rPr>
          <w:rStyle w:val="VerbatimChar"/>
        </w:rPr>
        <w:t xml:space="preserve">tw function y = f(x)</w:t>
      </w:r>
      <w:r>
        <w:t xml:space="preserve">.</w:t>
      </w:r>
    </w:p>
    <w:p>
      <w:pPr>
        <w:pStyle w:val="BodyText"/>
      </w:pPr>
      <w:r>
        <w:t xml:space="preserve">On peut obtenir la liste et aides des commandes graphiques officielles avec</w:t>
      </w:r>
      <w:r>
        <w:t xml:space="preserve"> </w:t>
      </w:r>
      <w:r>
        <w:rPr>
          <w:rStyle w:val="VerbatimChar"/>
          <w:bCs/>
          <w:b/>
        </w:rPr>
        <w:t xml:space="preserve">help graph</w:t>
      </w:r>
      <w:r>
        <w:t xml:space="preserve">.</w:t>
      </w:r>
    </w:p>
    <w:bookmarkEnd w:id="20"/>
    <w:bookmarkStart w:id="21" w:name="choix-du-délimiteur"/>
    <w:p>
      <w:pPr>
        <w:pStyle w:val="Heading2"/>
      </w:pPr>
      <w:r>
        <w:t xml:space="preserve">1.2</w:t>
      </w:r>
      <w:r>
        <w:t xml:space="preserve"> </w:t>
      </w:r>
      <w:r>
        <w:rPr>
          <w:bCs/>
          <w:b/>
        </w:rPr>
        <w:t xml:space="preserve">Choix du délimiteur</w:t>
      </w:r>
    </w:p>
    <w:p>
      <w:pPr>
        <w:pStyle w:val="FirstParagraph"/>
      </w:pPr>
      <w:r>
        <w:t xml:space="preserve">Un graphique peut devenir assez gourmand en options. Par défaut avec Stata l’exécution est faite ligne par ligne avec l’option par défaut</w:t>
      </w:r>
      <w:r>
        <w:t xml:space="preserve"> </w:t>
      </w:r>
      <w:r>
        <w:rPr>
          <w:rStyle w:val="VerbatimChar"/>
        </w:rPr>
        <w:t xml:space="preserve">#delimit cr</w:t>
      </w:r>
      <w:r>
        <w:t xml:space="preserve">. Pour exécuter une commande sur plusieurs lignes, il est d’usage d’utiliser un triple slash</w:t>
      </w:r>
      <w:r>
        <w:t xml:space="preserve"> </w:t>
      </w:r>
      <w:r>
        <w:rPr>
          <w:rStyle w:val="VerbatimChar"/>
          <w:bCs/>
          <w:b/>
        </w:rPr>
        <w:t xml:space="preserve">///</w:t>
      </w:r>
      <w:r>
        <w:t xml:space="preserve">. Pour les graphiques, cette option manque de souplesse et peut provoquer des messages d’erreur lorsque</w:t>
      </w:r>
      <w:r>
        <w:t xml:space="preserve"> </w:t>
      </w:r>
      <w:r>
        <w:rPr>
          <w:rStyle w:val="VerbatimChar"/>
          <w:bCs/>
          <w:b/>
        </w:rPr>
        <w:t xml:space="preserve">///</w:t>
      </w:r>
      <w:r>
        <w:t xml:space="preserve"> </w:t>
      </w:r>
      <w:r>
        <w:t xml:space="preserve">est attaché par inadvertance au dernier caractère d’une ligne.</w:t>
      </w:r>
      <w:r>
        <w:br/>
      </w:r>
      <w:r>
        <w:t xml:space="preserve">Lorsque le nombre de lignes devient assez conséquent, il est préférable d’utiliser</w:t>
      </w:r>
      <w:r>
        <w:t xml:space="preserve"> </w:t>
      </w:r>
      <w:r>
        <w:rPr>
          <w:rStyle w:val="VerbatimChar"/>
          <w:bCs/>
          <w:b/>
        </w:rPr>
        <w:t xml:space="preserve">;</w:t>
      </w:r>
      <w:r>
        <w:t xml:space="preserve"> </w:t>
      </w:r>
      <w:r>
        <w:t xml:space="preserve">comme délimiteur. Le changement de délimiteur se fait avec</w:t>
      </w:r>
      <w:r>
        <w:t xml:space="preserve"> </w:t>
      </w:r>
      <w:r>
        <w:rPr>
          <w:rStyle w:val="VerbatimChar"/>
          <w:bCs/>
          <w:b/>
        </w:rPr>
        <w:t xml:space="preserve">#delimit ;</w:t>
      </w:r>
      <w:r>
        <w:t xml:space="preserve"> </w:t>
      </w:r>
      <w:r>
        <w:t xml:space="preserve">et on indique la fin de l’exécution avec</w:t>
      </w:r>
      <w:r>
        <w:t xml:space="preserve"> </w:t>
      </w:r>
      <w:r>
        <w:rPr>
          <w:rStyle w:val="VerbatimChar"/>
        </w:rPr>
        <w:t xml:space="preserve">;</w:t>
      </w:r>
      <w:r>
        <w:t xml:space="preserve">. On retourne au délimiteur par défaut avec</w:t>
      </w:r>
      <w:r>
        <w:t xml:space="preserve"> </w:t>
      </w:r>
      <w:r>
        <w:rPr>
          <w:rStyle w:val="VerbatimChar"/>
          <w:bCs/>
          <w:b/>
        </w:rPr>
        <w:t xml:space="preserve">#delimit cr</w:t>
      </w:r>
      <w:r>
        <w:t xml:space="preserve">.</w:t>
      </w:r>
    </w:p>
    <w:p>
      <w:pPr>
        <w:pStyle w:val="SourceCode"/>
      </w:pP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w:t>
      </w:r>
      <w:r>
        <w:rPr>
          <w:rStyle w:val="FunctionTok"/>
        </w:rPr>
        <w:t xml:space="preserve">y</w:t>
      </w:r>
      <w:r>
        <w:rPr>
          <w:rStyle w:val="NormalTok"/>
        </w:rPr>
        <w:t xml:space="preserve"> x,</w:t>
      </w:r>
      <w:r>
        <w:br/>
      </w:r>
      <w:r>
        <w:rPr>
          <w:rStyle w:val="NormalTok"/>
        </w:rPr>
        <w:t xml:space="preserve">[option1]</w:t>
      </w:r>
      <w:r>
        <w:br/>
      </w:r>
      <w:r>
        <w:rPr>
          <w:rStyle w:val="NormalTok"/>
        </w:rPr>
        <w:t xml:space="preserve">[option2]</w:t>
      </w:r>
      <w:r>
        <w:br/>
      </w:r>
      <w:r>
        <w:rPr>
          <w:rStyle w:val="NormalTok"/>
        </w:rPr>
        <w:t xml:space="preserve">[option3]</w:t>
      </w:r>
      <w:r>
        <w:br/>
      </w:r>
      <w:r>
        <w:rPr>
          <w:rStyle w:val="NormalTok"/>
        </w:rPr>
        <w:t xml:space="preserve">.</w:t>
      </w:r>
      <w:r>
        <w:br/>
      </w:r>
      <w:r>
        <w:rPr>
          <w:rStyle w:val="NormalTok"/>
        </w:rPr>
        <w:t xml:space="preserve">.</w:t>
      </w:r>
      <w:r>
        <w:br/>
      </w:r>
      <w:r>
        <w:rPr>
          <w:rStyle w:val="NormalTok"/>
        </w:rPr>
        <w:t xml:space="preserve">[option n]</w:t>
      </w:r>
      <w:r>
        <w:br/>
      </w:r>
      <w:r>
        <w:rPr>
          <w:rStyle w:val="NormalTok"/>
        </w:rPr>
        <w:t xml:space="preserve">;</w:t>
      </w:r>
      <w:r>
        <w:br/>
      </w:r>
      <w:r>
        <w:br/>
      </w:r>
      <w:r>
        <w:rPr>
          <w:rStyle w:val="NormalTok"/>
        </w:rPr>
        <w:t xml:space="preserve">#delimit </w:t>
      </w:r>
      <w:r>
        <w:rPr>
          <w:rStyle w:val="KeywordTok"/>
        </w:rPr>
        <w:t xml:space="preserve">cr</w:t>
      </w:r>
      <w:r>
        <w:br/>
      </w:r>
      <w:r>
        <w:rPr>
          <w:rStyle w:val="NormalTok"/>
        </w:rPr>
        <w:t xml:space="preserve">* Suite du programm</w:t>
      </w:r>
    </w:p>
    <w:bookmarkEnd w:id="21"/>
    <w:bookmarkStart w:id="41" w:name="eléments-de-syntaxe"/>
    <w:p>
      <w:pPr>
        <w:pStyle w:val="Heading2"/>
      </w:pPr>
      <w:r>
        <w:t xml:space="preserve">1.3</w:t>
      </w:r>
      <w:r>
        <w:t xml:space="preserve"> </w:t>
      </w:r>
      <w:r>
        <w:rPr>
          <w:bCs/>
          <w:b/>
        </w:rPr>
        <w:t xml:space="preserve">Eléments de syntaxe</w:t>
      </w:r>
    </w:p>
    <w:p>
      <w:pPr>
        <w:pStyle w:val="FirstParagraph"/>
      </w:pPr>
      <w:r>
        <w:t xml:space="preserve">Pour des raisons de vocabulaire, nous allons utiliser le terme de géométrie utilisée par l’incontournable librairie</w:t>
      </w:r>
      <w:r>
        <w:t xml:space="preserve"> </w:t>
      </w:r>
      <w:r>
        <w:rPr>
          <w:bCs/>
          <w:b/>
        </w:rPr>
        <w:t xml:space="preserve">ggplot2</w:t>
      </w:r>
      <w:r>
        <w:t xml:space="preserve"> </w:t>
      </w:r>
      <w:r>
        <w:t xml:space="preserve">de</w:t>
      </w:r>
      <w:r>
        <w:t xml:space="preserve"> </w:t>
      </w:r>
      <w:r>
        <w:rPr>
          <w:bCs/>
          <w:b/>
        </w:rPr>
        <w:t xml:space="preserve">R</w:t>
      </w:r>
      <w:r>
        <w:t xml:space="preserve"> </w:t>
      </w:r>
      <w:r>
        <w:t xml:space="preserve">pour identifier un type de graphique comme scatter, line…. Mais pas seulement. en fin de document je traite de l’utilisation de la librairie</w:t>
      </w:r>
      <w:r>
        <w:t xml:space="preserve"> </w:t>
      </w:r>
      <w:r>
        <w:rPr>
          <w:bCs/>
          <w:b/>
        </w:rPr>
        <w:t xml:space="preserve">Python</w:t>
      </w:r>
      <w:r>
        <w:t xml:space="preserve"> </w:t>
      </w:r>
      <w:r>
        <w:rPr>
          <w:rStyle w:val="VerbatimChar"/>
          <w:bCs/>
          <w:b/>
        </w:rPr>
        <w:t xml:space="preserve">plotnine</w:t>
      </w:r>
      <w:r>
        <w:t xml:space="preserve">, qui est un wrapper relativement complet de ggplot2, directement exécutable dans un éditeur .do ou .ado. depuis la version 16 de Stata.</w:t>
      </w:r>
      <w:r>
        <w:br/>
      </w:r>
      <w:r>
        <w:t xml:space="preserve">En première approche, la syntaxe d’un graphique avec Stata est particulièrement simple :</w:t>
      </w:r>
    </w:p>
    <w:p>
      <w:pPr>
        <w:pStyle w:val="SourceCode"/>
      </w:pPr>
      <w:r>
        <w:rPr>
          <w:rStyle w:val="NormalTok"/>
        </w:rPr>
        <w:t xml:space="preserve">[tw</w:t>
      </w:r>
      <w:r>
        <w:rPr>
          <w:rStyle w:val="SpecialCharTok"/>
        </w:rPr>
        <w:t xml:space="preserve">/</w:t>
      </w:r>
      <w:r>
        <w:rPr>
          <w:rStyle w:val="NormalTok"/>
        </w:rPr>
        <w:t xml:space="preserve">graph] type_géométrie coordonnées [</w:t>
      </w:r>
      <w:r>
        <w:rPr>
          <w:rStyle w:val="ControlFlowTok"/>
        </w:rPr>
        <w:t xml:space="preserve">if</w:t>
      </w:r>
      <w:r>
        <w:rPr>
          <w:rStyle w:val="SpecialCharTok"/>
        </w:rPr>
        <w:t xml:space="preserve">/</w:t>
      </w:r>
      <w:r>
        <w:rPr>
          <w:rStyle w:val="ControlFlowTok"/>
        </w:rPr>
        <w:t xml:space="preserve">in</w:t>
      </w:r>
      <w:r>
        <w:rPr>
          <w:rStyle w:val="NormalTok"/>
        </w:rPr>
        <w:t xml:space="preserve">] [weight], [options géométrie] [,[options du graphique]]</w:t>
      </w:r>
    </w:p>
    <w:p>
      <w:pPr>
        <w:pStyle w:val="FirstParagraph"/>
      </w:pPr>
    </w:p>
    <w:bookmarkStart w:id="31" w:name="un-bloc-dobjets-graphiques-même-type"/>
    <w:p>
      <w:pPr>
        <w:pStyle w:val="Heading3"/>
      </w:pPr>
      <w:r>
        <w:t xml:space="preserve">1.3.1</w:t>
      </w:r>
      <w:r>
        <w:t xml:space="preserve"> </w:t>
      </w:r>
      <w:r>
        <w:rPr>
          <w:bCs/>
          <w:b/>
        </w:rPr>
        <w:t xml:space="preserve">Un bloc d’objets graphiques (même type)</w:t>
      </w:r>
    </w:p>
    <w:p>
      <w:pPr>
        <w:pStyle w:val="FirstParagraph"/>
      </w:pPr>
      <w:r>
        <w:t xml:space="preserve">Un graphique comportant plusieurs géométries de même type peut être exécuté avec un seul bloc de coordonnées renseigné par des variables pour l’axe des ordonnées. Ces différentes coordonnées peuvent être des variables correspondant à plusieurs valeurs d’une variable additionnelle, souvent de type catégoriel [voir la commande separate plus bas].</w:t>
      </w:r>
    </w:p>
    <w:p>
      <w:pPr>
        <w:pStyle w:val="SourceCode"/>
      </w:pPr>
      <w:r>
        <w:rPr>
          <w:rStyle w:val="NormalTok"/>
        </w:rPr>
        <w:t xml:space="preserve">[</w:t>
      </w:r>
      <w:r>
        <w:rPr>
          <w:rStyle w:val="KeywordTok"/>
        </w:rPr>
        <w:t xml:space="preserve">tw</w:t>
      </w:r>
      <w:r>
        <w:rPr>
          <w:rStyle w:val="NormalTok"/>
        </w:rPr>
        <w:t xml:space="preserve">/</w:t>
      </w:r>
      <w:r>
        <w:rPr>
          <w:rStyle w:val="KeywordTok"/>
        </w:rPr>
        <w:t xml:space="preserve">graph</w:t>
      </w:r>
      <w:r>
        <w:rPr>
          <w:rStyle w:val="NormalTok"/>
        </w:rPr>
        <w:t xml:space="preserve">] type_géométrie Y1 Y2 Y3.... [X] [, option1(Y1 Y2 Y3...)..options_du graphique]</w:t>
      </w:r>
    </w:p>
    <w:p>
      <w:pPr>
        <w:pStyle w:val="FirstParagraph"/>
      </w:pPr>
      <w:r>
        <w:t xml:space="preserve">Les options de la géométrie (plusieurs coordonnées pour Y) comme les couleurs ou les tailles/épaisseurs sont indiquées à la suite dans l’option choisie. Si on veut changer les couleurs de plusieurs courbes associées aux variable y1,y2 et y3:</w:t>
      </w:r>
      <w:r>
        <w:t xml:space="preserve"> </w:t>
      </w:r>
      <w:r>
        <w:rPr>
          <w:rStyle w:val="VerbatimChar"/>
        </w:rPr>
        <w:t xml:space="preserve">color(couleurY1 couleurY2 couleurY3)</w:t>
      </w:r>
      <w:r>
        <w:t xml:space="preserve">.</w:t>
      </w:r>
    </w:p>
    <w:p>
      <w:pPr>
        <w:pStyle w:val="BodyText"/>
      </w:pPr>
      <w:r>
        <w:rPr>
          <w:iCs/>
          <w:i/>
          <w:bCs/>
          <w:b/>
        </w:rPr>
        <w:t xml:space="preserve">Exemple</w:t>
      </w:r>
    </w:p>
    <w:p>
      <w:pPr>
        <w:pStyle w:val="BodyText"/>
      </w:pPr>
      <w:r>
        <w:t xml:space="preserve">Graphique de type</w:t>
      </w:r>
      <w:r>
        <w:t xml:space="preserve"> </w:t>
      </w:r>
      <w:r>
        <w:rPr>
          <w:rStyle w:val="VerbatimChar"/>
        </w:rPr>
        <w:t xml:space="preserve">line</w:t>
      </w:r>
      <w:r>
        <w:t xml:space="preserve">, reportant les espérances de vie aux USA de 1900 à 2000. Le graphique de gauche est sans option, celui de droite en a.</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458"/>
                        <wp:effectExtent b="0" l="0" r="0" t="0"/>
                        <wp:docPr descr="" title="" id="23" name="Picture"/>
                        <a:graphic>
                          <a:graphicData uri="http://schemas.openxmlformats.org/drawingml/2006/picture">
                            <pic:pic>
                              <pic:nvPicPr>
                                <pic:cNvPr descr="imgp1/g1a.png" id="24" name="Picture"/>
                                <pic:cNvPicPr>
                                  <a:picLocks noChangeArrowheads="1" noChangeAspect="1"/>
                                </pic:cNvPicPr>
                              </pic:nvPicPr>
                              <pic:blipFill>
                                <a:blip r:embed="rId22"/>
                                <a:stretch>
                                  <a:fillRect/>
                                </a:stretch>
                              </pic:blipFill>
                              <pic:spPr bwMode="auto">
                                <a:xfrm>
                                  <a:off x="0" y="0"/>
                                  <a:ext cx="2971800" cy="21624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options</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458"/>
                        <wp:effectExtent b="0" l="0" r="0" t="0"/>
                        <wp:docPr descr="" title="" id="26" name="Picture"/>
                        <a:graphic>
                          <a:graphicData uri="http://schemas.openxmlformats.org/drawingml/2006/picture">
                            <pic:pic>
                              <pic:nvPicPr>
                                <pic:cNvPr descr="imgp1/g1b.png" id="27" name="Picture"/>
                                <pic:cNvPicPr>
                                  <a:picLocks noChangeArrowheads="1" noChangeAspect="1"/>
                                </pic:cNvPicPr>
                              </pic:nvPicPr>
                              <pic:blipFill>
                                <a:blip r:embed="rId25"/>
                                <a:stretch>
                                  <a:fillRect/>
                                </a:stretch>
                              </pic:blipFill>
                              <pic:spPr bwMode="auto">
                                <a:xfrm>
                                  <a:off x="0" y="0"/>
                                  <a:ext cx="2971800" cy="21624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options</w:t>
                  </w:r>
                </w:p>
              </w:tc>
            </w:tr>
          </w:tbl>
          <w:p/>
        </w:tc>
      </w:tr>
    </w:tbl>
    <w:p>
      <w:pPr>
        <w:pStyle w:val="BodyText"/>
      </w:pPr>
      <w:r>
        <w:rPr>
          <w:iCs/>
          <w:i/>
        </w:rPr>
        <w:t xml:space="preserve">Premier graphique (haut)</w:t>
      </w:r>
    </w:p>
    <w:p>
      <w:pPr>
        <w:pStyle w:val="SourceCode"/>
      </w:pPr>
      <w:r>
        <w:rPr>
          <w:rStyle w:val="KeywordTok"/>
        </w:rPr>
        <w:t xml:space="preserve">sysuse</w:t>
      </w:r>
      <w:r>
        <w:rPr>
          <w:rStyle w:val="NormalTok"/>
        </w:rPr>
        <w:t xml:space="preserve"> lifeexp, </w:t>
      </w:r>
      <w:r>
        <w:rPr>
          <w:rStyle w:val="KeywordTok"/>
        </w:rPr>
        <w:t xml:space="preserve">clear</w:t>
      </w:r>
      <w:r>
        <w:br/>
      </w:r>
      <w:r>
        <w:rPr>
          <w:rStyle w:val="KeywordTok"/>
        </w:rPr>
        <w:t xml:space="preserve">tw</w:t>
      </w:r>
      <w:r>
        <w:rPr>
          <w:rStyle w:val="NormalTok"/>
        </w:rPr>
        <w:t xml:space="preserve"> </w:t>
      </w:r>
      <w:r>
        <w:rPr>
          <w:rStyle w:val="KeywordTok"/>
        </w:rPr>
        <w:t xml:space="preserve">line</w:t>
      </w:r>
      <w:r>
        <w:rPr>
          <w:rStyle w:val="NormalTok"/>
        </w:rPr>
        <w:t xml:space="preserve"> le_male le_female </w:t>
      </w:r>
      <w:r>
        <w:rPr>
          <w:rStyle w:val="FunctionTok"/>
        </w:rPr>
        <w:t xml:space="preserve">year</w:t>
      </w:r>
      <w:r>
        <w:rPr>
          <w:rStyle w:val="NormalTok"/>
        </w:rPr>
        <w:t xml:space="preserve"> </w:t>
      </w:r>
    </w:p>
    <w:p>
      <w:pPr>
        <w:pStyle w:val="FirstParagraph"/>
      </w:pPr>
      <w:r>
        <w:rPr>
          <w:iCs/>
          <w:i/>
        </w:rPr>
        <w:t xml:space="preserve">Second graphique (bas)</w:t>
      </w:r>
    </w:p>
    <w:p>
      <w:pPr>
        <w:pStyle w:val="SourceCode"/>
      </w:pPr>
      <w:r>
        <w:rPr>
          <w:rStyle w:val="KeywordTok"/>
        </w:rPr>
        <w:t xml:space="preserve">sysuse</w:t>
      </w:r>
      <w:r>
        <w:rPr>
          <w:rStyle w:val="NormalTok"/>
        </w:rPr>
        <w:t xml:space="preserve"> lifeexp, </w:t>
      </w:r>
      <w:r>
        <w:rPr>
          <w:rStyle w:val="KeywordTok"/>
        </w:rPr>
        <w:t xml:space="preserve">clear</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line</w:t>
      </w:r>
      <w:r>
        <w:rPr>
          <w:rStyle w:val="NormalTok"/>
        </w:rPr>
        <w:t xml:space="preserve">  le_male le_female </w:t>
      </w:r>
      <w:r>
        <w:rPr>
          <w:rStyle w:val="FunctionTok"/>
        </w:rPr>
        <w:t xml:space="preserve">year</w:t>
      </w:r>
      <w:r>
        <w:rPr>
          <w:rStyle w:val="NormalTok"/>
        </w:rPr>
        <w:t xml:space="preserve">, </w:t>
      </w:r>
      <w:r>
        <w:br/>
      </w:r>
      <w:r>
        <w:rPr>
          <w:rStyle w:val="NormalTok"/>
        </w:rPr>
        <w:t xml:space="preserve">                                         </w:t>
      </w:r>
      <w:r>
        <w:br/>
      </w:r>
      <w:r>
        <w:rPr>
          <w:rStyle w:val="NormalTok"/>
        </w:rPr>
        <w:t xml:space="preserve">  lc(*.8 *1.2)                                                        </w:t>
      </w:r>
      <w:r>
        <w:br/>
      </w:r>
      <w:r>
        <w:rPr>
          <w:rStyle w:val="NormalTok"/>
        </w:rPr>
        <w:t xml:space="preserve">  lw(*4 *4)</w:t>
      </w:r>
      <w:r>
        <w:br/>
      </w:r>
      <w:r>
        <w:rPr>
          <w:rStyle w:val="NormalTok"/>
        </w:rPr>
        <w:t xml:space="preserve">                                                               </w:t>
      </w:r>
      <w:r>
        <w:br/>
      </w:r>
      <w:r>
        <w:rPr>
          <w:rStyle w:val="NormalTok"/>
        </w:rPr>
        <w:t xml:space="preserve">  </w:t>
      </w:r>
      <w:r>
        <w:rPr>
          <w:rStyle w:val="BaseNTok"/>
        </w:rPr>
        <w:t xml:space="preserve">title</w:t>
      </w:r>
      <w:r>
        <w:rPr>
          <w:rStyle w:val="NormalTok"/>
        </w:rPr>
        <w:t xml:space="preserve">(</w:t>
      </w:r>
      <w:r>
        <w:rPr>
          <w:rStyle w:val="StringTok"/>
        </w:rPr>
        <w:t xml:space="preserve">"Espérance de vie aux USA"</w:t>
      </w:r>
      <w:r>
        <w:rPr>
          <w:rStyle w:val="NormalTok"/>
        </w:rPr>
        <w:t xml:space="preserve">, pos(11))                                  </w:t>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"Hommes"</w:t>
      </w:r>
      <w:r>
        <w:rPr>
          <w:rStyle w:val="NormalTok"/>
        </w:rPr>
        <w:t xml:space="preserve"> 2 </w:t>
      </w:r>
      <w:r>
        <w:rPr>
          <w:rStyle w:val="StringTok"/>
        </w:rPr>
        <w:t xml:space="preserve">"Femmes"</w:t>
      </w:r>
      <w:r>
        <w:rPr>
          <w:rStyle w:val="NormalTok"/>
        </w:rPr>
        <w:t xml:space="preserve">) pos(4) col(1) </w:t>
      </w:r>
      <w:r>
        <w:rPr>
          <w:rStyle w:val="BaseNTok"/>
        </w:rPr>
        <w:t xml:space="preserve">ring</w:t>
      </w:r>
      <w:r>
        <w:rPr>
          <w:rStyle w:val="NormalTok"/>
        </w:rPr>
        <w:t xml:space="preserve">(0))             </w:t>
      </w:r>
      <w:r>
        <w:br/>
      </w:r>
      <w:r>
        <w:rPr>
          <w:rStyle w:val="NormalTok"/>
        </w:rPr>
        <w:t xml:space="preserve">  </w:t>
      </w:r>
      <w:r>
        <w:rPr>
          <w:rStyle w:val="KeywordTok"/>
        </w:rPr>
        <w:t xml:space="preserve">ylabel</w:t>
      </w:r>
      <w:r>
        <w:rPr>
          <w:rStyle w:val="NormalTok"/>
        </w:rPr>
        <w:t xml:space="preserve">(35(5)80, angle(0))  </w:t>
      </w:r>
      <w:r>
        <w:br/>
      </w:r>
      <w:r>
        <w:rPr>
          <w:rStyle w:val="NormalTok"/>
        </w:rPr>
        <w:t xml:space="preserve">  </w:t>
      </w:r>
      <w:r>
        <w:rPr>
          <w:rStyle w:val="BaseNTok"/>
        </w:rPr>
        <w:t xml:space="preserve">xtitle</w:t>
      </w:r>
      <w:r>
        <w:rPr>
          <w:rStyle w:val="NormalTok"/>
        </w:rPr>
        <w:t xml:space="preserve">(</w:t>
      </w:r>
      <w:r>
        <w:rPr>
          <w:rStyle w:val="StringTok"/>
        </w:rPr>
        <w:t xml:space="preserve">"Année"</w:t>
      </w:r>
      <w:r>
        <w:rPr>
          <w:rStyle w:val="NormalTok"/>
        </w:rPr>
        <w:t xml:space="preserve">)   </w:t>
      </w:r>
      <w:r>
        <w:br/>
      </w:r>
      <w:r>
        <w:rPr>
          <w:rStyle w:val="NormalTok"/>
        </w:rPr>
        <w:t xml:space="preserve">  graphr(</w:t>
      </w:r>
      <w:r>
        <w:rPr>
          <w:rStyle w:val="KeywordTok"/>
        </w:rPr>
        <w:t xml:space="preserve">color</w:t>
      </w:r>
      <w:r>
        <w:rPr>
          <w:rStyle w:val="NormalTok"/>
        </w:rPr>
        <w:t xml:space="preserve">(</w:t>
      </w:r>
      <w:r>
        <w:rPr>
          <w:rStyle w:val="BaseNTok"/>
        </w:rPr>
        <w:t xml:space="preserve">white</w:t>
      </w:r>
      <w:r>
        <w:rPr>
          <w:rStyle w:val="NormalTok"/>
        </w:rPr>
        <w:t xml:space="preserve">)) plotr(</w:t>
      </w:r>
      <w:r>
        <w:rPr>
          <w:rStyle w:val="KeywordTok"/>
        </w:rPr>
        <w:t xml:space="preserve">color</w:t>
      </w:r>
      <w:r>
        <w:rPr>
          <w:rStyle w:val="NormalTok"/>
        </w:rPr>
        <w:t xml:space="preserve">(</w:t>
      </w:r>
      <w:r>
        <w:rPr>
          <w:rStyle w:val="BaseNTok"/>
        </w:rPr>
        <w:t xml:space="preserve">white</w:t>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in_m\AppData\Local\Programs\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Avec le changement de délimiteur, il est plus facile de distinguer les différents éléments du graphique, comme les options qui affectent directement les courbes (couleur, épaisseur) et les options générales du graphique (titre, légende, labels de y à l’horizontal, titre de x, couleur de fond).</w:t>
            </w:r>
          </w:p>
        </w:tc>
      </w:tr>
    </w:tbl>
    <w:p>
      <w:pPr>
        <w:pStyle w:val="BodyText"/>
      </w:pPr>
      <w:r>
        <w:rPr>
          <w:iCs/>
          <w:i/>
          <w:bCs/>
          <w:b/>
        </w:rPr>
        <w:t xml:space="preserve">Options des courbes</w:t>
      </w:r>
      <w:r>
        <w:t xml:space="preserve">:</w:t>
      </w:r>
    </w:p>
    <w:p>
      <w:pPr>
        <w:numPr>
          <w:ilvl w:val="0"/>
          <w:numId w:val="1002"/>
        </w:numPr>
        <w:pStyle w:val="Compact"/>
      </w:pPr>
      <w:r>
        <w:rPr>
          <w:rStyle w:val="VerbatimChar"/>
        </w:rPr>
        <w:t xml:space="preserve">lc(...)</w:t>
      </w:r>
      <w:r>
        <w:t xml:space="preserve">: je baisse la saturation de la courbe des hommes de 20% (plus claire) et j’augmente celle des femmes de 20% (plus foncée). Les couleurs par défaut sont conservées (palette Stata s2color).</w:t>
      </w:r>
    </w:p>
    <w:p>
      <w:pPr>
        <w:numPr>
          <w:ilvl w:val="0"/>
          <w:numId w:val="1002"/>
        </w:numPr>
        <w:pStyle w:val="Compact"/>
      </w:pPr>
      <w:r>
        <w:rPr>
          <w:rStyle w:val="VerbatimChar"/>
        </w:rPr>
        <w:t xml:space="preserve">lw(...)</w:t>
      </w:r>
      <w:r>
        <w:t xml:space="preserve">: j’augmente fortement l’épaisseur des courbes (*4). Stata dispose de plusieurs unités pour altérer les tailles et épaisseurs, celle utilisée par défaut est une unité de type relative (voir la section dédiées plus bas).</w:t>
      </w:r>
    </w:p>
    <w:p>
      <w:pPr>
        <w:pStyle w:val="FirstParagraph"/>
      </w:pPr>
      <w:r>
        <w:rPr>
          <w:iCs/>
          <w:i/>
          <w:bCs/>
          <w:b/>
        </w:rPr>
        <w:t xml:space="preserve">Options du graphique</w:t>
      </w:r>
      <w:r>
        <w:t xml:space="preserve">:</w:t>
      </w:r>
    </w:p>
    <w:p>
      <w:pPr>
        <w:numPr>
          <w:ilvl w:val="0"/>
          <w:numId w:val="1003"/>
        </w:numPr>
        <w:pStyle w:val="Compact"/>
      </w:pPr>
      <w:r>
        <w:t xml:space="preserve">J’ajoute un titre avec l’option</w:t>
      </w:r>
      <w:r>
        <w:t xml:space="preserve"> </w:t>
      </w:r>
      <w:r>
        <w:rPr>
          <w:rStyle w:val="VerbatimChar"/>
        </w:rPr>
        <w:t xml:space="preserve">title(…)</w:t>
      </w:r>
      <w:r>
        <w:t xml:space="preserve"> </w:t>
      </w:r>
      <w:r>
        <w:t xml:space="preserve">que je positionne à 11 heures à l’extérieur avec l’argument</w:t>
      </w:r>
      <w:r>
        <w:t xml:space="preserve"> </w:t>
      </w:r>
      <w:r>
        <w:rPr>
          <w:rStyle w:val="VerbatimChar"/>
        </w:rPr>
        <w:t xml:space="preserve">pos(11)</w:t>
      </w:r>
      <w:r>
        <w:t xml:space="preserve">.</w:t>
      </w:r>
    </w:p>
    <w:p>
      <w:pPr>
        <w:numPr>
          <w:ilvl w:val="0"/>
          <w:numId w:val="1003"/>
        </w:numPr>
        <w:pStyle w:val="Compact"/>
      </w:pPr>
      <w:r>
        <w:t xml:space="preserve">Je change les labels de la légende dans l’option</w:t>
      </w:r>
      <w:r>
        <w:t xml:space="preserve"> </w:t>
      </w:r>
      <w:r>
        <w:rPr>
          <w:rStyle w:val="VerbatimChar"/>
        </w:rPr>
        <w:t xml:space="preserve">legend(...)</w:t>
      </w:r>
      <w:r>
        <w:t xml:space="preserve"> </w:t>
      </w:r>
      <w:r>
        <w:t xml:space="preserve">avec l’argument</w:t>
      </w:r>
      <w:r>
        <w:t xml:space="preserve"> </w:t>
      </w:r>
      <w:r>
        <w:rPr>
          <w:rStyle w:val="VerbatimChar"/>
        </w:rPr>
        <w:t xml:space="preserve">order(...)</w:t>
      </w:r>
      <w:r>
        <w:t xml:space="preserve">. Je change la position de la légende en a mettant dans la zône du graphique avec</w:t>
      </w:r>
      <w:r>
        <w:t xml:space="preserve"> </w:t>
      </w:r>
      <w:r>
        <w:rPr>
          <w:rStyle w:val="VerbatimChar"/>
        </w:rPr>
        <w:t xml:space="preserve">ring(0)</w:t>
      </w:r>
      <w:r>
        <w:t xml:space="preserve"> </w:t>
      </w:r>
      <w:r>
        <w:t xml:space="preserve">et à 4 heures avec</w:t>
      </w:r>
      <w:r>
        <w:t xml:space="preserve"> </w:t>
      </w:r>
      <w:r>
        <w:rPr>
          <w:rStyle w:val="VerbatimChar"/>
        </w:rPr>
        <w:t xml:space="preserve">pos(4)</w:t>
      </w:r>
      <w:r>
        <w:t xml:space="preserve">. Les labels sont reportés sur une colonne avec l’argument</w:t>
      </w:r>
      <w:r>
        <w:t xml:space="preserve"> </w:t>
      </w:r>
      <w:r>
        <w:rPr>
          <w:rStyle w:val="VerbatimChar"/>
        </w:rPr>
        <w:t xml:space="preserve">col(1)</w:t>
      </w:r>
      <w:r>
        <w:t xml:space="preserve">.</w:t>
      </w:r>
    </w:p>
    <w:p>
      <w:pPr>
        <w:numPr>
          <w:ilvl w:val="0"/>
          <w:numId w:val="1003"/>
        </w:numPr>
        <w:pStyle w:val="Compact"/>
      </w:pPr>
      <w:r>
        <w:t xml:space="preserve">Je modifie les labels des ordonnées avec l’option</w:t>
      </w:r>
      <w:r>
        <w:t xml:space="preserve"> </w:t>
      </w:r>
      <w:r>
        <w:rPr>
          <w:rStyle w:val="VerbatimChar"/>
        </w:rPr>
        <w:t xml:space="preserve">ylabel(...)</w:t>
      </w:r>
      <w:r>
        <w:t xml:space="preserve">, en changeant le delta des coordonnées reportées et en mettant les labels à l’horizontal avec l’argument</w:t>
      </w:r>
      <w:r>
        <w:t xml:space="preserve"> </w:t>
      </w:r>
      <w:r>
        <w:rPr>
          <w:rStyle w:val="VerbatimChar"/>
        </w:rPr>
        <w:t xml:space="preserve">angle(0)</w:t>
      </w:r>
      <w:r>
        <w:t xml:space="preserve">.</w:t>
      </w:r>
    </w:p>
    <w:p>
      <w:pPr>
        <w:numPr>
          <w:ilvl w:val="0"/>
          <w:numId w:val="1003"/>
        </w:numPr>
        <w:pStyle w:val="Compact"/>
      </w:pPr>
      <w:r>
        <w:t xml:space="preserve">Je modifie le titre des abscisses avec l’option</w:t>
      </w:r>
      <w:r>
        <w:t xml:space="preserve"> </w:t>
      </w:r>
      <w:r>
        <w:rPr>
          <w:rStyle w:val="VerbatimChar"/>
        </w:rPr>
        <w:t xml:space="preserve">xtitle(...)</w:t>
      </w:r>
      <w:r>
        <w:t xml:space="preserve">.</w:t>
      </w:r>
    </w:p>
    <w:p>
      <w:pPr>
        <w:numPr>
          <w:ilvl w:val="0"/>
          <w:numId w:val="1003"/>
        </w:numPr>
        <w:pStyle w:val="Compact"/>
      </w:pPr>
      <w:r>
        <w:t xml:space="preserve">Je modifie les couleurs de fonds du graphique qui est composée de deux zônes: la zône où est réellement tracé le graphique avec l’option</w:t>
      </w:r>
      <w:r>
        <w:t xml:space="preserve"> </w:t>
      </w:r>
      <w:r>
        <w:rPr>
          <w:rStyle w:val="VerbatimChar"/>
        </w:rPr>
        <w:t xml:space="preserve">plotr()</w:t>
      </w:r>
      <w:r>
        <w:t xml:space="preserve"> </w:t>
      </w:r>
      <w:r>
        <w:t xml:space="preserve">[ou</w:t>
      </w:r>
      <w:r>
        <w:t xml:space="preserve"> </w:t>
      </w:r>
      <w:r>
        <w:rPr>
          <w:rStyle w:val="VerbatimChar"/>
        </w:rPr>
        <w:t xml:space="preserve">plotregion(...)</w:t>
      </w:r>
      <w:r>
        <w:t xml:space="preserve">] et la zône externe avec</w:t>
      </w:r>
      <w:r>
        <w:t xml:space="preserve"> </w:t>
      </w:r>
      <w:r>
        <w:rPr>
          <w:rStyle w:val="VerbatimChar"/>
        </w:rPr>
        <w:t xml:space="preserve">graphr(...)</w:t>
      </w:r>
      <w:r>
        <w:t xml:space="preserve"> </w:t>
      </w:r>
      <w:r>
        <w:t xml:space="preserve">[ou</w:t>
      </w:r>
      <w:r>
        <w:t xml:space="preserve"> </w:t>
      </w:r>
      <w:r>
        <w:rPr>
          <w:rStyle w:val="VerbatimChar"/>
        </w:rPr>
        <w:t xml:space="preserve">graphregion(...)</w:t>
      </w:r>
      <w:r>
        <w:t xml:space="preserve">] où se trouve reporté par défaut les titres et les légendes. Pour changer la couleur de fond, on utilise l’argument</w:t>
      </w:r>
      <w:r>
        <w:t xml:space="preserve"> </w:t>
      </w:r>
      <w:r>
        <w:rPr>
          <w:rStyle w:val="VerbatimChar"/>
        </w:rPr>
        <w:t xml:space="preserve">color(...)</w:t>
      </w:r>
      <w:r>
        <w:t xml:space="preserve">.</w:t>
      </w:r>
    </w:p>
    <w:bookmarkEnd w:id="31"/>
    <w:bookmarkStart w:id="40" w:name="plusieurs-blocs-dobjets-graphiques"/>
    <w:p>
      <w:pPr>
        <w:pStyle w:val="Heading3"/>
      </w:pPr>
      <w:r>
        <w:t xml:space="preserve">1.3.2</w:t>
      </w:r>
      <w:r>
        <w:t xml:space="preserve"> </w:t>
      </w:r>
      <w:r>
        <w:rPr>
          <w:bCs/>
          <w:b/>
        </w:rPr>
        <w:t xml:space="preserve">Plusieurs blocs d’objets graphiques</w:t>
      </w:r>
    </w:p>
    <w:p>
      <w:pPr>
        <w:pStyle w:val="FirstParagraph"/>
      </w:pPr>
      <w:r>
        <w:t xml:space="preserve">Dans l’exemple précédent on avait deux variables, mais il est plus standard que les bases donnent des observations à partir d’une variable qui peut être croisées avec d’autres informations regroupées avec une variable discrète. Par rapport à d’autres langages graphiques, on pense bien évidemment à R avec ggplot, les choses se gâtent un peu du côté de Stata car plusieurs graphiques doivent être exécutés séparément dans la même commande. On donnera plus loin un moyen via les macros et les boucles d’automatiser cette exécution. Cela ne concerne que les éléments surperposés, Stata possédant en revanche une option pour générer des sous graphiques de type facettes ou small-multiple (voir section sur les graphiques combinés).</w:t>
      </w:r>
      <w:r>
        <w:br/>
      </w:r>
      <w:r>
        <w:t xml:space="preserve">Chaque sous graphique a son propre jeu d’options et ont doit bien indiquer leur séparation, soit avec des parenthèses soit avec des doubles barres horizontales.</w:t>
      </w:r>
    </w:p>
    <w:p>
      <w:pPr>
        <w:pStyle w:val="SourceCode"/>
      </w:pPr>
      <w:r>
        <w:rPr>
          <w:rStyle w:val="NormalTok"/>
        </w:rPr>
        <w:t xml:space="preserve">(</w:t>
      </w:r>
      <w:r>
        <w:rPr>
          <w:rStyle w:val="KeywordTok"/>
        </w:rPr>
        <w:t xml:space="preserve">graph</w:t>
      </w:r>
      <w:r>
        <w:rPr>
          <w:rStyle w:val="NormalTok"/>
        </w:rPr>
        <w:t xml:space="preserve"> 1, options graph1) (graph2, options graph2)… (</w:t>
      </w:r>
      <w:r>
        <w:rPr>
          <w:rStyle w:val="KeywordTok"/>
        </w:rPr>
        <w:t xml:space="preserve">graph</w:t>
      </w:r>
      <w:r>
        <w:rPr>
          <w:rStyle w:val="NormalTok"/>
        </w:rPr>
        <w:t xml:space="preserve"> n, option </w:t>
      </w:r>
      <w:r>
        <w:rPr>
          <w:rStyle w:val="KeywordTok"/>
        </w:rPr>
        <w:t xml:space="preserve">graph</w:t>
      </w:r>
      <w:r>
        <w:rPr>
          <w:rStyle w:val="NormalTok"/>
        </w:rPr>
        <w:t xml:space="preserve"> n) , options graphiques</w:t>
      </w:r>
    </w:p>
    <w:p>
      <w:pPr>
        <w:pStyle w:val="FirstParagraph"/>
      </w:pPr>
      <w:r>
        <w:t xml:space="preserve">ou</w:t>
      </w:r>
    </w:p>
    <w:p>
      <w:pPr>
        <w:pStyle w:val="SourceCode"/>
      </w:pPr>
      <w:r>
        <w:rPr>
          <w:rStyle w:val="KeywordTok"/>
        </w:rPr>
        <w:t xml:space="preserve">graph</w:t>
      </w:r>
      <w:r>
        <w:rPr>
          <w:rStyle w:val="NormalTok"/>
        </w:rPr>
        <w:t xml:space="preserve"> 1, options graph1 || graph2, options graph2 ||…. || </w:t>
      </w:r>
      <w:r>
        <w:rPr>
          <w:rStyle w:val="KeywordTok"/>
        </w:rPr>
        <w:t xml:space="preserve">graph</w:t>
      </w:r>
      <w:r>
        <w:rPr>
          <w:rStyle w:val="NormalTok"/>
        </w:rPr>
        <w:t xml:space="preserve"> n, option </w:t>
      </w:r>
      <w:r>
        <w:rPr>
          <w:rStyle w:val="KeywordTok"/>
        </w:rPr>
        <w:t xml:space="preserve">graph</w:t>
      </w:r>
      <w:r>
        <w:rPr>
          <w:rStyle w:val="NormalTok"/>
        </w:rPr>
        <w:t xml:space="preserve"> n || , options graphiques</w:t>
      </w:r>
    </w:p>
    <w:p>
      <w:pPr>
        <w:pStyle w:val="FirstParagraph"/>
      </w:pPr>
      <w:r>
        <w:t xml:space="preserve">Ma préférence va plutôt à la deuxième solution pour éviter une surabondance de parenthèses déjà très présentes, et souvent imbriquées dans les options. Par ailleurs il me semble qu’on visualise mieux la séparation entre les différents éléments graphiques.</w:t>
      </w:r>
    </w:p>
    <w:p>
      <w:pPr>
        <w:pStyle w:val="BodyText"/>
      </w:pPr>
      <w:r>
        <w:t xml:space="preserve">Principe de la syntaxe avec</w:t>
      </w:r>
      <w:r>
        <w:t xml:space="preserve"> </w:t>
      </w:r>
      <w:r>
        <w:rPr>
          <w:rStyle w:val="VerbatimChar"/>
        </w:rPr>
        <w:t xml:space="preserve">;</w:t>
      </w:r>
      <w:r>
        <w:t xml:space="preserve"> </w:t>
      </w:r>
      <w:r>
        <w:t xml:space="preserve">comme délimiteur</w:t>
      </w:r>
    </w:p>
    <w:p>
      <w:pPr>
        <w:pStyle w:val="BodyText"/>
      </w:pPr>
      <w:r>
        <w:rPr>
          <w:iCs/>
          <w:i/>
        </w:rPr>
        <w:t xml:space="preserve">Graphiques séparés par ()</w:t>
      </w:r>
    </w:p>
    <w:p>
      <w:pPr>
        <w:pStyle w:val="SourceCode"/>
      </w:pPr>
      <w:r>
        <w:rPr>
          <w:rStyle w:val="NormalTok"/>
        </w:rPr>
        <w:t xml:space="preserve">#delimit ;</w:t>
      </w:r>
      <w:r>
        <w:br/>
      </w:r>
      <w:r>
        <w:rPr>
          <w:rStyle w:val="NormalTok"/>
        </w:rPr>
        <w:t xml:space="preserve">[</w:t>
      </w:r>
      <w:r>
        <w:rPr>
          <w:rStyle w:val="KeywordTok"/>
        </w:rPr>
        <w:t xml:space="preserve">tw</w:t>
      </w:r>
      <w:r>
        <w:rPr>
          <w:rStyle w:val="NormalTok"/>
        </w:rPr>
        <w:t xml:space="preserve">/</w:t>
      </w:r>
      <w:r>
        <w:rPr>
          <w:rStyle w:val="KeywordTok"/>
        </w:rPr>
        <w:t xml:space="preserve">graph</w:t>
      </w:r>
      <w:r>
        <w:rPr>
          <w:rStyle w:val="NormalTok"/>
        </w:rPr>
        <w:t xml:space="preserve">] </w:t>
      </w:r>
      <w:r>
        <w:br/>
      </w:r>
      <w:r>
        <w:rPr>
          <w:rStyle w:val="NormalTok"/>
        </w:rPr>
        <w:t xml:space="preserve">(type_géométrie1 Y1 [X1] [Y2] [X2] [Z] [</w:t>
      </w:r>
      <w:r>
        <w:rPr>
          <w:rStyle w:val="KeywordTok"/>
        </w:rPr>
        <w:t xml:space="preserve">in</w:t>
      </w:r>
      <w:r>
        <w:rPr>
          <w:rStyle w:val="NormalTok"/>
        </w:rPr>
        <w:t xml:space="preserve"> </w:t>
      </w:r>
      <w:r>
        <w:rPr>
          <w:rStyle w:val="KeywordTok"/>
        </w:rPr>
        <w:t xml:space="preserve">if</w:t>
      </w:r>
      <w:r>
        <w:rPr>
          <w:rStyle w:val="NormalTok"/>
        </w:rPr>
        <w:t xml:space="preserve">] [</w:t>
      </w:r>
      <w:r>
        <w:rPr>
          <w:rStyle w:val="KeywordTok"/>
        </w:rPr>
        <w:t xml:space="preserve">weight</w:t>
      </w:r>
      <w:r>
        <w:rPr>
          <w:rStyle w:val="NormalTok"/>
        </w:rPr>
        <w:t xml:space="preserve">]</w:t>
      </w:r>
      <w:r>
        <w:br/>
      </w:r>
      <w:r>
        <w:rPr>
          <w:rStyle w:val="NormalTok"/>
        </w:rPr>
        <w:t xml:space="preserve">[, options(1)]) </w:t>
      </w:r>
      <w:r>
        <w:br/>
      </w:r>
      <w:r>
        <w:rPr>
          <w:rStyle w:val="NormalTok"/>
        </w:rPr>
        <w:t xml:space="preserve">  </w:t>
      </w:r>
      <w:r>
        <w:br/>
      </w:r>
      <w:r>
        <w:rPr>
          <w:rStyle w:val="NormalTok"/>
        </w:rPr>
        <w:t xml:space="preserve">(type_géométrie2 Y2 [X1] [Y2] [X2] [Z] [</w:t>
      </w:r>
      <w:r>
        <w:rPr>
          <w:rStyle w:val="KeywordTok"/>
        </w:rPr>
        <w:t xml:space="preserve">in</w:t>
      </w:r>
      <w:r>
        <w:rPr>
          <w:rStyle w:val="NormalTok"/>
        </w:rPr>
        <w:t xml:space="preserve"> </w:t>
      </w:r>
      <w:r>
        <w:rPr>
          <w:rStyle w:val="KeywordTok"/>
        </w:rPr>
        <w:t xml:space="preserve">if</w:t>
      </w:r>
      <w:r>
        <w:rPr>
          <w:rStyle w:val="NormalTok"/>
        </w:rPr>
        <w:t xml:space="preserve">] [</w:t>
      </w:r>
      <w:r>
        <w:rPr>
          <w:rStyle w:val="KeywordTok"/>
        </w:rPr>
        <w:t xml:space="preserve">weight</w:t>
      </w:r>
      <w:r>
        <w:rPr>
          <w:rStyle w:val="NormalTok"/>
        </w:rPr>
        <w:t xml:space="preserve">]</w:t>
      </w:r>
      <w:r>
        <w:br/>
      </w:r>
      <w:r>
        <w:rPr>
          <w:rStyle w:val="NormalTok"/>
        </w:rPr>
        <w:t xml:space="preserve">[, options(2)])</w:t>
      </w:r>
      <w:r>
        <w:br/>
      </w:r>
      <w:r>
        <w:rPr>
          <w:rStyle w:val="NormalTok"/>
        </w:rPr>
        <w:t xml:space="preserve">...)</w:t>
      </w:r>
      <w:r>
        <w:br/>
      </w:r>
      <w:r>
        <w:rPr>
          <w:rStyle w:val="NormalTok"/>
        </w:rPr>
        <w:t xml:space="preserve">                                    </w:t>
      </w:r>
      <w:r>
        <w:br/>
      </w:r>
      <w:r>
        <w:rPr>
          <w:rStyle w:val="NormalTok"/>
        </w:rPr>
        <w:t xml:space="preserve">[, options_graphiques] </w:t>
      </w:r>
      <w:r>
        <w:br/>
      </w:r>
      <w:r>
        <w:rPr>
          <w:rStyle w:val="NormalTok"/>
        </w:rPr>
        <w:t xml:space="preserve">; </w:t>
      </w:r>
    </w:p>
    <w:p>
      <w:pPr>
        <w:pStyle w:val="FirstParagraph"/>
      </w:pPr>
      <w:r>
        <w:rPr>
          <w:iCs/>
          <w:i/>
        </w:rPr>
        <w:t xml:space="preserve">Graphiques séparés par ||</w:t>
      </w:r>
    </w:p>
    <w:p>
      <w:pPr>
        <w:pStyle w:val="SourceCode"/>
      </w:pPr>
      <w:r>
        <w:rPr>
          <w:rStyle w:val="NormalTok"/>
        </w:rPr>
        <w:t xml:space="preserve">#delimit ;</w:t>
      </w:r>
      <w:r>
        <w:br/>
      </w:r>
      <w:r>
        <w:rPr>
          <w:rStyle w:val="NormalTok"/>
        </w:rPr>
        <w:t xml:space="preserve">[</w:t>
      </w:r>
      <w:r>
        <w:rPr>
          <w:rStyle w:val="KeywordTok"/>
        </w:rPr>
        <w:t xml:space="preserve">tw</w:t>
      </w:r>
      <w:r>
        <w:rPr>
          <w:rStyle w:val="NormalTok"/>
        </w:rPr>
        <w:t xml:space="preserve">/</w:t>
      </w:r>
      <w:r>
        <w:rPr>
          <w:rStyle w:val="KeywordTok"/>
        </w:rPr>
        <w:t xml:space="preserve">graph</w:t>
      </w:r>
      <w:r>
        <w:rPr>
          <w:rStyle w:val="NormalTok"/>
        </w:rPr>
        <w:t xml:space="preserve">] </w:t>
      </w:r>
      <w:r>
        <w:br/>
      </w:r>
      <w:r>
        <w:rPr>
          <w:rStyle w:val="NormalTok"/>
        </w:rPr>
        <w:t xml:space="preserve">   type_géométrie1 Y1 [X1] [Y2] [X2] [Z] [</w:t>
      </w:r>
      <w:r>
        <w:rPr>
          <w:rStyle w:val="KeywordTok"/>
        </w:rPr>
        <w:t xml:space="preserve">in</w:t>
      </w:r>
      <w:r>
        <w:rPr>
          <w:rStyle w:val="NormalTok"/>
        </w:rPr>
        <w:t xml:space="preserve"> </w:t>
      </w:r>
      <w:r>
        <w:rPr>
          <w:rStyle w:val="KeywordTok"/>
        </w:rPr>
        <w:t xml:space="preserve">if</w:t>
      </w:r>
      <w:r>
        <w:rPr>
          <w:rStyle w:val="NormalTok"/>
        </w:rPr>
        <w:t xml:space="preserve">] [</w:t>
      </w:r>
      <w:r>
        <w:rPr>
          <w:rStyle w:val="KeywordTok"/>
        </w:rPr>
        <w:t xml:space="preserve">weight</w:t>
      </w:r>
      <w:r>
        <w:rPr>
          <w:rStyle w:val="NormalTok"/>
        </w:rPr>
        <w:t xml:space="preserve">]</w:t>
      </w:r>
      <w:r>
        <w:br/>
      </w:r>
      <w:r>
        <w:rPr>
          <w:rStyle w:val="NormalTok"/>
        </w:rPr>
        <w:t xml:space="preserve">[, options(1)] </w:t>
      </w:r>
      <w:r>
        <w:br/>
      </w:r>
      <w:r>
        <w:rPr>
          <w:rStyle w:val="NormalTok"/>
        </w:rPr>
        <w:t xml:space="preserve">  </w:t>
      </w:r>
      <w:r>
        <w:br/>
      </w:r>
      <w:r>
        <w:rPr>
          <w:rStyle w:val="NormalTok"/>
        </w:rPr>
        <w:t xml:space="preserve">|| type_géométrie2 Y2 [X1] [Y2] [X2] [Z] [</w:t>
      </w:r>
      <w:r>
        <w:rPr>
          <w:rStyle w:val="KeywordTok"/>
        </w:rPr>
        <w:t xml:space="preserve">in</w:t>
      </w:r>
      <w:r>
        <w:rPr>
          <w:rStyle w:val="NormalTok"/>
        </w:rPr>
        <w:t xml:space="preserve"> </w:t>
      </w:r>
      <w:r>
        <w:rPr>
          <w:rStyle w:val="KeywordTok"/>
        </w:rPr>
        <w:t xml:space="preserve">if</w:t>
      </w:r>
      <w:r>
        <w:rPr>
          <w:rStyle w:val="NormalTok"/>
        </w:rPr>
        <w:t xml:space="preserve">] [</w:t>
      </w:r>
      <w:r>
        <w:rPr>
          <w:rStyle w:val="KeywordTok"/>
        </w:rPr>
        <w:t xml:space="preserve">weight</w:t>
      </w:r>
      <w:r>
        <w:rPr>
          <w:rStyle w:val="NormalTok"/>
        </w:rPr>
        <w:t xml:space="preserve">]</w:t>
      </w:r>
      <w:r>
        <w:br/>
      </w:r>
      <w:r>
        <w:rPr>
          <w:rStyle w:val="NormalTok"/>
        </w:rPr>
        <w:t xml:space="preserve">[, options(2)]) </w:t>
      </w:r>
      <w:r>
        <w:br/>
      </w:r>
      <w:r>
        <w:br/>
      </w:r>
      <w:r>
        <w:rPr>
          <w:rStyle w:val="NormalTok"/>
        </w:rPr>
        <w:t xml:space="preserve">...                                    </w:t>
      </w:r>
      <w:r>
        <w:br/>
      </w:r>
      <w:r>
        <w:rPr>
          <w:rStyle w:val="NormalTok"/>
        </w:rPr>
        <w:t xml:space="preserve">|| [, options_graphiques] </w:t>
      </w:r>
      <w:r>
        <w:br/>
      </w:r>
      <w:r>
        <w:rPr>
          <w:rStyle w:val="NormalTok"/>
        </w:rPr>
        <w:t xml:space="preserve">;  </w:t>
      </w:r>
    </w:p>
    <w:p>
      <w:pPr>
        <w:pStyle w:val="FirstParagraph"/>
      </w:pPr>
      <w:r>
        <w:rPr>
          <w:iCs/>
          <w:i/>
          <w:bCs/>
          <w:b/>
        </w:rPr>
        <w:t xml:space="preserve">Exemple</w:t>
      </w:r>
    </w:p>
    <w:p>
      <w:pPr>
        <w:pStyle w:val="BodyText"/>
      </w:pPr>
      <w:r>
        <w:t xml:space="preserve">Comme dans le premier graphique, celui du haut est sans option et celui du bas avec. On va afficher un nuage de point avec la base auto, entre les variables price et mpg (consommation d’essence en gallon) selon l’origine de la voiture (US ou autres pays).</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458"/>
                        <wp:effectExtent b="0" l="0" r="0" t="0"/>
                        <wp:docPr descr="" title="" id="33" name="Picture"/>
                        <a:graphic>
                          <a:graphicData uri="http://schemas.openxmlformats.org/drawingml/2006/picture">
                            <pic:pic>
                              <pic:nvPicPr>
                                <pic:cNvPr descr="imgp1/g2a.png" id="34" name="Picture"/>
                                <pic:cNvPicPr>
                                  <a:picLocks noChangeArrowheads="1" noChangeAspect="1"/>
                                </pic:cNvPicPr>
                              </pic:nvPicPr>
                              <pic:blipFill>
                                <a:blip r:embed="rId32"/>
                                <a:stretch>
                                  <a:fillRect/>
                                </a:stretch>
                              </pic:blipFill>
                              <pic:spPr bwMode="auto">
                                <a:xfrm>
                                  <a:off x="0" y="0"/>
                                  <a:ext cx="2971800" cy="21624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options</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458"/>
                        <wp:effectExtent b="0" l="0" r="0" t="0"/>
                        <wp:docPr descr="" title="" id="36" name="Picture"/>
                        <a:graphic>
                          <a:graphicData uri="http://schemas.openxmlformats.org/drawingml/2006/picture">
                            <pic:pic>
                              <pic:nvPicPr>
                                <pic:cNvPr descr="imgp1/g2b.png" id="37" name="Picture"/>
                                <pic:cNvPicPr>
                                  <a:picLocks noChangeArrowheads="1" noChangeAspect="1"/>
                                </pic:cNvPicPr>
                              </pic:nvPicPr>
                              <pic:blipFill>
                                <a:blip r:embed="rId35"/>
                                <a:stretch>
                                  <a:fillRect/>
                                </a:stretch>
                              </pic:blipFill>
                              <pic:spPr bwMode="auto">
                                <a:xfrm>
                                  <a:off x="0" y="0"/>
                                  <a:ext cx="2971800" cy="21624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options</w:t>
                  </w:r>
                </w:p>
              </w:tc>
            </w:tr>
          </w:tbl>
          <w:p/>
        </w:tc>
      </w:tr>
    </w:tbl>
    <w:p>
      <w:pPr>
        <w:pStyle w:val="BodyText"/>
      </w:pPr>
      <w:r>
        <w:rPr>
          <w:iCs/>
          <w:i/>
        </w:rPr>
        <w:t xml:space="preserve">Premier graphique</w:t>
      </w:r>
    </w:p>
    <w:p>
      <w:pPr>
        <w:pStyle w:val="SourceCode"/>
      </w:pPr>
      <w:r>
        <w:rPr>
          <w:rStyle w:val="KeywordTok"/>
        </w:rPr>
        <w:t xml:space="preserve">sysuse</w:t>
      </w:r>
      <w:r>
        <w:rPr>
          <w:rStyle w:val="NormalTok"/>
        </w:rPr>
        <w:t xml:space="preserve"> auto, </w:t>
      </w:r>
      <w:r>
        <w:rPr>
          <w:rStyle w:val="KeywordTok"/>
        </w:rPr>
        <w:t xml:space="preserve">clear</w:t>
      </w:r>
      <w:r>
        <w:br/>
      </w:r>
      <w:r>
        <w:br/>
      </w:r>
      <w:r>
        <w:rPr>
          <w:rStyle w:val="NormalTok"/>
        </w:rPr>
        <w:t xml:space="preserve">#delimit</w:t>
      </w:r>
      <w:r>
        <w:br/>
      </w:r>
      <w:r>
        <w:rPr>
          <w:rStyle w:val="KeywordTok"/>
        </w:rPr>
        <w:t xml:space="preserve">tw</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w:t>
      </w:r>
      <w:r>
        <w:br/>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"US"</w:t>
      </w:r>
      <w:r>
        <w:rPr>
          <w:rStyle w:val="NormalTok"/>
        </w:rPr>
        <w:t xml:space="preserve"> 2 </w:t>
      </w:r>
      <w:r>
        <w:rPr>
          <w:rStyle w:val="StringTok"/>
        </w:rPr>
        <w:t xml:space="preserve">"Autres"</w:t>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in_m\AppData\Local\Programs\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4"/>
              </w:numPr>
              <w:pStyle w:val="Compact"/>
            </w:pPr>
            <w:r>
              <w:t xml:space="preserve">Lorsqu’on superpose les sous graphiques de cette manière, Stata ne reconnait pas par défaut les labels à affecter à la légende, et affiche deux fois le label price pour chaque origine. On doit renseigner manuellement cette information.</w:t>
            </w:r>
          </w:p>
          <w:p>
            <w:pPr>
              <w:numPr>
                <w:ilvl w:val="0"/>
                <w:numId w:val="1004"/>
              </w:numPr>
              <w:pStyle w:val="Compact"/>
            </w:pPr>
            <w:r>
              <w:t xml:space="preserve">Petite astuce pas forcément connue de toutes et tous. Lorsqu’une variable est de type indicatrice {0,1} il n’est pas nécessaire de préciser sa valeur:</w:t>
            </w:r>
          </w:p>
          <w:p>
            <w:pPr>
              <w:numPr>
                <w:ilvl w:val="1"/>
                <w:numId w:val="1005"/>
              </w:numPr>
              <w:pStyle w:val="Compact"/>
            </w:pPr>
            <w:r>
              <w:rPr>
                <w:rStyle w:val="VerbatimChar"/>
              </w:rPr>
              <w:t xml:space="preserve">!foreign</w:t>
            </w:r>
            <w:r>
              <w:t xml:space="preserve"> </w:t>
            </w:r>
            <w:r>
              <w:t xml:space="preserve">est identique à</w:t>
            </w:r>
            <w:r>
              <w:t xml:space="preserve"> </w:t>
            </w:r>
            <w:r>
              <w:rPr>
                <w:rStyle w:val="VerbatimChar"/>
              </w:rPr>
              <w:t xml:space="preserve">foreign==0</w:t>
            </w:r>
          </w:p>
          <w:p>
            <w:pPr>
              <w:numPr>
                <w:ilvl w:val="1"/>
                <w:numId w:val="1005"/>
              </w:numPr>
              <w:pStyle w:val="Compact"/>
            </w:pPr>
            <w:r>
              <w:rPr>
                <w:rStyle w:val="VerbatimChar"/>
              </w:rPr>
              <w:t xml:space="preserve">foreign</w:t>
            </w:r>
            <w:r>
              <w:t xml:space="preserve"> </w:t>
            </w:r>
            <w:r>
              <w:t xml:space="preserve">est identique à</w:t>
            </w:r>
            <w:r>
              <w:t xml:space="preserve"> </w:t>
            </w:r>
            <w:r>
              <w:rPr>
                <w:rStyle w:val="VerbatimChar"/>
              </w:rPr>
              <w:t xml:space="preserve">foreign==1</w:t>
            </w:r>
          </w:p>
        </w:tc>
      </w:tr>
    </w:tbl>
    <w:p>
      <w:pPr>
        <w:pStyle w:val="FirstParagraph"/>
      </w:pPr>
      <w:r>
        <w:rPr>
          <w:iCs/>
          <w:i/>
        </w:rPr>
        <w:t xml:space="preserve">Second graphique</w:t>
      </w:r>
    </w:p>
    <w:p>
      <w:pPr>
        <w:pStyle w:val="SourceCode"/>
      </w:pPr>
      <w:r>
        <w:rPr>
          <w:rStyle w:val="NormalTok"/>
        </w:rPr>
        <w:t xml:space="preserve">#delimit ;</w:t>
      </w:r>
      <w:r>
        <w:br/>
      </w:r>
      <w:r>
        <w:rPr>
          <w:rStyle w:val="KeywordTok"/>
        </w:rPr>
        <w:t xml:space="preserve">tw</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 </w:t>
      </w:r>
      <w:r>
        <w:br/>
      </w:r>
      <w:r>
        <w:rPr>
          <w:rStyle w:val="NormalTok"/>
        </w:rPr>
        <w:t xml:space="preserve">   mc(</w:t>
      </w:r>
      <w:r>
        <w:rPr>
          <w:rStyle w:val="StringTok"/>
        </w:rPr>
        <w:t xml:space="preserve">"31 161 135%60"</w:t>
      </w:r>
      <w:r>
        <w:rPr>
          <w:rStyle w:val="NormalTok"/>
        </w:rPr>
        <w:t xml:space="preserve">) msize(*1.5) mlc(</w:t>
      </w:r>
      <w:r>
        <w:rPr>
          <w:rStyle w:val="BaseNTok"/>
        </w:rPr>
        <w:t xml:space="preserve">black</w:t>
      </w:r>
      <w:r>
        <w:rPr>
          <w:rStyle w:val="NormalTok"/>
        </w:rPr>
        <w:t xml:space="preserve">) mlw(.3) jitter(1)</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 </w:t>
      </w:r>
      <w:r>
        <w:br/>
      </w:r>
      <w:r>
        <w:rPr>
          <w:rStyle w:val="NormalTok"/>
        </w:rPr>
        <w:t xml:space="preserve">   mc(</w:t>
      </w:r>
      <w:r>
        <w:rPr>
          <w:rStyle w:val="StringTok"/>
        </w:rPr>
        <w:t xml:space="preserve">"207 225 28%60"</w:t>
      </w:r>
      <w:r>
        <w:rPr>
          <w:rStyle w:val="NormalTok"/>
        </w:rPr>
        <w:t xml:space="preserve">) msize(*1.5) mlc(</w:t>
      </w:r>
      <w:r>
        <w:rPr>
          <w:rStyle w:val="BaseNTok"/>
        </w:rPr>
        <w:t xml:space="preserve">black</w:t>
      </w:r>
      <w:r>
        <w:rPr>
          <w:rStyle w:val="NormalTok"/>
        </w:rPr>
        <w:t xml:space="preserve">) mlw(.3) jitter(1) </w:t>
      </w:r>
      <w:r>
        <w:br/>
      </w:r>
      <w:r>
        <w:br/>
      </w:r>
      <w:r>
        <w:rPr>
          <w:rStyle w:val="NormalTok"/>
        </w:rPr>
        <w:t xml:space="preserve">||, </w:t>
      </w:r>
      <w:r>
        <w:rPr>
          <w:rStyle w:val="BaseNTok"/>
        </w:rPr>
        <w:t xml:space="preserve">title</w:t>
      </w:r>
      <w:r>
        <w:rPr>
          <w:rStyle w:val="NormalTok"/>
        </w:rPr>
        <w:t xml:space="preserve">(</w:t>
      </w:r>
      <w:r>
        <w:rPr>
          <w:rStyle w:val="StringTok"/>
        </w:rPr>
        <w:t xml:space="preserve">"{bf: Prix et consommation selon l'origine}"</w:t>
      </w:r>
      <w:r>
        <w:rPr>
          <w:rStyle w:val="NormalTok"/>
        </w:rPr>
        <w:t xml:space="preserve">, pos(11))   </w:t>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"US"</w:t>
      </w:r>
      <w:r>
        <w:rPr>
          <w:rStyle w:val="NormalTok"/>
        </w:rPr>
        <w:t xml:space="preserve"> 2 </w:t>
      </w:r>
      <w:r>
        <w:rPr>
          <w:rStyle w:val="StringTok"/>
        </w:rPr>
        <w:t xml:space="preserve">"Autres"</w:t>
      </w:r>
      <w:r>
        <w:rPr>
          <w:rStyle w:val="NormalTok"/>
        </w:rPr>
        <w:t xml:space="preserve">))</w:t>
      </w:r>
      <w:r>
        <w:br/>
      </w:r>
      <w:r>
        <w:rPr>
          <w:rStyle w:val="NormalTok"/>
        </w:rPr>
        <w:t xml:space="preserve">    </w:t>
      </w:r>
      <w:r>
        <w:rPr>
          <w:rStyle w:val="KeywordTok"/>
        </w:rPr>
        <w:t xml:space="preserve">ylabel</w:t>
      </w:r>
      <w:r>
        <w:rPr>
          <w:rStyle w:val="NormalTok"/>
        </w:rPr>
        <w:t xml:space="preserve">(5000 “5k” 10000 “10k” 15000 “15k”, angle(0)) </w:t>
      </w:r>
      <w:r>
        <w:br/>
      </w:r>
      <w:r>
        <w:rPr>
          <w:rStyle w:val="NormalTok"/>
        </w:rPr>
        <w:t xml:space="preserve">    </w:t>
      </w:r>
      <w:r>
        <w:rPr>
          <w:rStyle w:val="BaseNTok"/>
        </w:rPr>
        <w:t xml:space="preserve">xtitle</w:t>
      </w:r>
      <w:r>
        <w:rPr>
          <w:rStyle w:val="NormalTok"/>
        </w:rPr>
        <w:t xml:space="preserve">(</w:t>
      </w:r>
      <w:r>
        <w:rPr>
          <w:rStyle w:val="StringTok"/>
        </w:rPr>
        <w:t xml:space="preserve">"Consommation (miles par gallon)"</w:t>
      </w:r>
      <w:r>
        <w:rPr>
          <w:rStyle w:val="NormalTok"/>
        </w:rPr>
        <w:t xml:space="preserve">) </w:t>
      </w:r>
      <w:r>
        <w:br/>
      </w:r>
      <w:r>
        <w:rPr>
          <w:rStyle w:val="NormalTok"/>
        </w:rPr>
        <w:t xml:space="preserve">    </w:t>
      </w:r>
      <w:r>
        <w:rPr>
          <w:rStyle w:val="BaseNTok"/>
        </w:rPr>
        <w:t xml:space="preserve">ytitle</w:t>
      </w:r>
      <w:r>
        <w:rPr>
          <w:rStyle w:val="NormalTok"/>
        </w:rPr>
        <w:t xml:space="preserve">(</w:t>
      </w:r>
      <w:r>
        <w:rPr>
          <w:rStyle w:val="StringTok"/>
        </w:rPr>
        <w:t xml:space="preserve">"Prix"</w:t>
      </w:r>
      <w:r>
        <w:rPr>
          <w:rStyle w:val="NormalTok"/>
        </w:rPr>
        <w:t xml:space="preserve">)</w:t>
      </w:r>
      <w:r>
        <w:br/>
      </w:r>
      <w:r>
        <w:rPr>
          <w:rStyle w:val="NormalTok"/>
        </w:rPr>
        <w:t xml:space="preserve">    graphr(</w:t>
      </w:r>
      <w:r>
        <w:rPr>
          <w:rStyle w:val="KeywordTok"/>
        </w:rPr>
        <w:t xml:space="preserve">color</w:t>
      </w:r>
      <w:r>
        <w:rPr>
          <w:rStyle w:val="NormalTok"/>
        </w:rPr>
        <w:t xml:space="preserve">(</w:t>
      </w:r>
      <w:r>
        <w:rPr>
          <w:rStyle w:val="BaseNTok"/>
        </w:rPr>
        <w:t xml:space="preserve">white</w:t>
      </w:r>
      <w:r>
        <w:rPr>
          <w:rStyle w:val="NormalTok"/>
        </w:rPr>
        <w:t xml:space="preserve">)) plotr(</w:t>
      </w:r>
      <w:r>
        <w:rPr>
          <w:rStyle w:val="KeywordTok"/>
        </w:rPr>
        <w:t xml:space="preserve">color</w:t>
      </w:r>
      <w:r>
        <w:rPr>
          <w:rStyle w:val="NormalTok"/>
        </w:rPr>
        <w:t xml:space="preserve">(</w:t>
      </w:r>
      <w:r>
        <w:rPr>
          <w:rStyle w:val="BaseNTok"/>
        </w:rPr>
        <w:t xml:space="preserve">white</w:t>
      </w:r>
      <w:r>
        <w:rPr>
          <w:rStyle w:val="NormalTok"/>
        </w:rPr>
        <w:t xml:space="preserve">))</w:t>
      </w:r>
      <w:r>
        <w:br/>
      </w:r>
      <w:r>
        <w:rPr>
          <w:rStyle w:val="NormalTok"/>
        </w:rPr>
        <w:t xml:space="preserve">;</w:t>
      </w:r>
    </w:p>
    <w:p>
      <w:pPr>
        <w:pStyle w:val="FirstParagraph"/>
      </w:pPr>
      <w:r>
        <w:rPr>
          <w:iCs/>
          <w:i/>
          <w:bCs/>
          <w:b/>
        </w:rPr>
        <w:t xml:space="preserve">Options des nuages</w:t>
      </w:r>
    </w:p>
    <w:p>
      <w:pPr>
        <w:numPr>
          <w:ilvl w:val="0"/>
          <w:numId w:val="1006"/>
        </w:numPr>
        <w:pStyle w:val="Compact"/>
      </w:pPr>
      <w:r>
        <w:rPr>
          <w:rStyle w:val="VerbatimChar"/>
        </w:rPr>
        <w:t xml:space="preserve">mc(...)</w:t>
      </w:r>
      <w:r>
        <w:t xml:space="preserve"> </w:t>
      </w:r>
      <w:r>
        <w:t xml:space="preserve">modifie la couleur des bulles. On verra par la suite plus en détail les altérations des couleurs, mais ici on a manuellement changé leur couleur avec un code RGB sur lequel on a réduit l’opacité à 60% (ou mis 40% de transparence).</w:t>
      </w:r>
    </w:p>
    <w:p>
      <w:pPr>
        <w:numPr>
          <w:ilvl w:val="0"/>
          <w:numId w:val="1006"/>
        </w:numPr>
        <w:pStyle w:val="Compact"/>
      </w:pPr>
      <w:r>
        <w:rPr>
          <w:rStyle w:val="VerbatimChar"/>
        </w:rPr>
        <w:t xml:space="preserve">mlc(...)</w:t>
      </w:r>
      <w:r>
        <w:t xml:space="preserve"> </w:t>
      </w:r>
      <w:r>
        <w:t xml:space="preserve">modifie la couleur du contour des bulles, ici en noir. Par défaut la couleur du contour est identique à la couleur de remplissage de la bulle.</w:t>
      </w:r>
    </w:p>
    <w:p>
      <w:pPr>
        <w:numPr>
          <w:ilvl w:val="0"/>
          <w:numId w:val="1006"/>
        </w:numPr>
        <w:pStyle w:val="Compact"/>
      </w:pPr>
      <w:r>
        <w:rPr>
          <w:rStyle w:val="VerbatimChar"/>
        </w:rPr>
        <w:t xml:space="preserve">msize()</w:t>
      </w:r>
      <w:r>
        <w:t xml:space="preserve"> </w:t>
      </w:r>
      <w:r>
        <w:t xml:space="preserve">modifie la taille de la bulle.</w:t>
      </w:r>
    </w:p>
    <w:p>
      <w:pPr>
        <w:numPr>
          <w:ilvl w:val="0"/>
          <w:numId w:val="1006"/>
        </w:numPr>
        <w:pStyle w:val="Compact"/>
      </w:pPr>
      <w:r>
        <w:rPr>
          <w:rStyle w:val="VerbatimChar"/>
        </w:rPr>
        <w:t xml:space="preserve">mlw()</w:t>
      </w:r>
      <w:r>
        <w:t xml:space="preserve"> </w:t>
      </w:r>
      <w:r>
        <w:t xml:space="preserve">modifie l’épaisseur du contour de la bulle.</w:t>
      </w:r>
    </w:p>
    <w:p>
      <w:pPr>
        <w:numPr>
          <w:ilvl w:val="0"/>
          <w:numId w:val="1006"/>
        </w:numPr>
        <w:pStyle w:val="Compact"/>
      </w:pPr>
      <w:r>
        <w:rPr>
          <w:rStyle w:val="VerbatimChar"/>
        </w:rPr>
        <w:t xml:space="preserve">jitter()</w:t>
      </w:r>
      <w:r>
        <w:t xml:space="preserve"> </w:t>
      </w:r>
      <w:r>
        <w:t xml:space="preserve">: très à la mode, les jitters sont des nuages dont les coordonnées ont été perturbées aléatoirement pour réduire les effets de superposition, ici liés à la variable mpg. A utiliser avec prudence, et éviter de trop modifier les coordonnées lorsque les coordonnées représentent des valeurs continues.</w:t>
      </w:r>
    </w:p>
    <w:p>
      <w:pPr>
        <w:pStyle w:val="FirstParagraph"/>
      </w:pPr>
      <w:r>
        <w:rPr>
          <w:iCs/>
          <w:i/>
          <w:bCs/>
          <w:b/>
        </w:rPr>
        <w:t xml:space="preserve">Options du graphique</w:t>
      </w:r>
    </w:p>
    <w:p>
      <w:pPr>
        <w:numPr>
          <w:ilvl w:val="0"/>
          <w:numId w:val="1007"/>
        </w:numPr>
        <w:pStyle w:val="Compact"/>
      </w:pPr>
      <w:r>
        <w:t xml:space="preserve">Le titre a été mis en gras avec une balise SMCL (Stata Markup Control Langage) :</w:t>
      </w:r>
      <w:r>
        <w:t xml:space="preserve"> </w:t>
      </w:r>
      <w:r>
        <w:rPr>
          <w:rStyle w:val="VerbatimChar"/>
        </w:rPr>
        <w:t xml:space="preserve">"{bf :texte}"</w:t>
      </w:r>
      <w:r>
        <w:t xml:space="preserve">.</w:t>
      </w:r>
    </w:p>
    <w:p>
      <w:pPr>
        <w:numPr>
          <w:ilvl w:val="0"/>
          <w:numId w:val="1007"/>
        </w:numPr>
        <w:pStyle w:val="Compact"/>
      </w:pPr>
      <w:r>
        <w:t xml:space="preserve">Les valeurs des prix reportés sur l’axe des ordonnées à été modifié manuellement avec des unités k (1k = 1000).</w:t>
      </w:r>
    </w:p>
    <w:p>
      <w:pPr>
        <w:numPr>
          <w:ilvl w:val="0"/>
          <w:numId w:val="1007"/>
        </w:numPr>
        <w:pStyle w:val="Compact"/>
      </w:pPr>
      <w:r>
        <w:t xml:space="preserve">Le reste des options sont de même nature que celles relative au graphique précédent sur les espérances de vie.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et syntaxe</dc:title>
  <dc:creator/>
  <cp:keywords/>
  <dcterms:created xsi:type="dcterms:W3CDTF">2023-06-30T13:08:22Z</dcterms:created>
  <dcterms:modified xsi:type="dcterms:W3CDTF">2023-06-30T13:08:22Z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fig-cap-location">
    <vt:lpwstr>top</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