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8.png" ContentType="image/png"/>
  <Override PartName="/word/media/rId61.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distributions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6" w:name="une-variable"/>
    <w:p>
      <w:pPr>
        <w:pStyle w:val="Heading1"/>
      </w:pPr>
      <w:r>
        <w:t xml:space="preserve">1. Une variable</w:t>
      </w:r>
    </w:p>
    <w:p>
      <w:pPr>
        <w:pStyle w:val="FirstParagraph"/>
      </w:pPr>
      <w:r>
        <w:t xml:space="preserve">Principaux outils de visualisations:</w:t>
      </w:r>
    </w:p>
    <w:p>
      <w:pPr>
        <w:numPr>
          <w:ilvl w:val="0"/>
          <w:numId w:val="1001"/>
        </w:numPr>
        <w:pStyle w:val="Compact"/>
      </w:pPr>
      <w:r>
        <w:rPr>
          <w:bCs/>
          <w:b/>
        </w:rPr>
        <w:t xml:space="preserve">Histogrammes</w:t>
      </w:r>
    </w:p>
    <w:p>
      <w:pPr>
        <w:numPr>
          <w:ilvl w:val="0"/>
          <w:numId w:val="1001"/>
        </w:numPr>
        <w:pStyle w:val="Compact"/>
      </w:pPr>
      <w:r>
        <w:t xml:space="preserve">Report des</w:t>
      </w:r>
      <w:r>
        <w:t xml:space="preserve"> </w:t>
      </w:r>
      <w:r>
        <w:rPr>
          <w:bCs/>
          <w:b/>
        </w:rPr>
        <w:t xml:space="preserve">densités</w:t>
      </w:r>
      <w:r>
        <w:t xml:space="preserve"> </w:t>
      </w:r>
      <w:r>
        <w:t xml:space="preserve">sous forme de courbes ou d’aires</w:t>
      </w:r>
    </w:p>
    <w:p>
      <w:pPr>
        <w:numPr>
          <w:ilvl w:val="0"/>
          <w:numId w:val="1001"/>
        </w:numPr>
        <w:pStyle w:val="Compact"/>
      </w:pPr>
      <w:r>
        <w:rPr>
          <w:bCs/>
          <w:b/>
        </w:rPr>
        <w:t xml:space="preserve">Boxplot</w:t>
      </w:r>
      <w:r>
        <w:t xml:space="preserve">: résumé synthétique d’indicateurs de distributions (quantiles)</w:t>
      </w:r>
    </w:p>
    <w:p>
      <w:pPr>
        <w:numPr>
          <w:ilvl w:val="0"/>
          <w:numId w:val="1001"/>
        </w:numPr>
        <w:pStyle w:val="Compact"/>
      </w:pPr>
      <w:r>
        <w:rPr>
          <w:bCs/>
          <w:b/>
        </w:rPr>
        <w:t xml:space="preserve">violinplot</w:t>
      </w:r>
      <w:r>
        <w:t xml:space="preserve">: visualisation unifiant boxplot et densités</w:t>
      </w:r>
    </w:p>
    <w:bookmarkStart w:id="35" w:name="histogramme"/>
    <w:p>
      <w:pPr>
        <w:pStyle w:val="Heading2"/>
      </w:pPr>
      <w:r>
        <w:t xml:space="preserve">1.1 Histogramme</w:t>
      </w:r>
    </w:p>
    <w:p>
      <w:pPr>
        <w:numPr>
          <w:ilvl w:val="0"/>
          <w:numId w:val="1002"/>
        </w:numPr>
      </w:pPr>
      <w:r>
        <w:t xml:space="preserve">Graphique traditionnel</w:t>
      </w:r>
    </w:p>
    <w:p>
      <w:pPr>
        <w:numPr>
          <w:ilvl w:val="0"/>
          <w:numId w:val="1002"/>
        </w:numPr>
      </w:pPr>
      <w:r>
        <w:t xml:space="preserve">Quantité utilisé sur Y facilement compréhensible: fréquence, pourcentage</w:t>
      </w:r>
    </w:p>
    <w:p>
      <w:pPr>
        <w:numPr>
          <w:ilvl w:val="0"/>
          <w:numId w:val="1002"/>
        </w:numPr>
      </w:pPr>
      <w:r>
        <w:t xml:space="preserve">Modification des intervalles sur l’axe X</w:t>
      </w:r>
    </w:p>
    <w:p>
      <w:pPr>
        <w:numPr>
          <w:ilvl w:val="0"/>
          <w:numId w:val="1002"/>
        </w:numPr>
      </w:pPr>
      <w:r>
        <w:t xml:space="preserve">Points de vigilance:</w:t>
      </w:r>
    </w:p>
    <w:p>
      <w:pPr>
        <w:numPr>
          <w:ilvl w:val="1"/>
          <w:numId w:val="1003"/>
        </w:numPr>
        <w:pStyle w:val="Compact"/>
      </w:pPr>
      <w:r>
        <w:t xml:space="preserve">Empilement de plusieurs histogrammes peu convaincant. Utiliser de préférences des graphiques combinés type</w:t>
      </w:r>
      <w:r>
        <w:t xml:space="preserve"> </w:t>
      </w:r>
      <w:r>
        <w:rPr>
          <w:iCs/>
          <w:i/>
        </w:rPr>
        <w:t xml:space="preserve">small multiple</w:t>
      </w:r>
    </w:p>
    <w:p>
      <w:pPr>
        <w:numPr>
          <w:ilvl w:val="2"/>
          <w:numId w:val="1004"/>
        </w:numPr>
        <w:pStyle w:val="Compact"/>
      </w:pPr>
      <w:r>
        <w:t xml:space="preserve">La définition des bornes peut différer d’un logiciel à l’autre, c’est le cas entre Stata R (</w:t>
      </w:r>
      <w:r>
        <w:rPr>
          <w:rStyle w:val="VerbatimChar"/>
        </w:rPr>
        <w:t xml:space="preserve">ggplot</w:t>
      </w:r>
      <w:r>
        <w:t xml:space="preserve">)</w:t>
      </w:r>
    </w:p>
    <w:p>
      <w:pPr>
        <w:numPr>
          <w:ilvl w:val="0"/>
          <w:numId w:val="1002"/>
        </w:numPr>
      </w:pPr>
      <w:r>
        <w:rPr>
          <w:bCs/>
          <w:b/>
        </w:rPr>
        <w:t xml:space="preserve">Commandes Stata</w:t>
      </w:r>
      <w:r>
        <w:t xml:space="preserve">:</w:t>
      </w:r>
    </w:p>
    <w:p>
      <w:pPr>
        <w:numPr>
          <w:ilvl w:val="1"/>
          <w:numId w:val="1005"/>
        </w:numPr>
        <w:pStyle w:val="Compact"/>
      </w:pPr>
      <w:r>
        <w:rPr>
          <w:rStyle w:val="VerbatimChar"/>
          <w:bCs/>
          <w:b/>
        </w:rPr>
        <w:t xml:space="preserve">histogram</w:t>
      </w:r>
    </w:p>
    <w:p>
      <w:pPr>
        <w:numPr>
          <w:ilvl w:val="1"/>
          <w:numId w:val="1005"/>
        </w:numPr>
        <w:pStyle w:val="Compact"/>
      </w:pPr>
      <w:r>
        <w:rPr>
          <w:rStyle w:val="VerbatimChar"/>
          <w:bCs/>
          <w:b/>
        </w:rPr>
        <w:t xml:space="preserve">tw histogram</w:t>
      </w:r>
      <w:r>
        <w:t xml:space="preserve"> </w:t>
      </w:r>
      <w:r>
        <w:t xml:space="preserve">(de préférence). Avec l’option</w:t>
      </w:r>
      <w:r>
        <w:t xml:space="preserve"> </w:t>
      </w:r>
      <w:r>
        <w:rPr>
          <w:rStyle w:val="VerbatimChar"/>
        </w:rPr>
        <w:t xml:space="preserve">by</w:t>
      </w:r>
      <w:r>
        <w:t xml:space="preserve"> </w:t>
      </w:r>
      <w:r>
        <w:t xml:space="preserve">permet de faire des graphiques de type</w:t>
      </w:r>
      <w:r>
        <w:t xml:space="preserve"> </w:t>
      </w:r>
      <w:r>
        <w:rPr>
          <w:iCs/>
          <w:i/>
        </w:rPr>
        <w:t xml:space="preserve">small multiple</w:t>
      </w:r>
      <w:r>
        <w:t xml:space="preserve"> </w:t>
      </w:r>
      <w:r>
        <w:t xml:space="preserve">lorsqu’on souhaite comparer une distribution entre différentes catégories.</w:t>
      </w:r>
    </w:p>
    <w:p>
      <w:pPr>
        <w:pStyle w:val="FirstParagraph"/>
      </w:pPr>
      <w:r>
        <w:rPr>
          <w:bCs/>
          <w:b/>
        </w:rPr>
        <w:t xml:space="preserve">Exemples</w:t>
      </w:r>
    </w:p>
    <w:p>
      <w:pPr>
        <w:pStyle w:val="SourceCode"/>
      </w:pPr>
      <w:r>
        <w:br/>
      </w:r>
      <w:r>
        <w:rPr>
          <w:rStyle w:val="NormalTok"/>
        </w:rPr>
        <w:t xml:space="preserve">* style appliqué avec grstyle</w:t>
      </w:r>
      <w:r>
        <w:br/>
      </w:r>
      <w:r>
        <w:br/>
      </w:r>
      <w:r>
        <w:rPr>
          <w:rStyle w:val="NormalTok"/>
        </w:rPr>
        <w:t xml:space="preserve">grstyle init</w:t>
      </w:r>
      <w:r>
        <w:br/>
      </w:r>
      <w:r>
        <w:rPr>
          <w:rStyle w:val="NormalTok"/>
        </w:rPr>
        <w:t xml:space="preserve">grstyle </w:t>
      </w:r>
      <w:r>
        <w:rPr>
          <w:rStyle w:val="KeywordTok"/>
        </w:rPr>
        <w:t xml:space="preserve">set</w:t>
      </w:r>
      <w:r>
        <w:rPr>
          <w:rStyle w:val="NormalTok"/>
        </w:rPr>
        <w:t xml:space="preserve"> mesh, compact horizontal</w:t>
      </w:r>
    </w:p>
    <w:p>
      <w:pPr>
        <w:pStyle w:val="SourceCode"/>
      </w:pPr>
      <w:r>
        <w:rPr>
          <w:rStyle w:val="NormalTok"/>
        </w:rPr>
        <w:t xml:space="preserve">  </w:t>
      </w:r>
      <w:r>
        <w:br/>
      </w:r>
      <w:r>
        <w:rPr>
          <w:rStyle w:val="KeywordTok"/>
        </w:rPr>
        <w:t xml:space="preserve">tw</w:t>
      </w:r>
      <w:r>
        <w:rPr>
          <w:rStyle w:val="NormalTok"/>
        </w:rPr>
        <w:t xml:space="preserve"> </w:t>
      </w:r>
      <w:r>
        <w:rPr>
          <w:rStyle w:val="KeywordTok"/>
        </w:rPr>
        <w:t xml:space="preserve">histogram</w:t>
      </w:r>
      <w:r>
        <w:rPr>
          <w:rStyle w:val="NormalTok"/>
        </w:rPr>
        <w:t xml:space="preserve"> wage, fc(</w:t>
      </w:r>
      <w:r>
        <w:rPr>
          <w:rStyle w:val="StringTok"/>
        </w:rPr>
        <w:t xml:space="preserve">"225 50 67%80"</w:t>
      </w:r>
      <w:r>
        <w:rPr>
          <w:rStyle w:val="NormalTok"/>
        </w:rPr>
        <w:t xml:space="preserve">) lc(</w:t>
      </w:r>
      <w:r>
        <w:rPr>
          <w:rStyle w:val="BaseNTok"/>
        </w:rPr>
        <w:t xml:space="preserve">black</w:t>
      </w:r>
      <w:r>
        <w:rPr>
          <w:rStyle w:val="NormalTok"/>
        </w:rPr>
        <w:t xml:space="preserve">) lw(*.2) </w:t>
      </w:r>
      <w:r>
        <w:rPr>
          <w:rStyle w:val="KeywordTok"/>
        </w:rPr>
        <w:t xml:space="preserve">percent</w:t>
      </w:r>
      <w:r>
        <w:br/>
      </w:r>
      <w:r>
        <w:br/>
      </w:r>
      <w:r>
        <w:rPr>
          <w:rStyle w:val="NormalTok"/>
        </w:rPr>
        <w:t xml:space="preserve">* Empilement histogramme: </w:t>
      </w:r>
      <w:r>
        <w:rPr>
          <w:rStyle w:val="KeywordTok"/>
        </w:rPr>
        <w:t xml:space="preserve">not</w:t>
      </w:r>
      <w:r>
        <w:rPr>
          <w:rStyle w:val="NormalTok"/>
        </w:rPr>
        <w:t xml:space="preserve"> good</w:t>
      </w:r>
      <w:r>
        <w:br/>
      </w:r>
      <w:r>
        <w:br/>
      </w:r>
      <w:r>
        <w:rPr>
          <w:rStyle w:val="KeywordTok"/>
        </w:rPr>
        <w:t xml:space="preserve">local</w:t>
      </w:r>
      <w:r>
        <w:rPr>
          <w:rStyle w:val="NormalTok"/>
        </w:rPr>
        <w:t xml:space="preserve"> opts  lc(</w:t>
      </w:r>
      <w:r>
        <w:rPr>
          <w:rStyle w:val="BaseNTok"/>
        </w:rPr>
        <w:t xml:space="preserve">black</w:t>
      </w:r>
      <w:r>
        <w:rPr>
          <w:rStyle w:val="NormalTok"/>
        </w:rPr>
        <w:t xml:space="preserve">) lw(*.2) </w:t>
      </w:r>
      <w:r>
        <w:rPr>
          <w:rStyle w:val="KeywordTok"/>
        </w:rPr>
        <w:t xml:space="preserve">percent</w:t>
      </w:r>
      <w:r>
        <w:rPr>
          <w:rStyle w:val="NormalTok"/>
        </w:rPr>
        <w:t xml:space="preserve"> </w:t>
      </w:r>
      <w:r>
        <w:br/>
      </w:r>
      <w:r>
        <w:rPr>
          <w:rStyle w:val="KeywordTok"/>
        </w:rPr>
        <w:t xml:space="preserve">tw</w:t>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fc(</w:t>
      </w:r>
      <w:r>
        <w:rPr>
          <w:rStyle w:val="StringTok"/>
        </w:rPr>
        <w:t xml:space="preserve">"247 208 181%80"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fc(</w:t>
      </w:r>
      <w:r>
        <w:rPr>
          <w:rStyle w:val="StringTok"/>
        </w:rPr>
        <w:t xml:space="preserve">"225 50 67%80"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w:t>
      </w:r>
      <w:r>
        <w:br/>
      </w:r>
      <w:r>
        <w:br/>
      </w:r>
      <w:r>
        <w:br/>
      </w:r>
      <w:r>
        <w:rPr>
          <w:rStyle w:val="KeywordTok"/>
        </w:rPr>
        <w:t xml:space="preserve">local</w:t>
      </w:r>
      <w:r>
        <w:rPr>
          <w:rStyle w:val="NormalTok"/>
        </w:rPr>
        <w:t xml:space="preserve"> opts  fc(%0) lw(*1) </w:t>
      </w:r>
      <w:r>
        <w:rPr>
          <w:rStyle w:val="KeywordTok"/>
        </w:rPr>
        <w:t xml:space="preserve">percent</w:t>
      </w:r>
      <w:r>
        <w:rPr>
          <w:rStyle w:val="NormalTok"/>
        </w:rPr>
        <w:t xml:space="preserve"> </w:t>
      </w:r>
      <w:r>
        <w:br/>
      </w:r>
      <w:r>
        <w:rPr>
          <w:rStyle w:val="KeywordTok"/>
        </w:rPr>
        <w:t xml:space="preserve">tw</w:t>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lc(</w:t>
      </w:r>
      <w:r>
        <w:rPr>
          <w:rStyle w:val="StringTok"/>
        </w:rPr>
        <w:t xml:space="preserve">"247 208 181%80"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w:t>
      </w:r>
      <w:r>
        <w:rPr>
          <w:rStyle w:val="KeywordTok"/>
        </w:rPr>
        <w:t xml:space="preserve">histogram</w:t>
      </w:r>
      <w:r>
        <w:rPr>
          <w:rStyle w:val="NormalTok"/>
        </w:rPr>
        <w:t xml:space="preserve"> wage </w:t>
      </w:r>
      <w:r>
        <w:rPr>
          <w:rStyle w:val="KeywordTok"/>
        </w:rPr>
        <w:t xml:space="preserve">if</w:t>
      </w:r>
      <w:r>
        <w:rPr>
          <w:rStyle w:val="NormalTok"/>
        </w:rPr>
        <w:t xml:space="preserve">  south, lc(</w:t>
      </w:r>
      <w:r>
        <w:rPr>
          <w:rStyle w:val="StringTok"/>
        </w:rPr>
        <w:t xml:space="preserve">"225 50 67%80"</w:t>
      </w:r>
      <w:r>
        <w:rPr>
          <w:rStyle w:val="NormalTok"/>
        </w:rPr>
        <w:t xml:space="preserve">)      </w:t>
      </w:r>
      <w:r>
        <w:rPr>
          <w:rStyle w:val="OtherTok"/>
        </w:rPr>
        <w:t xml:space="preserve">`opts'</w:t>
      </w:r>
      <w:r>
        <w:rPr>
          <w:rStyle w:val="NormalTok"/>
        </w:rPr>
        <w:t xml:space="preserve">     </w:t>
      </w:r>
      <w:r>
        <w:rPr>
          <w:rStyle w:val="CommentTok"/>
        </w:rPr>
        <w:t xml:space="preserve">///</w:t>
      </w:r>
      <w:r>
        <w:br/>
      </w:r>
      <w:r>
        <w:rPr>
          <w:rStyle w:val="NormalTok"/>
        </w:rPr>
        <w:t xml:space="preserve">|| ,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w:t>
      </w:r>
      <w:r>
        <w:br/>
      </w:r>
      <w:r>
        <w:br/>
      </w:r>
      <w:r>
        <w:br/>
      </w:r>
      <w:r>
        <w:rPr>
          <w:rStyle w:val="NormalTok"/>
        </w:rPr>
        <w:t xml:space="preserve">* Facettes histogrammes: good</w:t>
      </w:r>
      <w:r>
        <w:br/>
      </w:r>
      <w:r>
        <w:rPr>
          <w:rStyle w:val="KeywordTok"/>
        </w:rPr>
        <w:t xml:space="preserve">tw</w:t>
      </w:r>
      <w:r>
        <w:rPr>
          <w:rStyle w:val="NormalTok"/>
        </w:rPr>
        <w:t xml:space="preserve"> </w:t>
      </w:r>
      <w:r>
        <w:rPr>
          <w:rStyle w:val="KeywordTok"/>
        </w:rPr>
        <w:t xml:space="preserve">histogram</w:t>
      </w:r>
      <w:r>
        <w:rPr>
          <w:rStyle w:val="NormalTok"/>
        </w:rPr>
        <w:t xml:space="preserve"> wage , fc(</w:t>
      </w:r>
      <w:r>
        <w:rPr>
          <w:rStyle w:val="StringTok"/>
        </w:rPr>
        <w:t xml:space="preserve">"225 50 67%80"</w:t>
      </w:r>
      <w:r>
        <w:rPr>
          <w:rStyle w:val="NormalTok"/>
        </w:rPr>
        <w:t xml:space="preserve">) lc(</w:t>
      </w:r>
      <w:r>
        <w:rPr>
          <w:rStyle w:val="BaseNTok"/>
        </w:rPr>
        <w:t xml:space="preserve">black</w:t>
      </w:r>
      <w:r>
        <w:rPr>
          <w:rStyle w:val="NormalTok"/>
        </w:rPr>
        <w:t xml:space="preserve">) lw(*.2) </w:t>
      </w:r>
      <w:r>
        <w:rPr>
          <w:rStyle w:val="KeywordTok"/>
        </w:rPr>
        <w:t xml:space="preserve">percent</w:t>
      </w:r>
      <w:r>
        <w:rPr>
          <w:rStyle w:val="NormalTok"/>
        </w:rPr>
        <w:t xml:space="preserve">  </w:t>
      </w:r>
      <w:r>
        <w:rPr>
          <w:rStyle w:val="KeywordTok"/>
        </w:rPr>
        <w:t xml:space="preserve">by</w:t>
      </w:r>
      <w:r>
        <w:rPr>
          <w:rStyle w:val="NormalTok"/>
        </w:rPr>
        <w:t xml:space="preserve">(south, </w:t>
      </w:r>
      <w:r>
        <w:rPr>
          <w:rStyle w:val="KeywordTok"/>
        </w:rPr>
        <w:t xml:space="preserve">note</w:t>
      </w:r>
      <w:r>
        <w:rPr>
          <w:rStyle w:val="NormalTok"/>
        </w:rPr>
        <w:t xml:space="preserve">(</w:t>
      </w:r>
      <w:r>
        <w:rPr>
          <w:rStyle w:val="StringTok"/>
        </w:rPr>
        <w:t xml:space="preserve">" "</w:t>
      </w:r>
      <w:r>
        <w:rPr>
          <w:rStyle w:val="NormalTok"/>
        </w:rPr>
        <w:t xml:space="preserve">)) </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21" name="Picture"/>
                        <a:graphic>
                          <a:graphicData uri="http://schemas.openxmlformats.org/drawingml/2006/picture">
                            <pic:pic>
                              <pic:nvPicPr>
                                <pic:cNvPr descr="imgp4/g6.png" id="22" name="Picture"/>
                                <pic:cNvPicPr>
                                  <a:picLocks noChangeArrowheads="1" noChangeAspect="1"/>
                                </pic:cNvPicPr>
                              </pic:nvPicPr>
                              <pic:blipFill>
                                <a:blip r:embed="rId20"/>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Histogramme simple</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24" name="Picture"/>
                        <a:graphic>
                          <a:graphicData uri="http://schemas.openxmlformats.org/drawingml/2006/picture">
                            <pic:pic>
                              <pic:nvPicPr>
                                <pic:cNvPr descr="imgp4/g7.png" id="25" name="Picture"/>
                                <pic:cNvPicPr>
                                  <a:picLocks noChangeArrowheads="1" noChangeAspect="1"/>
                                </pic:cNvPicPr>
                              </pic:nvPicPr>
                              <pic:blipFill>
                                <a:blip r:embed="rId23"/>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Empilement Histogrammes: not good</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27" name="Picture"/>
                        <a:graphic>
                          <a:graphicData uri="http://schemas.openxmlformats.org/drawingml/2006/picture">
                            <pic:pic>
                              <pic:nvPicPr>
                                <pic:cNvPr descr="imgp4/g8.png" id="28" name="Picture"/>
                                <pic:cNvPicPr>
                                  <a:picLocks noChangeArrowheads="1" noChangeAspect="1"/>
                                </pic:cNvPicPr>
                              </pic:nvPicPr>
                              <pic:blipFill>
                                <a:blip r:embed="rId26"/>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Empilement Histogrammes: not good</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30" name="Picture"/>
                        <a:graphic>
                          <a:graphicData uri="http://schemas.openxmlformats.org/drawingml/2006/picture">
                            <pic:pic>
                              <pic:nvPicPr>
                                <pic:cNvPr descr="imgp4/g9.png" id="31" name="Picture"/>
                                <pic:cNvPicPr>
                                  <a:picLocks noChangeArrowheads="1" noChangeAspect="1"/>
                                </pic:cNvPicPr>
                              </pic:nvPicPr>
                              <pic:blipFill>
                                <a:blip r:embed="rId29"/>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Facettes Histogrammes: good</w:t>
                  </w:r>
                </w:p>
              </w:tc>
            </w:tr>
          </w:tbl>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Users\thevenin_m\AppData\Local\Programs\Quarto\share\formats\docx\important.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Options</w:t>
            </w:r>
            <w:r>
              <w:t xml:space="preserve"> </w:t>
            </w:r>
            <w:r>
              <w:rPr>
                <w:rStyle w:val="VerbatimChar"/>
              </w:rPr>
              <w:t xml:space="preserve">by</w:t>
            </w:r>
            <w:r>
              <w:t xml:space="preserve">: à savoir</w:t>
            </w:r>
          </w:p>
        </w:tc>
      </w:tr>
      <w:tr>
        <w:trPr>
          <w:cantSplit/>
        </w:trPr>
        <w:tc>
          <w:tcPr>
            <w:tcMar>
              <w:top w:w="108" w:type="dxa"/>
              <w:bottom w:w="108" w:type="dxa"/>
            </w:tcMar>
          </w:tcPr>
          <w:p>
            <w:pPr>
              <w:numPr>
                <w:ilvl w:val="0"/>
                <w:numId w:val="1006"/>
              </w:numPr>
              <w:pStyle w:val="Compact"/>
            </w:pPr>
            <w:r>
              <w:t xml:space="preserve">Avec l’option</w:t>
            </w:r>
            <w:r>
              <w:t xml:space="preserve"> </w:t>
            </w:r>
            <w:r>
              <w:rPr>
                <w:rStyle w:val="VerbatimChar"/>
              </w:rPr>
              <w:t xml:space="preserve">by</w:t>
            </w:r>
            <w:r>
              <w:t xml:space="preserve">, plusieurs options générales du graphiques: titres, notes… sont à mette en option de</w:t>
            </w:r>
            <w:r>
              <w:t xml:space="preserve"> </w:t>
            </w:r>
            <w:r>
              <w:rPr>
                <w:rStyle w:val="VerbatimChar"/>
              </w:rPr>
              <w:t xml:space="preserve">by</w:t>
            </w:r>
            <w:r>
              <w:t xml:space="preserve">. Ici pour supprimer la note:</w:t>
            </w:r>
            <w:r>
              <w:t xml:space="preserve"> </w:t>
            </w:r>
            <w:r>
              <w:rPr>
                <w:rStyle w:val="VerbatimChar"/>
                <w:bCs/>
                <w:b/>
              </w:rPr>
              <w:t xml:space="preserve">by(south, note(""))</w:t>
            </w:r>
          </w:p>
          <w:p>
            <w:pPr>
              <w:numPr>
                <w:ilvl w:val="0"/>
                <w:numId w:val="1006"/>
              </w:numPr>
              <w:pStyle w:val="Compact"/>
            </w:pPr>
            <w:r>
              <w:t xml:space="preserve">Il n’est pas possible d’affecter une couleur différente à chaque sous graphique. Si on souhaite modifier les couleurs, il convient alors de faire un graphique combiné, en générant tous les histogrammes individuels. Au final, une opération assez fastidieuse qui n’apporte pas d’information supplémentaire.</w:t>
            </w:r>
          </w:p>
        </w:tc>
      </w:tr>
    </w:tbl>
    <w:bookmarkEnd w:id="35"/>
    <w:bookmarkStart w:id="64" w:name="densités"/>
    <w:p>
      <w:pPr>
        <w:pStyle w:val="Heading2"/>
      </w:pPr>
      <w:r>
        <w:t xml:space="preserve">1.2 Densités</w:t>
      </w:r>
    </w:p>
    <w:p>
      <w:pPr>
        <w:numPr>
          <w:ilvl w:val="0"/>
          <w:numId w:val="1007"/>
        </w:numPr>
        <w:pStyle w:val="Compact"/>
      </w:pPr>
      <w:r>
        <w:t xml:space="preserve">Graphique plébiscité actuellemeny en visualisation</w:t>
      </w:r>
    </w:p>
    <w:p>
      <w:pPr>
        <w:numPr>
          <w:ilvl w:val="0"/>
          <w:numId w:val="1007"/>
        </w:numPr>
        <w:pStyle w:val="Compact"/>
      </w:pPr>
      <w:r>
        <w:t xml:space="preserve">Basé sur des techniques de lissage, plus d’hypthèses que pour l’histogramme</w:t>
      </w:r>
    </w:p>
    <w:p>
      <w:pPr>
        <w:numPr>
          <w:ilvl w:val="0"/>
          <w:numId w:val="1007"/>
        </w:numPr>
        <w:pStyle w:val="Compact"/>
      </w:pPr>
      <w:r>
        <w:t xml:space="preserve">Comparaison par empilement des densités sur un même graphique ne pose pas de problème si leur nombre n’est pas trop élevé.</w:t>
      </w:r>
    </w:p>
    <w:p>
      <w:pPr>
        <w:numPr>
          <w:ilvl w:val="0"/>
          <w:numId w:val="1007"/>
        </w:numPr>
        <w:pStyle w:val="Compact"/>
      </w:pPr>
      <w:r>
        <w:t xml:space="preserve">Variantes:</w:t>
      </w:r>
    </w:p>
    <w:p>
      <w:pPr>
        <w:numPr>
          <w:ilvl w:val="1"/>
          <w:numId w:val="1008"/>
        </w:numPr>
        <w:pStyle w:val="Compact"/>
      </w:pPr>
      <w:r>
        <w:t xml:space="preserve">densité en mirroir</w:t>
      </w:r>
    </w:p>
    <w:p>
      <w:pPr>
        <w:numPr>
          <w:ilvl w:val="1"/>
          <w:numId w:val="1008"/>
        </w:numPr>
        <w:pStyle w:val="Compact"/>
      </w:pPr>
      <w:r>
        <w:t xml:space="preserve">Ajout d’une box plot (</w:t>
      </w:r>
      <w:r>
        <w:rPr>
          <w:iCs/>
          <w:i/>
        </w:rPr>
        <w:t xml:space="preserve">violinplot</w:t>
      </w:r>
      <w:r>
        <w:t xml:space="preserve"> </w:t>
      </w:r>
      <w:r>
        <w:t xml:space="preserve">- voir plus loin)</w:t>
      </w:r>
    </w:p>
    <w:p>
      <w:pPr>
        <w:numPr>
          <w:ilvl w:val="0"/>
          <w:numId w:val="1007"/>
        </w:numPr>
        <w:pStyle w:val="Compact"/>
      </w:pPr>
      <w:r>
        <w:t xml:space="preserve">Point de vigilance:</w:t>
      </w:r>
    </w:p>
    <w:p>
      <w:pPr>
        <w:numPr>
          <w:ilvl w:val="1"/>
          <w:numId w:val="1009"/>
        </w:numPr>
        <w:pStyle w:val="Compact"/>
      </w:pPr>
      <w:r>
        <w:t xml:space="preserve">les valeurs sur l’axe des abscisses peuvent sortir des bornes acceptables, par exemple un âge négatif.</w:t>
      </w:r>
    </w:p>
    <w:p>
      <w:pPr>
        <w:numPr>
          <w:ilvl w:val="0"/>
          <w:numId w:val="1007"/>
        </w:numPr>
        <w:pStyle w:val="Compact"/>
      </w:pPr>
      <w:r>
        <w:rPr>
          <w:bCs/>
          <w:b/>
        </w:rPr>
        <w:t xml:space="preserve">Comandes Stata</w:t>
      </w:r>
    </w:p>
    <w:p>
      <w:pPr>
        <w:numPr>
          <w:ilvl w:val="1"/>
          <w:numId w:val="1010"/>
        </w:numPr>
        <w:pStyle w:val="Compact"/>
      </w:pPr>
      <w:r>
        <w:t xml:space="preserve">pour le report d’une seule densité, la commande traditionnelle est</w:t>
      </w:r>
      <w:r>
        <w:t xml:space="preserve"> </w:t>
      </w:r>
      <w:r>
        <w:rPr>
          <w:rStyle w:val="VerbatimChar"/>
          <w:bCs/>
          <w:b/>
        </w:rPr>
        <w:t xml:space="preserve">kdensity</w:t>
      </w:r>
      <w:r>
        <w:t xml:space="preserve">. Ajouter l’option recast(area) si l’on souhaite reporter la densité sous forme d’aire.</w:t>
      </w:r>
    </w:p>
    <w:p>
      <w:pPr>
        <w:numPr>
          <w:ilvl w:val="1"/>
          <w:numId w:val="1010"/>
        </w:numPr>
        <w:pStyle w:val="Compact"/>
      </w:pPr>
      <w:r>
        <w:rPr>
          <w:rStyle w:val="VerbatimChar"/>
          <w:bCs/>
          <w:b/>
        </w:rPr>
        <w:t xml:space="preserve">violinplot</w:t>
      </w:r>
      <w:r>
        <w:t xml:space="preserve"> </w:t>
      </w:r>
      <w:r>
        <w:t xml:space="preserve">(B.Jann). Très récente, et très complète.</w:t>
      </w:r>
    </w:p>
    <w:p>
      <w:pPr>
        <w:numPr>
          <w:ilvl w:val="1"/>
          <w:numId w:val="1010"/>
        </w:numPr>
        <w:pStyle w:val="Compact"/>
      </w:pPr>
      <w:r>
        <w:rPr>
          <w:rStyle w:val="VerbatimChar"/>
          <w:bCs/>
          <w:b/>
        </w:rPr>
        <w:t xml:space="preserve">joyplot</w:t>
      </w:r>
      <w:r>
        <w:t xml:space="preserve"> </w:t>
      </w:r>
      <w:r>
        <w:t xml:space="preserve">(A.Naqvi) ou</w:t>
      </w:r>
      <w:r>
        <w:t xml:space="preserve"> </w:t>
      </w:r>
      <w:r>
        <w:rPr>
          <w:rStyle w:val="VerbatimChar"/>
          <w:bCs/>
          <w:b/>
        </w:rPr>
        <w:t xml:space="preserve">gridge</w:t>
      </w:r>
      <w:r>
        <w:t xml:space="preserve"> </w:t>
      </w:r>
      <w:r>
        <w:t xml:space="preserve">(MT). Si le nombre de comparaisons devient trop élevé, disons au moins 5-6, on peut utiliser ce type de visualisation, qui standardise les valeurs des densités, et qui permet par de jouer sur le niveau de superposition.</w:t>
      </w:r>
    </w:p>
    <w:p>
      <w:pPr>
        <w:pStyle w:val="SourceCode"/>
      </w:pPr>
      <w:r>
        <w:br/>
      </w:r>
      <w:r>
        <w:rPr>
          <w:rStyle w:val="NormalTok"/>
        </w:rPr>
        <w:t xml:space="preserve">* Penser à installer les dépendances, en particulier colorpalette</w:t>
      </w:r>
      <w:r>
        <w:br/>
      </w:r>
      <w:r>
        <w:rPr>
          <w:rStyle w:val="NormalTok"/>
        </w:rPr>
        <w:t xml:space="preserve">* Version github</w:t>
      </w:r>
      <w:r>
        <w:br/>
      </w:r>
      <w:r>
        <w:br/>
      </w:r>
      <w:r>
        <w:rPr>
          <w:rStyle w:val="NormalTok"/>
        </w:rPr>
        <w:t xml:space="preserve">net from https:</w:t>
      </w:r>
      <w:r>
        <w:rPr>
          <w:rStyle w:val="CommentTok"/>
        </w:rPr>
        <w:t xml:space="preserve">//raw.githubusercontent.com/benjann/violinplot/main/</w:t>
      </w:r>
      <w:r>
        <w:br/>
      </w:r>
      <w:r>
        <w:rPr>
          <w:rStyle w:val="NormalTok"/>
        </w:rPr>
        <w:t xml:space="preserve">net install violinplot, </w:t>
      </w:r>
      <w:r>
        <w:rPr>
          <w:rStyle w:val="KeywordTok"/>
        </w:rPr>
        <w:t xml:space="preserve">replace</w:t>
      </w:r>
    </w:p>
    <w:p>
      <w:pPr>
        <w:pStyle w:val="FirstParagraph"/>
      </w:pPr>
      <w:r>
        <w:rPr>
          <w:bCs/>
          <w:b/>
        </w:rPr>
        <w:t xml:space="preserve">Sans comparaison</w:t>
      </w:r>
    </w:p>
    <w:p>
      <w:pPr>
        <w:pStyle w:val="SourceCode"/>
      </w:pPr>
      <w:r>
        <w:br/>
      </w:r>
      <w:r>
        <w:rPr>
          <w:rStyle w:val="NormalTok"/>
        </w:rPr>
        <w:t xml:space="preserve">* une densité avec </w:t>
      </w:r>
      <w:r>
        <w:rPr>
          <w:rStyle w:val="KeywordTok"/>
        </w:rPr>
        <w:t xml:space="preserve">kdensity</w:t>
      </w:r>
      <w:r>
        <w:br/>
      </w:r>
      <w:r>
        <w:rPr>
          <w:rStyle w:val="KeywordTok"/>
        </w:rPr>
        <w:t xml:space="preserve">kdensity</w:t>
      </w:r>
      <w:r>
        <w:rPr>
          <w:rStyle w:val="NormalTok"/>
        </w:rPr>
        <w:t xml:space="preserve"> wage, </w:t>
      </w:r>
      <w:r>
        <w:rPr>
          <w:rStyle w:val="KeywordTok"/>
        </w:rPr>
        <w:t xml:space="preserve">note</w:t>
      </w:r>
      <w:r>
        <w:rPr>
          <w:rStyle w:val="NormalTok"/>
        </w:rPr>
        <w:t xml:space="preserve">(</w:t>
      </w:r>
      <w:r>
        <w:rPr>
          <w:rStyle w:val="StringTok"/>
        </w:rPr>
        <w:t xml:space="preserve">""</w:t>
      </w:r>
      <w:r>
        <w:rPr>
          <w:rStyle w:val="NormalTok"/>
        </w:rPr>
        <w:t xml:space="preserve">)  </w:t>
      </w:r>
      <w:r>
        <w:rPr>
          <w:rStyle w:val="KeywordTok"/>
        </w:rPr>
        <w:t xml:space="preserve">recast</w:t>
      </w:r>
      <w:r>
        <w:rPr>
          <w:rStyle w:val="NormalTok"/>
        </w:rPr>
        <w:t xml:space="preserve">(area) fc(</w:t>
      </w:r>
      <w:r>
        <w:rPr>
          <w:rStyle w:val="StringTok"/>
        </w:rPr>
        <w:t xml:space="preserve">"225 50 67"</w:t>
      </w:r>
      <w:r>
        <w:rPr>
          <w:rStyle w:val="NormalTok"/>
        </w:rPr>
        <w:t xml:space="preserve">) lc(</w:t>
      </w:r>
      <w:r>
        <w:rPr>
          <w:rStyle w:val="BaseNTok"/>
        </w:rPr>
        <w:t xml:space="preserve">black</w:t>
      </w:r>
      <w:r>
        <w:rPr>
          <w:rStyle w:val="NormalTok"/>
        </w:rPr>
        <w:t xml:space="preserve">) lw(*.5) </w:t>
      </w:r>
      <w:r>
        <w:rPr>
          <w:rStyle w:val="BaseNTok"/>
        </w:rPr>
        <w:t xml:space="preserve">title</w:t>
      </w:r>
      <w:r>
        <w:rPr>
          <w:rStyle w:val="NormalTok"/>
        </w:rPr>
        <w:t xml:space="preserve">(</w:t>
      </w:r>
      <w:r>
        <w:rPr>
          <w:rStyle w:val="StringTok"/>
        </w:rPr>
        <w:t xml:space="preserve">""</w:t>
      </w:r>
      <w:r>
        <w:rPr>
          <w:rStyle w:val="NormalTok"/>
        </w:rPr>
        <w:t xml:space="preserve">)</w:t>
      </w:r>
      <w:r>
        <w:br/>
      </w:r>
      <w:r>
        <w:br/>
      </w:r>
      <w:r>
        <w:rPr>
          <w:rStyle w:val="NormalTok"/>
        </w:rPr>
        <w:t xml:space="preserve">*  une densité avec violinplot</w:t>
      </w:r>
      <w:r>
        <w:br/>
      </w:r>
      <w:r>
        <w:rPr>
          <w:rStyle w:val="NormalTok"/>
        </w:rPr>
        <w:t xml:space="preserve">violinplot wage, colors(</w:t>
      </w:r>
      <w:r>
        <w:rPr>
          <w:rStyle w:val="StringTok"/>
        </w:rPr>
        <w:t xml:space="preserve">"225 50 67"</w:t>
      </w:r>
      <w:r>
        <w:rPr>
          <w:rStyle w:val="NormalTok"/>
        </w:rPr>
        <w:t xml:space="preserve">) </w:t>
      </w:r>
      <w:r>
        <w:rPr>
          <w:rStyle w:val="FunctionTok"/>
        </w:rPr>
        <w:t xml:space="preserve">fill</w:t>
      </w:r>
      <w:r>
        <w:rPr>
          <w:rStyle w:val="NormalTok"/>
        </w:rPr>
        <w:t xml:space="preserve"> p1(lc(</w:t>
      </w:r>
      <w:r>
        <w:rPr>
          <w:rStyle w:val="BaseNTok"/>
        </w:rPr>
        <w:t xml:space="preserve">black</w:t>
      </w:r>
      <w:r>
        <w:rPr>
          <w:rStyle w:val="NormalTok"/>
        </w:rPr>
        <w:t xml:space="preserve">) lw(*.2)) pdf(ll(0))  </w:t>
      </w:r>
      <w:r>
        <w:rPr>
          <w:rStyle w:val="CommentTok"/>
        </w:rPr>
        <w:t xml:space="preserve">///</w:t>
      </w:r>
      <w:r>
        <w:br/>
      </w:r>
      <w:r>
        <w:rPr>
          <w:rStyle w:val="NormalTok"/>
        </w:rPr>
        <w:t xml:space="preserve">left nomed nobox nowhisker</w:t>
      </w:r>
      <w:r>
        <w:br/>
      </w:r>
      <w:r>
        <w:br/>
      </w:r>
      <w:r>
        <w:rPr>
          <w:rStyle w:val="NormalTok"/>
        </w:rPr>
        <w:t xml:space="preserve">* une densité en mirroir avec liolinplot</w:t>
      </w:r>
      <w:r>
        <w:br/>
      </w:r>
      <w:r>
        <w:rPr>
          <w:rStyle w:val="NormalTok"/>
        </w:rPr>
        <w:t xml:space="preserve">violinplot wage, colors(</w:t>
      </w:r>
      <w:r>
        <w:rPr>
          <w:rStyle w:val="StringTok"/>
        </w:rPr>
        <w:t xml:space="preserve">"225 50 67"</w:t>
      </w:r>
      <w:r>
        <w:rPr>
          <w:rStyle w:val="NormalTok"/>
        </w:rPr>
        <w:t xml:space="preserve">) </w:t>
      </w:r>
      <w:r>
        <w:rPr>
          <w:rStyle w:val="FunctionTok"/>
        </w:rPr>
        <w:t xml:space="preserve">fill</w:t>
      </w:r>
      <w:r>
        <w:rPr>
          <w:rStyle w:val="NormalTok"/>
        </w:rPr>
        <w:t xml:space="preserve"> p1(lc(</w:t>
      </w:r>
      <w:r>
        <w:rPr>
          <w:rStyle w:val="BaseNTok"/>
        </w:rPr>
        <w:t xml:space="preserve">black</w:t>
      </w:r>
      <w:r>
        <w:rPr>
          <w:rStyle w:val="NormalTok"/>
        </w:rPr>
        <w:t xml:space="preserve">) lw(*.2))  </w:t>
      </w:r>
      <w:r>
        <w:rPr>
          <w:rStyle w:val="CommentTok"/>
        </w:rPr>
        <w:t xml:space="preserve">///</w:t>
      </w:r>
      <w:r>
        <w:br/>
      </w:r>
      <w:r>
        <w:rPr>
          <w:rStyle w:val="NormalTok"/>
        </w:rPr>
        <w:t xml:space="preserve">nomed nobox nowhisker</w:t>
      </w:r>
    </w:p>
    <w:tbl>
      <w:tblPr>
        <w:tblStyle w:val="Table"/>
        <w:tblW w:type="pct" w:w="4995"/>
        <w:tblLook w:firstRow="0" w:lastRow="0" w:firstColumn="0" w:lastColumn="0" w:noHBand="0" w:noVBand="0" w:val="0000"/>
        <w:jc w:val="start"/>
      </w:tblPr>
      <w:tblGrid>
        <w:gridCol w:w="2637"/>
        <w:gridCol w:w="2637"/>
        <w:gridCol w:w="2637"/>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28"/>
                        <wp:effectExtent b="0" l="0" r="0" t="0"/>
                        <wp:docPr descr="" title="" id="37" name="Picture"/>
                        <a:graphic>
                          <a:graphicData uri="http://schemas.openxmlformats.org/drawingml/2006/picture">
                            <pic:pic>
                              <pic:nvPicPr>
                                <pic:cNvPr descr="imgp4/g10.png" id="38" name="Picture"/>
                                <pic:cNvPicPr>
                                  <a:picLocks noChangeArrowheads="1" noChangeAspect="1"/>
                                </pic:cNvPicPr>
                              </pic:nvPicPr>
                              <pic:blipFill>
                                <a:blip r:embed="rId36"/>
                                <a:stretch>
                                  <a:fillRect/>
                                </a:stretch>
                              </pic:blipFill>
                              <pic:spPr bwMode="auto">
                                <a:xfrm>
                                  <a:off x="0" y="0"/>
                                  <a:ext cx="1975104" cy="143692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w:t>
                  </w:r>
                  <w:r>
                    <w:t xml:space="preserve"> </w:t>
                  </w:r>
                  <w:r>
                    <w:rPr>
                      <w:rStyle w:val="VerbatimChar"/>
                      <w:bCs/>
                      <w:b/>
                    </w:rPr>
                    <w:t xml:space="preserve">kdensity</w:t>
                  </w:r>
                </w:p>
              </w:tc>
            </w:tr>
          </w:tbl>
          <w:p/>
        </w:tc>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28"/>
                        <wp:effectExtent b="0" l="0" r="0" t="0"/>
                        <wp:docPr descr="" title="" id="40" name="Picture"/>
                        <a:graphic>
                          <a:graphicData uri="http://schemas.openxmlformats.org/drawingml/2006/picture">
                            <pic:pic>
                              <pic:nvPicPr>
                                <pic:cNvPr descr="imgp4/g11.png" id="41" name="Picture"/>
                                <pic:cNvPicPr>
                                  <a:picLocks noChangeArrowheads="1" noChangeAspect="1"/>
                                </pic:cNvPicPr>
                              </pic:nvPicPr>
                              <pic:blipFill>
                                <a:blip r:embed="rId39"/>
                                <a:stretch>
                                  <a:fillRect/>
                                </a:stretch>
                              </pic:blipFill>
                              <pic:spPr bwMode="auto">
                                <a:xfrm>
                                  <a:off x="0" y="0"/>
                                  <a:ext cx="1975104" cy="143692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w:t>
                  </w:r>
                  <w:r>
                    <w:t xml:space="preserve"> </w:t>
                  </w:r>
                  <w:r>
                    <w:rPr>
                      <w:rStyle w:val="VerbatimChar"/>
                      <w:bCs/>
                      <w:b/>
                    </w:rPr>
                    <w:t xml:space="preserve">violinplot</w:t>
                  </w:r>
                </w:p>
              </w:tc>
            </w:tr>
          </w:tbl>
          <w:p/>
        </w:tc>
      </w:tr>
    </w:tbl>
    <w:p>
      <w:pPr>
        <w:framePr w:w="0" w:h="0" w:vAnchor="margin" w:hAnchor="margin" w:xAlign="right" w:yAlign="top"/>
      </w:pPr>
    </w:p>
    <w:tbl>
      <w:tblPr>
        <w:tblStyle w:val="Table"/>
        <w:tblW w:type="pct" w:w="3330"/>
        <w:tblLook w:firstRow="0" w:lastRow="0" w:firstColumn="0" w:lastColumn="0" w:noHBand="0" w:noVBand="0" w:val="0000"/>
        <w:jc w:val="start"/>
      </w:tblPr>
      <w:tblGrid>
        <w:gridCol w:w="2637"/>
        <w:gridCol w:w="2637"/>
      </w:tblGrid>
      <w:tr>
        <w:tc>
          <w:tcPr/>
          <w:p>
            <w:pPr>
              <w:jc w:val="center"/>
            </w:pPr>
            <w:r>
              <w:t xml:space="preserve"> </w:t>
            </w:r>
          </w:p>
        </w:tc>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975104" cy="1436999"/>
                        <wp:effectExtent b="0" l="0" r="0" t="0"/>
                        <wp:docPr descr="" title="" id="43" name="Picture"/>
                        <a:graphic>
                          <a:graphicData uri="http://schemas.openxmlformats.org/drawingml/2006/picture">
                            <pic:pic>
                              <pic:nvPicPr>
                                <pic:cNvPr descr="imgp4/g12.png" id="44" name="Picture"/>
                                <pic:cNvPicPr>
                                  <a:picLocks noChangeArrowheads="1" noChangeAspect="1"/>
                                </pic:cNvPicPr>
                              </pic:nvPicPr>
                              <pic:blipFill>
                                <a:blip r:embed="rId42"/>
                                <a:stretch>
                                  <a:fillRect/>
                                </a:stretch>
                              </pic:blipFill>
                              <pic:spPr bwMode="auto">
                                <a:xfrm>
                                  <a:off x="0" y="0"/>
                                  <a:ext cx="1975104" cy="1436999"/>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densité en mirroir</w:t>
                  </w:r>
                </w:p>
              </w:tc>
            </w:tr>
          </w:tbl>
          <w:p/>
        </w:tc>
      </w:tr>
    </w:tbl>
    <w:p>
      <w:pPr>
        <w:pStyle w:val="BodyText"/>
      </w:pPr>
      <w:r>
        <w:rPr>
          <w:bCs/>
          <w:b/>
        </w:rPr>
        <w:t xml:space="preserve">Avec comparaison</w:t>
      </w:r>
    </w:p>
    <w:p>
      <w:pPr>
        <w:pStyle w:val="SourceCode"/>
      </w:pPr>
      <w:r>
        <w:rPr>
          <w:rStyle w:val="NormalTok"/>
        </w:rPr>
        <w:t xml:space="preserve">**** Comparaison</w:t>
      </w:r>
      <w:r>
        <w:br/>
      </w:r>
      <w:r>
        <w:rPr>
          <w:rStyle w:val="NormalTok"/>
        </w:rPr>
        <w:t xml:space="preserve">* Overlay demi Remplissage</w:t>
      </w:r>
      <w:r>
        <w:br/>
      </w:r>
      <w:r>
        <w:rPr>
          <w:rStyle w:val="NormalTok"/>
        </w:rPr>
        <w:t xml:space="preserve">violinplot wage,                                                                            </w:t>
      </w:r>
      <w:r>
        <w:rPr>
          <w:rStyle w:val="CommentTok"/>
        </w:rPr>
        <w:t xml:space="preserve">///</w:t>
      </w:r>
      <w:r>
        <w:br/>
      </w:r>
      <w:r>
        <w:rPr>
          <w:rStyle w:val="BaseNTok"/>
        </w:rPr>
        <w:t xml:space="preserve">over</w:t>
      </w:r>
      <w:r>
        <w:rPr>
          <w:rStyle w:val="NormalTok"/>
        </w:rPr>
        <w:t xml:space="preserve">(south) overlay horizontal left nomed                                                   </w:t>
      </w:r>
      <w:r>
        <w:rPr>
          <w:rStyle w:val="CommentTok"/>
        </w:rPr>
        <w:t xml:space="preserve">///</w:t>
      </w:r>
      <w:r>
        <w:br/>
      </w:r>
      <w:r>
        <w:rPr>
          <w:rStyle w:val="NormalTok"/>
        </w:rPr>
        <w:t xml:space="preserve">colors(</w:t>
      </w:r>
      <w:r>
        <w:rPr>
          <w:rStyle w:val="StringTok"/>
        </w:rPr>
        <w:t xml:space="preserve">"247 208 181"</w:t>
      </w:r>
      <w:r>
        <w:rPr>
          <w:rStyle w:val="NormalTok"/>
        </w:rPr>
        <w:t xml:space="preserve"> </w:t>
      </w:r>
      <w:r>
        <w:rPr>
          <w:rStyle w:val="StringTok"/>
        </w:rPr>
        <w:t xml:space="preserve">"225 50 67"</w:t>
      </w:r>
      <w:r>
        <w:rPr>
          <w:rStyle w:val="NormalTok"/>
        </w:rPr>
        <w:t xml:space="preserve">,  opacity(80)) lcolors(</w:t>
      </w:r>
      <w:r>
        <w:rPr>
          <w:rStyle w:val="BaseNTok"/>
        </w:rPr>
        <w:t xml:space="preserve">black</w:t>
      </w:r>
      <w:r>
        <w:rPr>
          <w:rStyle w:val="NormalTok"/>
        </w:rPr>
        <w:t xml:space="preserve">) </w:t>
      </w:r>
      <w:r>
        <w:rPr>
          <w:rStyle w:val="FunctionTok"/>
        </w:rPr>
        <w:t xml:space="preserve">fill</w:t>
      </w:r>
      <w:r>
        <w:rPr>
          <w:rStyle w:val="NormalTok"/>
        </w:rPr>
        <w:t xml:space="preserve"> p1(lw(*.2)) p2(lw(*.2)) </w:t>
      </w:r>
      <w:r>
        <w:rPr>
          <w:rStyle w:val="CommentTok"/>
        </w:rPr>
        <w:t xml:space="preserve">///</w:t>
      </w:r>
      <w:r>
        <w:br/>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w:t>
      </w:r>
      <w:r>
        <w:br/>
      </w:r>
      <w:r>
        <w:br/>
      </w:r>
      <w:r>
        <w:rPr>
          <w:rStyle w:val="NormalTok"/>
        </w:rPr>
        <w:t xml:space="preserve">* Overlay demi  sans remplissage</w:t>
      </w:r>
      <w:r>
        <w:br/>
      </w:r>
      <w:r>
        <w:rPr>
          <w:rStyle w:val="NormalTok"/>
        </w:rPr>
        <w:t xml:space="preserve">violinplot wage,                                                                            </w:t>
      </w:r>
      <w:r>
        <w:rPr>
          <w:rStyle w:val="CommentTok"/>
        </w:rPr>
        <w:t xml:space="preserve">///</w:t>
      </w:r>
      <w:r>
        <w:br/>
      </w:r>
      <w:r>
        <w:rPr>
          <w:rStyle w:val="BaseNTok"/>
        </w:rPr>
        <w:t xml:space="preserve">over</w:t>
      </w:r>
      <w:r>
        <w:rPr>
          <w:rStyle w:val="NormalTok"/>
        </w:rPr>
        <w:t xml:space="preserve">(south) overlay horizontal nomed left                                                   </w:t>
      </w:r>
      <w:r>
        <w:rPr>
          <w:rStyle w:val="CommentTok"/>
        </w:rPr>
        <w:t xml:space="preserve">///</w:t>
      </w:r>
      <w:r>
        <w:br/>
      </w:r>
      <w:r>
        <w:rPr>
          <w:rStyle w:val="NormalTok"/>
        </w:rPr>
        <w:t xml:space="preserve">colors(</w:t>
      </w:r>
      <w:r>
        <w:rPr>
          <w:rStyle w:val="StringTok"/>
        </w:rPr>
        <w:t xml:space="preserve">"247 208 181"</w:t>
      </w:r>
      <w:r>
        <w:rPr>
          <w:rStyle w:val="NormalTok"/>
        </w:rPr>
        <w:t xml:space="preserve"> </w:t>
      </w:r>
      <w:r>
        <w:rPr>
          <w:rStyle w:val="StringTok"/>
        </w:rPr>
        <w:t xml:space="preserve">"225 50 67"</w:t>
      </w:r>
      <w:r>
        <w:rPr>
          <w:rStyle w:val="NormalTok"/>
        </w:rPr>
        <w:t xml:space="preserve">,     opacity(80))                                          </w:t>
      </w:r>
      <w:r>
        <w:rPr>
          <w:rStyle w:val="CommentTok"/>
        </w:rPr>
        <w:t xml:space="preserve">///</w:t>
      </w:r>
      <w:r>
        <w:br/>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    </w:t>
      </w:r>
      <w:r>
        <w:br/>
      </w:r>
      <w:r>
        <w:br/>
      </w:r>
      <w:r>
        <w:rPr>
          <w:rStyle w:val="NormalTok"/>
        </w:rPr>
        <w:t xml:space="preserve">* Split</w:t>
      </w:r>
      <w:r>
        <w:br/>
      </w:r>
      <w:r>
        <w:rPr>
          <w:rStyle w:val="NormalTok"/>
        </w:rPr>
        <w:t xml:space="preserve">violinplot wage,  </w:t>
      </w:r>
      <w:r>
        <w:rPr>
          <w:rStyle w:val="KeywordTok"/>
        </w:rPr>
        <w:t xml:space="preserve">split</w:t>
      </w:r>
      <w:r>
        <w:rPr>
          <w:rStyle w:val="NormalTok"/>
        </w:rPr>
        <w:t xml:space="preserve">(south) nomed nobox nowhisker   </w:t>
      </w:r>
      <w:r>
        <w:rPr>
          <w:rStyle w:val="CommentTok"/>
        </w:rPr>
        <w:t xml:space="preserve">///</w:t>
      </w:r>
      <w:r>
        <w:br/>
      </w:r>
      <w:r>
        <w:rPr>
          <w:rStyle w:val="NormalTok"/>
        </w:rPr>
        <w:t xml:space="preserve"> colors(</w:t>
      </w:r>
      <w:r>
        <w:rPr>
          <w:rStyle w:val="StringTok"/>
        </w:rPr>
        <w:t xml:space="preserve">"247 208 181"</w:t>
      </w:r>
      <w:r>
        <w:rPr>
          <w:rStyle w:val="NormalTok"/>
        </w:rPr>
        <w:t xml:space="preserve"> </w:t>
      </w:r>
      <w:r>
        <w:rPr>
          <w:rStyle w:val="StringTok"/>
        </w:rPr>
        <w:t xml:space="preserve">"225 50 67"</w:t>
      </w:r>
      <w:r>
        <w:rPr>
          <w:rStyle w:val="NormalTok"/>
        </w:rPr>
        <w:t xml:space="preserve">)                     </w:t>
      </w:r>
      <w:r>
        <w:rPr>
          <w:rStyle w:val="CommentTok"/>
        </w:rPr>
        <w:t xml:space="preserve">///</w:t>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     </w:t>
      </w:r>
      <w:r>
        <w:br/>
      </w:r>
      <w:r>
        <w:rPr>
          <w:rStyle w:val="NormalTok"/>
        </w:rPr>
        <w:t xml:space="preserve"> </w:t>
      </w:r>
      <w:r>
        <w:br/>
      </w:r>
      <w:r>
        <w:rPr>
          <w:rStyle w:val="NormalTok"/>
        </w:rPr>
        <w:t xml:space="preserve">* Overlay mirroir sans remplissage</w:t>
      </w:r>
      <w:r>
        <w:br/>
      </w:r>
      <w:r>
        <w:rPr>
          <w:rStyle w:val="NormalTok"/>
        </w:rPr>
        <w:t xml:space="preserve">violinplot wage,                                               </w:t>
      </w:r>
      <w:r>
        <w:rPr>
          <w:rStyle w:val="CommentTok"/>
        </w:rPr>
        <w:t xml:space="preserve">///</w:t>
      </w:r>
      <w:r>
        <w:br/>
      </w:r>
      <w:r>
        <w:rPr>
          <w:rStyle w:val="BaseNTok"/>
        </w:rPr>
        <w:t xml:space="preserve">over</w:t>
      </w:r>
      <w:r>
        <w:rPr>
          <w:rStyle w:val="NormalTok"/>
        </w:rPr>
        <w:t xml:space="preserve">(south) overlay  nomed                                     </w:t>
      </w:r>
      <w:r>
        <w:rPr>
          <w:rStyle w:val="CommentTok"/>
        </w:rPr>
        <w:t xml:space="preserve">///</w:t>
      </w:r>
      <w:r>
        <w:br/>
      </w:r>
      <w:r>
        <w:rPr>
          <w:rStyle w:val="NormalTok"/>
        </w:rPr>
        <w:t xml:space="preserve">colors(</w:t>
      </w:r>
      <w:r>
        <w:rPr>
          <w:rStyle w:val="StringTok"/>
        </w:rPr>
        <w:t xml:space="preserve">"247 208 181"</w:t>
      </w:r>
      <w:r>
        <w:rPr>
          <w:rStyle w:val="NormalTok"/>
        </w:rPr>
        <w:t xml:space="preserve"> </w:t>
      </w:r>
      <w:r>
        <w:rPr>
          <w:rStyle w:val="StringTok"/>
        </w:rPr>
        <w:t xml:space="preserve">"225 50 67"</w:t>
      </w:r>
      <w:r>
        <w:rPr>
          <w:rStyle w:val="NormalTok"/>
        </w:rPr>
        <w:t xml:space="preserve">)                              </w:t>
      </w:r>
      <w:r>
        <w:rPr>
          <w:rStyle w:val="CommentTok"/>
        </w:rPr>
        <w:t xml:space="preserve">///</w:t>
      </w:r>
      <w:r>
        <w:br/>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"Not South"</w:t>
      </w:r>
      <w:r>
        <w:rPr>
          <w:rStyle w:val="NormalTok"/>
        </w:rPr>
        <w:t xml:space="preserve"> 2 </w:t>
      </w:r>
      <w:r>
        <w:rPr>
          <w:rStyle w:val="StringTok"/>
        </w:rPr>
        <w:t xml:space="preserve">"South"</w:t>
      </w:r>
      <w:r>
        <w:rPr>
          <w:rStyle w:val="NormalTok"/>
        </w:rPr>
        <w:t xml:space="preserve">) region(</w:t>
      </w:r>
      <w:r>
        <w:rPr>
          <w:rStyle w:val="KeywordTok"/>
        </w:rPr>
        <w:t xml:space="preserve">color</w:t>
      </w:r>
      <w:r>
        <w:rPr>
          <w:rStyle w:val="NormalTok"/>
        </w:rPr>
        <w:t xml:space="preserve">(%0)))    </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6" name="Picture"/>
                        <a:graphic>
                          <a:graphicData uri="http://schemas.openxmlformats.org/drawingml/2006/picture">
                            <pic:pic>
                              <pic:nvPicPr>
                                <pic:cNvPr descr="imgp4/g13.png" id="47" name="Picture"/>
                                <pic:cNvPicPr>
                                  <a:picLocks noChangeArrowheads="1" noChangeAspect="1"/>
                                </pic:cNvPicPr>
                              </pic:nvPicPr>
                              <pic:blipFill>
                                <a:blip r:embed="rId45"/>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aire</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9" name="Picture"/>
                        <a:graphic>
                          <a:graphicData uri="http://schemas.openxmlformats.org/drawingml/2006/picture">
                            <pic:pic>
                              <pic:nvPicPr>
                                <pic:cNvPr descr="imgp4/g14.png" id="50" name="Picture"/>
                                <pic:cNvPicPr>
                                  <a:picLocks noChangeArrowheads="1" noChangeAspect="1"/>
                                </pic:cNvPicPr>
                              </pic:nvPicPr>
                              <pic:blipFill>
                                <a:blip r:embed="rId48"/>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courbe</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2" name="Picture"/>
                        <a:graphic>
                          <a:graphicData uri="http://schemas.openxmlformats.org/drawingml/2006/picture">
                            <pic:pic>
                              <pic:nvPicPr>
                                <pic:cNvPr descr="imgp4/g15.png" id="53" name="Picture"/>
                                <pic:cNvPicPr>
                                  <a:picLocks noChangeArrowheads="1" noChangeAspect="1"/>
                                </pic:cNvPicPr>
                              </pic:nvPicPr>
                              <pic:blipFill>
                                <a:blip r:embed="rId51"/>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split</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5" name="Picture"/>
                        <a:graphic>
                          <a:graphicData uri="http://schemas.openxmlformats.org/drawingml/2006/picture">
                            <pic:pic>
                              <pic:nvPicPr>
                                <pic:cNvPr descr="imgp4/g16.png" id="56" name="Picture"/>
                                <pic:cNvPicPr>
                                  <a:picLocks noChangeArrowheads="1" noChangeAspect="1"/>
                                </pic:cNvPicPr>
                              </pic:nvPicPr>
                              <pic:blipFill>
                                <a:blip r:embed="rId5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violinplot</w:t>
                  </w:r>
                  <w:r>
                    <w:t xml:space="preserve">: comparaison mirroir overlay</w:t>
                  </w:r>
                </w:p>
              </w:tc>
            </w:tr>
          </w:tbl>
          <w:p/>
        </w:tc>
      </w:tr>
    </w:tbl>
    <w:p>
      <w:pPr>
        <w:pStyle w:val="BodyText"/>
      </w:pPr>
      <w:r>
        <w:t xml:space="preserve">Quelques précision sur les options de la commande violinplot</w:t>
      </w:r>
    </w:p>
    <w:p>
      <w:pPr>
        <w:numPr>
          <w:ilvl w:val="0"/>
          <w:numId w:val="1011"/>
        </w:numPr>
        <w:pStyle w:val="Compact"/>
      </w:pPr>
      <w:r>
        <w:t xml:space="preserve">Comme l’objectif n’est que de reporter les densités, on a retiré les éléments figurants dans une</w:t>
      </w:r>
      <w:r>
        <w:t xml:space="preserve"> </w:t>
      </w:r>
      <w:r>
        <w:rPr>
          <w:iCs/>
          <w:i/>
        </w:rPr>
        <w:t xml:space="preserve">boxplot</w:t>
      </w:r>
      <w:r>
        <w:t xml:space="preserve"> </w:t>
      </w:r>
      <w:r>
        <w:t xml:space="preserve">avec</w:t>
      </w:r>
      <w:r>
        <w:t xml:space="preserve"> </w:t>
      </w:r>
      <w:r>
        <w:rPr>
          <w:rStyle w:val="VerbatimChar"/>
          <w:bCs/>
          <w:b/>
        </w:rPr>
        <w:t xml:space="preserve">nomed</w:t>
      </w:r>
      <w:r>
        <w:t xml:space="preserve">,</w:t>
      </w:r>
      <w:r>
        <w:t xml:space="preserve"> </w:t>
      </w:r>
      <w:r>
        <w:rPr>
          <w:rStyle w:val="VerbatimChar"/>
          <w:bCs/>
          <w:b/>
        </w:rPr>
        <w:t xml:space="preserve">nob</w:t>
      </w:r>
      <w:r>
        <w:t xml:space="preserve"> </w:t>
      </w:r>
      <w:r>
        <w:t xml:space="preserve">et</w:t>
      </w:r>
      <w:r>
        <w:t xml:space="preserve"> </w:t>
      </w:r>
      <w:r>
        <w:rPr>
          <w:rStyle w:val="VerbatimChar"/>
          <w:bCs/>
          <w:b/>
        </w:rPr>
        <w:t xml:space="preserve">now</w:t>
      </w:r>
      <w:r>
        <w:t xml:space="preserve"> </w:t>
      </w:r>
      <w:r>
        <w:t xml:space="preserve">(syntaxe tronquée).</w:t>
      </w:r>
    </w:p>
    <w:p>
      <w:pPr>
        <w:numPr>
          <w:ilvl w:val="0"/>
          <w:numId w:val="1011"/>
        </w:numPr>
        <w:pStyle w:val="Compact"/>
      </w:pPr>
      <w:r>
        <w:rPr>
          <w:rStyle w:val="VerbatimChar"/>
          <w:bCs/>
          <w:b/>
        </w:rPr>
        <w:t xml:space="preserve">over()</w:t>
      </w:r>
      <w:r>
        <w:t xml:space="preserve"> </w:t>
      </w:r>
      <w:r>
        <w:t xml:space="preserve">permet de représenter les densités avec les différentes modalités sur un axe discret. On peut empiler sur une même origine l’axe discret avec l’option</w:t>
      </w:r>
      <w:r>
        <w:t xml:space="preserve"> </w:t>
      </w:r>
      <w:r>
        <w:rPr>
          <w:rStyle w:val="VerbatimChar"/>
          <w:bCs/>
          <w:b/>
        </w:rPr>
        <w:t xml:space="preserve">overlay</w:t>
      </w:r>
      <w:r>
        <w:t xml:space="preserve">.</w:t>
      </w:r>
    </w:p>
    <w:p>
      <w:pPr>
        <w:numPr>
          <w:ilvl w:val="0"/>
          <w:numId w:val="1011"/>
        </w:numPr>
        <w:pStyle w:val="Compact"/>
      </w:pPr>
      <w:r>
        <w:t xml:space="preserve">Les estimations de la densités peuvent sortir des bornes acceptables, ici par exemple un salaire horaire négatif. On peut renseigner les limites des bornes avec</w:t>
      </w:r>
      <w:r>
        <w:t xml:space="preserve"> </w:t>
      </w:r>
      <w:r>
        <w:rPr>
          <w:rStyle w:val="VerbatimChar"/>
          <w:bCs/>
          <w:b/>
        </w:rPr>
        <w:t xml:space="preserve">ll(min)</w:t>
      </w:r>
      <w:r>
        <w:t xml:space="preserve">,</w:t>
      </w:r>
      <w:r>
        <w:t xml:space="preserve"> </w:t>
      </w:r>
      <w:r>
        <w:rPr>
          <w:rStyle w:val="VerbatimChar"/>
          <w:bCs/>
          <w:b/>
        </w:rPr>
        <w:t xml:space="preserve">ul(max)</w:t>
      </w:r>
      <w:r>
        <w:t xml:space="preserve"> </w:t>
      </w:r>
      <w:r>
        <w:t xml:space="preserve">ou</w:t>
      </w:r>
      <w:r>
        <w:t xml:space="preserve"> </w:t>
      </w:r>
      <w:r>
        <w:rPr>
          <w:rStyle w:val="VerbatimChar"/>
          <w:bCs/>
          <w:b/>
        </w:rPr>
        <w:t xml:space="preserve">range(min max)</w:t>
      </w:r>
      <w:r>
        <w:t xml:space="preserve"> </w:t>
      </w:r>
      <w:r>
        <w:t xml:space="preserve">comme arguments de l’option</w:t>
      </w:r>
      <w:r>
        <w:t xml:space="preserve"> </w:t>
      </w:r>
      <w:r>
        <w:rPr>
          <w:rStyle w:val="VerbatimChar"/>
          <w:bCs/>
          <w:b/>
        </w:rPr>
        <w:t xml:space="preserve">pdf()</w:t>
      </w:r>
      <w:r>
        <w:t xml:space="preserve">. Dans l’exemple:</w:t>
      </w:r>
      <w:r>
        <w:t xml:space="preserve"> </w:t>
      </w:r>
      <w:r>
        <w:rPr>
          <w:rStyle w:val="VerbatimChar"/>
        </w:rPr>
        <w:t xml:space="preserve">ll(0)</w:t>
      </w:r>
      <w:r>
        <w:t xml:space="preserve"> </w:t>
      </w:r>
      <w:r>
        <w:t xml:space="preserve">comme valeur minimal de x.</w:t>
      </w:r>
    </w:p>
    <w:p>
      <w:pPr>
        <w:numPr>
          <w:ilvl w:val="0"/>
          <w:numId w:val="1011"/>
        </w:numPr>
        <w:pStyle w:val="Compact"/>
      </w:pPr>
      <w:r>
        <w:t xml:space="preserve">Par défaut les densités sont reportées en mirroir (principe de ce type de graphique). on peut retirer une des deux densités avec</w:t>
      </w:r>
      <w:r>
        <w:t xml:space="preserve"> </w:t>
      </w:r>
      <w:r>
        <w:rPr>
          <w:rStyle w:val="VerbatimChar"/>
          <w:bCs/>
          <w:b/>
        </w:rPr>
        <w:t xml:space="preserve">left</w:t>
      </w:r>
      <w:r>
        <w:t xml:space="preserve"> </w:t>
      </w:r>
      <w:r>
        <w:t xml:space="preserve">ou</w:t>
      </w:r>
      <w:r>
        <w:t xml:space="preserve"> </w:t>
      </w:r>
      <w:r>
        <w:rPr>
          <w:rStyle w:val="VerbatimChar"/>
          <w:bCs/>
          <w:b/>
        </w:rPr>
        <w:t xml:space="preserve">right</w:t>
      </w:r>
      <w:r>
        <w:t xml:space="preserve">.</w:t>
      </w:r>
    </w:p>
    <w:p>
      <w:pPr>
        <w:numPr>
          <w:ilvl w:val="0"/>
          <w:numId w:val="1011"/>
        </w:numPr>
        <w:pStyle w:val="Compact"/>
      </w:pPr>
      <w:r>
        <w:t xml:space="preserve">Remarque: pour les couleurs de remplissage, visiblement B.Jann a réduit l’intensité. Je ne suis pas arrivé à rétablir les couleurs d’origine de la palette choisie.</w:t>
      </w:r>
    </w:p>
    <w:p>
      <w:pPr>
        <w:pStyle w:val="FirstParagraph"/>
      </w:pPr>
      <w:r>
        <w:t xml:space="preserve">Si le nombre de modalité s’élève, il est préférable de ne pas activer l’option</w:t>
      </w:r>
      <w:r>
        <w:t xml:space="preserve"> </w:t>
      </w:r>
      <w:r>
        <w:rPr>
          <w:rStyle w:val="VerbatimChar"/>
        </w:rPr>
        <w:t xml:space="preserve">overlay</w:t>
      </w:r>
      <w:r>
        <w:t xml:space="preserve">, ou d’utiliser un graphique type</w:t>
      </w:r>
      <w:r>
        <w:t xml:space="preserve"> </w:t>
      </w:r>
      <w:r>
        <w:rPr>
          <w:bCs/>
          <w:b/>
        </w:rPr>
        <w:t xml:space="preserve">ligne de ridge</w:t>
      </w:r>
      <w:r>
        <w:t xml:space="preserve">. Pour cette dernière option j’ai pris ma solution [</w:t>
      </w:r>
      <w:hyperlink r:id="rId57">
        <w:r>
          <w:rPr>
            <w:rStyle w:val="VerbatimChar"/>
            <w:bCs/>
            <w:b/>
          </w:rPr>
          <w:t xml:space="preserve">gridge</w:t>
        </w:r>
      </w:hyperlink>
      <w:r>
        <w:t xml:space="preserve">] qui permet de contrôler l’ordre des variables reportées sur l’axe discret. On peut également et sans soucis se diriger vers la commanfe</w:t>
      </w:r>
      <w:r>
        <w:t xml:space="preserve"> </w:t>
      </w:r>
      <w:r>
        <w:rPr>
          <w:rStyle w:val="VerbatimChar"/>
          <w:bCs/>
          <w:b/>
        </w:rPr>
        <w:t xml:space="preserve">joyplot</w:t>
      </w:r>
      <w:r>
        <w:t xml:space="preserve"> </w:t>
      </w:r>
      <w:r>
        <w:t xml:space="preserve">d’A.Naqvi</w:t>
      </w:r>
    </w:p>
    <w:p>
      <w:pPr>
        <w:pStyle w:val="SourceCode"/>
      </w:pPr>
      <w:r>
        <w:br/>
      </w:r>
      <w:r>
        <w:rPr>
          <w:rStyle w:val="NormalTok"/>
        </w:rPr>
        <w:t xml:space="preserve">* Les dépendances sont installées si nécessaire</w:t>
      </w:r>
      <w:r>
        <w:br/>
      </w:r>
      <w:r>
        <w:br/>
      </w:r>
      <w:r>
        <w:rPr>
          <w:rStyle w:val="NormalTok"/>
        </w:rPr>
        <w:t xml:space="preserve">net install gridge, from(</w:t>
      </w:r>
      <w:r>
        <w:rPr>
          <w:rStyle w:val="StringTok"/>
        </w:rPr>
        <w:t xml:space="preserve">"https://raw.githubusercontent.com/mthevenin/stata_graphiques/master/ressources/gridge/"</w:t>
      </w:r>
      <w:r>
        <w:rPr>
          <w:rStyle w:val="NormalTok"/>
        </w:rPr>
        <w:t xml:space="preserve">) </w:t>
      </w:r>
      <w:r>
        <w:rPr>
          <w:rStyle w:val="KeywordTok"/>
        </w:rPr>
        <w:t xml:space="preserve">replace</w:t>
      </w:r>
    </w:p>
    <w:p>
      <w:pPr>
        <w:pStyle w:val="SourceCode"/>
      </w:pPr>
      <w:r>
        <w:rPr>
          <w:rStyle w:val="KeywordTok"/>
        </w:rPr>
        <w:t xml:space="preserve">recode</w:t>
      </w:r>
      <w:r>
        <w:rPr>
          <w:rStyle w:val="NormalTok"/>
        </w:rPr>
        <w:t xml:space="preserve"> occupation (9 10 11 12 = 13 )</w:t>
      </w:r>
      <w:r>
        <w:br/>
      </w:r>
      <w:r>
        <w:br/>
      </w:r>
      <w:r>
        <w:rPr>
          <w:rStyle w:val="NormalTok"/>
        </w:rPr>
        <w:t xml:space="preserve">* violinplot</w:t>
      </w:r>
      <w:r>
        <w:br/>
      </w:r>
      <w:r>
        <w:rPr>
          <w:rStyle w:val="NormalTok"/>
        </w:rPr>
        <w:t xml:space="preserve">violinplot wage,  </w:t>
      </w:r>
      <w:r>
        <w:rPr>
          <w:rStyle w:val="BaseNTok"/>
        </w:rPr>
        <w:t xml:space="preserve">over</w:t>
      </w:r>
      <w:r>
        <w:rPr>
          <w:rStyle w:val="NormalTok"/>
        </w:rPr>
        <w:t xml:space="preserve">(occupation) nomed nobox nowhisker   </w:t>
      </w:r>
      <w:r>
        <w:rPr>
          <w:rStyle w:val="CommentTok"/>
        </w:rPr>
        <w:t xml:space="preserve">///</w:t>
      </w:r>
      <w:r>
        <w:br/>
      </w:r>
      <w:r>
        <w:rPr>
          <w:rStyle w:val="NormalTok"/>
        </w:rPr>
        <w:t xml:space="preserve">colors(tableau)  pdf(ll(0)) </w:t>
      </w:r>
      <w:r>
        <w:rPr>
          <w:rStyle w:val="FunctionTok"/>
        </w:rPr>
        <w:t xml:space="preserve">fill</w:t>
      </w:r>
      <w:r>
        <w:rPr>
          <w:rStyle w:val="NormalTok"/>
        </w:rPr>
        <w:t xml:space="preserve"> n(99)</w:t>
      </w:r>
      <w:r>
        <w:br/>
      </w:r>
      <w:r>
        <w:br/>
      </w:r>
      <w:r>
        <w:rPr>
          <w:rStyle w:val="NormalTok"/>
        </w:rPr>
        <w:t xml:space="preserve">* gridge</w:t>
      </w:r>
      <w:r>
        <w:br/>
      </w:r>
      <w:r>
        <w:rPr>
          <w:rStyle w:val="NormalTok"/>
        </w:rPr>
        <w:t xml:space="preserve">gridge wage, </w:t>
      </w:r>
      <w:r>
        <w:rPr>
          <w:rStyle w:val="BaseNTok"/>
        </w:rPr>
        <w:t xml:space="preserve">over</w:t>
      </w:r>
      <w:r>
        <w:rPr>
          <w:rStyle w:val="NormalTok"/>
        </w:rPr>
        <w:t xml:space="preserve">(occupation) sortrev(</w:t>
      </w:r>
      <w:r>
        <w:rPr>
          <w:rStyle w:val="KeywordTok"/>
        </w:rPr>
        <w:t xml:space="preserve">mean</w:t>
      </w:r>
      <w:r>
        <w:rPr>
          <w:rStyle w:val="NormalTok"/>
        </w:rPr>
        <w:t xml:space="preserve">) </w:t>
      </w:r>
      <w:r>
        <w:rPr>
          <w:rStyle w:val="KeywordTok"/>
        </w:rPr>
        <w:t xml:space="preserve">range</w:t>
      </w:r>
      <w:r>
        <w:rPr>
          <w:rStyle w:val="NormalTok"/>
        </w:rPr>
        <w:t xml:space="preserve">(0 50) </w:t>
      </w:r>
      <w:r>
        <w:rPr>
          <w:rStyle w:val="KeywordTok"/>
        </w:rPr>
        <w:t xml:space="preserve">palette</w:t>
      </w:r>
      <w:r>
        <w:rPr>
          <w:rStyle w:val="NormalTok"/>
        </w:rPr>
        <w:t xml:space="preserve">(flare) bw(.5)</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9" name="Picture"/>
                        <a:graphic>
                          <a:graphicData uri="http://schemas.openxmlformats.org/drawingml/2006/picture">
                            <pic:pic>
                              <pic:nvPicPr>
                                <pic:cNvPr descr="imgp4/g17.png" id="60" name="Picture"/>
                                <pic:cNvPicPr>
                                  <a:picLocks noChangeArrowheads="1" noChangeAspect="1"/>
                                </pic:cNvPicPr>
                              </pic:nvPicPr>
                              <pic:blipFill>
                                <a:blip r:embed="rId58"/>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axe discret avec violinplot</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62" name="Picture"/>
                        <a:graphic>
                          <a:graphicData uri="http://schemas.openxmlformats.org/drawingml/2006/picture">
                            <pic:pic>
                              <pic:nvPicPr>
                                <pic:cNvPr descr="imgp4/g18.png" id="63" name="Picture"/>
                                <pic:cNvPicPr>
                                  <a:picLocks noChangeArrowheads="1" noChangeAspect="1"/>
                                </pic:cNvPicPr>
                              </pic:nvPicPr>
                              <pic:blipFill>
                                <a:blip r:embed="rId61"/>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rPr>
                      <w:rStyle w:val="VerbatimChar"/>
                      <w:bCs/>
                      <w:b/>
                    </w:rPr>
                    <w:t xml:space="preserve">Lignes de ridge avec gridge</w:t>
                  </w:r>
                </w:p>
              </w:tc>
            </w:tr>
          </w:tbl>
          <w:p/>
        </w:tc>
      </w:tr>
    </w:tbl>
    <w:bookmarkEnd w:id="64"/>
    <w:bookmarkStart w:id="65" w:name="X8cc098bd813e0544cf60d3e57e00c86079fca55"/>
    <w:p>
      <w:pPr>
        <w:pStyle w:val="Heading2"/>
      </w:pPr>
      <w:r>
        <w:t xml:space="preserve">1.3 Graphique synthétique: boxplot et violinplot</w:t>
      </w:r>
    </w:p>
    <w:p>
      <w:pPr>
        <w:pStyle w:val="FirstParagraph"/>
      </w:pPr>
      <w:r>
        <w:t xml:space="preserve">[14-03-2023]</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57" Target="https://mthevenin.github.io/stata_graphiques/programmation/gridge/gridge.html" TargetMode="External" /></Relationships>
</file>

<file path=word/_rels/footnotes.xml.rels><?xml version="1.0" encoding="UTF-8"?><Relationships xmlns="http://schemas.openxmlformats.org/package/2006/relationships"><Relationship Type="http://schemas.openxmlformats.org/officeDocument/2006/relationships/hyperlink" Id="rId57" Target="https://mthevenin.github.io/stata_graphiques/programmation/gridge/grid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distributions</dc:title>
  <dc:creator/>
  <cp:keywords/>
  <dcterms:created xsi:type="dcterms:W3CDTF">2023-06-30T13:10:02Z</dcterms:created>
  <dcterms:modified xsi:type="dcterms:W3CDTF">2023-06-30T13:10:02Z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