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fabplot</w:t>
      </w:r>
      <w:r>
        <w:t xml:space="preserve"> </w:t>
      </w:r>
      <w:r>
        <w:t xml:space="preserve">(NJ.Cox)</w:t>
      </w:r>
    </w:p>
    <w:p>
      <w:pPr>
        <w:pStyle w:val="Author"/>
      </w:pPr>
      <w:r>
        <w:t xml:space="preserve">Marc</w:t>
      </w:r>
      <w:r>
        <w:t xml:space="preserve"> </w:t>
      </w:r>
      <w:r>
        <w:t xml:space="preserve">Thévenin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La commande</w:t>
      </w:r>
      <w:r>
        <w:t xml:space="preserve"> </w:t>
      </w:r>
      <w:r>
        <w:rPr>
          <w:rStyle w:val="VerbatimChar"/>
          <w:bCs/>
          <w:b/>
        </w:rPr>
        <w:t xml:space="preserve">fabplot</w:t>
      </w:r>
      <w:r>
        <w:t xml:space="preserve"> </w:t>
      </w:r>
      <w:r>
        <w:t xml:space="preserve">programmée en 2021 par Nj.Cox permet de contrôler efficacement les effets dits</w:t>
      </w:r>
      <w:r>
        <w:t xml:space="preserve"> </w:t>
      </w:r>
      <w:r>
        <w:rPr>
          <w:iCs/>
          <w:i/>
        </w:rPr>
        <w:t xml:space="preserve">spaghetti</w:t>
      </w:r>
      <w:r>
        <w:t xml:space="preserve"> </w:t>
      </w:r>
      <w:r>
        <w:t xml:space="preserve">(courbes) ou</w:t>
      </w:r>
      <w:r>
        <w:t xml:space="preserve"> </w:t>
      </w:r>
      <w:r>
        <w:rPr>
          <w:iCs/>
          <w:i/>
        </w:rPr>
        <w:t xml:space="preserve">paella</w:t>
      </w:r>
      <w:r>
        <w:t xml:space="preserve"> </w:t>
      </w:r>
      <w:r>
        <w:t xml:space="preserve">(nuages de points). J’ai ajouté une option pour modifier les courbes au second plan, NJ.Cox ayant toujours tendance à bloquer l’habillage de ces commandes graphiques. La commande a été renommée</w:t>
      </w:r>
      <w:r>
        <w:t xml:space="preserve"> </w:t>
      </w:r>
      <w:r>
        <w:rPr>
          <w:rStyle w:val="VerbatimChar"/>
          <w:bCs/>
          <w:b/>
        </w:rPr>
        <w:t xml:space="preserve">fabplot2</w:t>
      </w:r>
      <w:r>
        <w:t xml:space="preserve"> </w:t>
      </w:r>
      <w:r>
        <w:t xml:space="preserve">et s’installe via github. Bien évidemment, tout le mérite revient à l’auteur d’origine, l’ajout de l’option ne m’a pris que quelques dizaines de secondes.</w:t>
      </w:r>
    </w:p>
    <w:p>
      <w:pPr>
        <w:pStyle w:val="BodyText"/>
      </w:pPr>
      <w:hyperlink r:id="rId20">
        <w:r>
          <w:rPr>
            <w:rStyle w:val="Hyperlink"/>
            <w:bCs/>
            <w:b/>
          </w:rPr>
          <w:t xml:space="preserve">Article Stata Journal</w:t>
        </w:r>
      </w:hyperlink>
    </w:p>
    <w:p>
      <w:pPr>
        <w:pStyle w:val="BodyText"/>
      </w:pPr>
      <w:r>
        <w:t xml:space="preserve">J’avais présenté le problème lors de la formation de 2020, mais avec un programme très compliqué. Cette commande très simple, permet de bien contrôler ce problème visualisation en utilisant sur deux objets graphiques l’option</w:t>
      </w:r>
      <w:r>
        <w:t xml:space="preserve"> </w:t>
      </w:r>
      <w:r>
        <w:rPr>
          <w:rStyle w:val="VerbatimChar"/>
        </w:rPr>
        <w:t xml:space="preserve">by</w:t>
      </w:r>
      <w:r>
        <w:t xml:space="preserve">…..pourquoi je n’y avais pas pensé.</w:t>
      </w:r>
    </w:p>
    <w:bookmarkStart w:id="28" w:name="installation"/>
    <w:p>
      <w:pPr>
        <w:pStyle w:val="Heading1"/>
      </w:pPr>
      <w:r>
        <w:t xml:space="preserve">1. Installation</w:t>
      </w:r>
    </w:p>
    <w:bookmarkStart w:id="21" w:name="fabplot"/>
    <w:p>
      <w:pPr>
        <w:pStyle w:val="Heading2"/>
      </w:pPr>
      <w:r>
        <w:t xml:space="preserve">1.1</w:t>
      </w:r>
      <w:r>
        <w:t xml:space="preserve"> </w:t>
      </w:r>
      <w:r>
        <w:rPr>
          <w:rStyle w:val="VerbatimChar"/>
        </w:rPr>
        <w:t xml:space="preserve">fabplot</w:t>
      </w:r>
    </w:p>
    <w:p>
      <w:pPr>
        <w:pStyle w:val="FirstParagraph"/>
      </w:pPr>
      <w:r>
        <w:t xml:space="preserve">Commande d’origine. L’objet en arrière plan n’est pas modifiable.</w:t>
      </w:r>
    </w:p>
    <w:p>
      <w:pPr>
        <w:pStyle w:val="SourceCode"/>
      </w:pPr>
      <w:r>
        <w:rPr>
          <w:rStyle w:val="NormalTok"/>
        </w:rPr>
        <w:t xml:space="preserve">ssc install fabplot</w:t>
      </w:r>
      <w:r>
        <w:br/>
      </w:r>
      <w:r>
        <w:br/>
      </w:r>
      <w:r>
        <w:rPr>
          <w:rStyle w:val="SpecialCharTok"/>
        </w:rPr>
        <w:t xml:space="preserve">*</w:t>
      </w:r>
      <w:r>
        <w:rPr>
          <w:rStyle w:val="NormalTok"/>
        </w:rPr>
        <w:t xml:space="preserve"> help fabplot</w:t>
      </w:r>
    </w:p>
    <w:bookmarkEnd w:id="21"/>
    <w:bookmarkStart w:id="22" w:name="fabplot2"/>
    <w:p>
      <w:pPr>
        <w:pStyle w:val="Heading2"/>
      </w:pPr>
      <w:r>
        <w:t xml:space="preserve">1.2</w:t>
      </w:r>
      <w:r>
        <w:t xml:space="preserve"> </w:t>
      </w:r>
      <w:r>
        <w:rPr>
          <w:rStyle w:val="VerbatimChar"/>
        </w:rPr>
        <w:t xml:space="preserve">fabplot2</w:t>
      </w:r>
    </w:p>
    <w:p>
      <w:pPr>
        <w:pStyle w:val="FirstParagraph"/>
      </w:pPr>
      <w:r>
        <w:t xml:space="preserve">J’ai juste ajouté l’option</w:t>
      </w:r>
      <w:r>
        <w:t xml:space="preserve"> </w:t>
      </w:r>
      <w:r>
        <w:rPr>
          <w:rStyle w:val="VerbatimChar"/>
          <w:bCs/>
          <w:b/>
        </w:rPr>
        <w:t xml:space="preserve">backopts</w:t>
      </w:r>
      <w:r>
        <w:t xml:space="preserve">. Même principe que l’option</w:t>
      </w:r>
      <w:r>
        <w:t xml:space="preserve"> </w:t>
      </w:r>
      <w:r>
        <w:rPr>
          <w:rStyle w:val="VerbatimChar"/>
          <w:bCs/>
          <w:b/>
        </w:rPr>
        <w:t xml:space="preserve">frontopts</w:t>
      </w:r>
      <w:r>
        <w:t xml:space="preserve"> </w:t>
      </w:r>
      <w:r>
        <w:t xml:space="preserve">qui modifie l’objet au premier plan.</w:t>
      </w:r>
    </w:p>
    <w:p>
      <w:pPr>
        <w:pStyle w:val="SourceCode"/>
      </w:pPr>
      <w:r>
        <w:rPr>
          <w:rStyle w:val="NormalTok"/>
        </w:rPr>
        <w:t xml:space="preserve">net install fabplot2, </w:t>
      </w:r>
      <w:r>
        <w:rPr>
          <w:rStyle w:val="FunctionTok"/>
        </w:rPr>
        <w:t xml:space="preserve">from</w:t>
      </w:r>
      <w:r>
        <w:rPr>
          <w:rStyle w:val="NormalTok"/>
        </w:rPr>
        <w:t xml:space="preserve">(</w:t>
      </w:r>
      <w:r>
        <w:rPr>
          <w:rStyle w:val="StringTok"/>
        </w:rPr>
        <w:t xml:space="preserve">"https://raw.githubusercontent.com/mthevenin/stata_graphiques/master/ressources/fabplot2/"</w:t>
      </w:r>
      <w:r>
        <w:rPr>
          <w:rStyle w:val="NormalTok"/>
        </w:rPr>
        <w:t xml:space="preserve">) replace</w:t>
      </w:r>
    </w:p>
    <w:bookmarkEnd w:id="22"/>
    <w:bookmarkStart w:id="27" w:name="exemple"/>
    <w:p>
      <w:pPr>
        <w:pStyle w:val="Heading2"/>
      </w:pPr>
      <w:r>
        <w:t xml:space="preserve">1.3 Exemple</w:t>
      </w:r>
    </w:p>
    <w:p>
      <w:pPr>
        <w:pStyle w:val="BlockText"/>
      </w:pPr>
      <w:r>
        <w:rPr>
          <w:bCs/>
          <w:b/>
        </w:rPr>
        <w:t xml:space="preserve">Note</w:t>
      </w:r>
      <w:r>
        <w:t xml:space="preserve"> </w:t>
      </w:r>
      <w:r>
        <w:t xml:space="preserve">J’utilise systématiquement un thème que je génère avec le paquet</w:t>
      </w:r>
      <w:r>
        <w:t xml:space="preserve"> </w:t>
      </w:r>
      <w:r>
        <w:rPr>
          <w:rStyle w:val="VerbatimChar"/>
          <w:bCs/>
          <w:b/>
        </w:rPr>
        <w:t xml:space="preserve">grstyle</w:t>
      </w:r>
      <w:r>
        <w:t xml:space="preserve"> </w:t>
      </w:r>
      <w:r>
        <w:t xml:space="preserve">de B.Jann.</w:t>
      </w:r>
    </w:p>
    <w:p>
      <w:pPr>
        <w:pStyle w:val="FirstParagraph"/>
      </w:pPr>
      <w:r>
        <w:t xml:space="preserve">Je reprends le même exemple que pour la formation, avec la base babynames.</w:t>
      </w:r>
      <w:r>
        <w:br/>
      </w:r>
      <w:r>
        <w:t xml:space="preserve">Ouverture de de la base:</w:t>
      </w:r>
    </w:p>
    <w:p>
      <w:pPr>
        <w:pStyle w:val="SourceCode"/>
      </w:pPr>
      <w:r>
        <w:rPr>
          <w:rStyle w:val="NormalTok"/>
        </w:rPr>
        <w:t xml:space="preserve">webuse set </w:t>
      </w:r>
      <w:r>
        <w:rPr>
          <w:rStyle w:val="StringTok"/>
        </w:rPr>
        <w:t xml:space="preserve">"https://raw.githubusercontent.com//mthevenin/stata_graphiques/master/ressources/fabplot2"</w:t>
      </w:r>
      <w:r>
        <w:br/>
      </w:r>
      <w:r>
        <w:rPr>
          <w:rStyle w:val="NormalTok"/>
        </w:rPr>
        <w:t xml:space="preserve">use babynames, clear</w:t>
      </w:r>
      <w:r>
        <w:br/>
      </w:r>
      <w:r>
        <w:rPr>
          <w:rStyle w:val="NormalTok"/>
        </w:rPr>
        <w:t xml:space="preserve">webuse set</w:t>
      </w:r>
    </w:p>
    <w:bookmarkStart w:id="26" w:name="empilement-des-9-courbes"/>
    <w:p>
      <w:pPr>
        <w:pStyle w:val="Heading3"/>
      </w:pPr>
      <w:r>
        <w:t xml:space="preserve">1.3.1 Empilement des 9 courbes</w:t>
      </w:r>
    </w:p>
    <w:p>
      <w:pPr>
        <w:pStyle w:val="FirstParagraph"/>
      </w:pPr>
      <w:r>
        <w:t xml:space="preserve">….. C’est illisible</w:t>
      </w:r>
    </w:p>
    <w:p>
      <w:pPr>
        <w:pStyle w:val="SourceCode"/>
      </w:pPr>
      <w:r>
        <w:rPr>
          <w:rStyle w:val="SpecialCharTok"/>
        </w:rPr>
        <w:t xml:space="preserve">*</w:t>
      </w:r>
      <w:r>
        <w:rPr>
          <w:rStyle w:val="NormalTok"/>
        </w:rPr>
        <w:t xml:space="preserve"> thème avec grstyle</w:t>
      </w:r>
      <w:r>
        <w:br/>
      </w:r>
      <w:r>
        <w:rPr>
          <w:rStyle w:val="NormalTok"/>
        </w:rPr>
        <w:t xml:space="preserve">grstyle init </w:t>
      </w:r>
      <w:r>
        <w:br/>
      </w:r>
      <w:r>
        <w:rPr>
          <w:rStyle w:val="NormalTok"/>
        </w:rPr>
        <w:t xml:space="preserve">grstyle set mesh</w:t>
      </w:r>
      <w:r>
        <w:br/>
      </w:r>
      <w:r>
        <w:rPr>
          <w:rStyle w:val="NormalTok"/>
        </w:rPr>
        <w:t xml:space="preserve">grstyle set color tableau, </w:t>
      </w:r>
      <w:r>
        <w:rPr>
          <w:rStyle w:val="FunctionTok"/>
        </w:rPr>
        <w:t xml:space="preserve">n</w:t>
      </w:r>
      <w:r>
        <w:rPr>
          <w:rStyle w:val="NormalTok"/>
        </w:rPr>
        <w:t xml:space="preserve">(</w:t>
      </w:r>
      <w:r>
        <w:rPr>
          <w:rStyle w:val="DecValTok"/>
        </w:rPr>
        <w:t xml:space="preserve">9</w:t>
      </w:r>
      <w:r>
        <w:rPr>
          <w:rStyle w:val="NormalTok"/>
        </w:rPr>
        <w:t xml:space="preserve">)</w:t>
      </w:r>
      <w:r>
        <w:br/>
      </w:r>
      <w:r>
        <w:br/>
      </w:r>
      <w:r>
        <w:rPr>
          <w:rStyle w:val="SpecialCharTok"/>
        </w:rPr>
        <w:t xml:space="preserve">*</w:t>
      </w:r>
      <w:r>
        <w:rPr>
          <w:rStyle w:val="NormalTok"/>
        </w:rPr>
        <w:t xml:space="preserve"> Graphique</w:t>
      </w:r>
      <w:r>
        <w:br/>
      </w:r>
      <w:r>
        <w:rPr>
          <w:rStyle w:val="NormalTok"/>
        </w:rPr>
        <w:t xml:space="preserve">levelsof name, </w:t>
      </w:r>
      <w:r>
        <w:rPr>
          <w:rStyle w:val="FunctionTok"/>
        </w:rPr>
        <w:t xml:space="preserve">local</w:t>
      </w:r>
      <w:r>
        <w:rPr>
          <w:rStyle w:val="NormalTok"/>
        </w:rPr>
        <w:t xml:space="preserve">(name)</w:t>
      </w:r>
      <w:r>
        <w:br/>
      </w:r>
      <w:r>
        <w:rPr>
          <w:rStyle w:val="NormalTok"/>
        </w:rPr>
        <w:t xml:space="preserve">local i </w:t>
      </w:r>
      <w:r>
        <w:rPr>
          <w:rStyle w:val="OtherTok"/>
        </w:rPr>
        <w:t xml:space="preserve">=</w:t>
      </w:r>
      <w:r>
        <w:rPr>
          <w:rStyle w:val="NormalTok"/>
        </w:rPr>
        <w:t xml:space="preserve"> </w:t>
      </w:r>
      <w:r>
        <w:rPr>
          <w:rStyle w:val="DecValTok"/>
        </w:rPr>
        <w:t xml:space="preserve">1</w:t>
      </w:r>
      <w:r>
        <w:br/>
      </w:r>
      <w:r>
        <w:rPr>
          <w:rStyle w:val="NormalTok"/>
        </w:rPr>
        <w:t xml:space="preserve">foreach nom of local name  {</w:t>
      </w:r>
      <w:r>
        <w:br/>
      </w:r>
      <w:r>
        <w:rPr>
          <w:rStyle w:val="NormalTok"/>
        </w:rPr>
        <w:t xml:space="preserve">local j </w:t>
      </w:r>
      <w:r>
        <w:rPr>
          <w:rStyle w:val="OtherTok"/>
        </w:rPr>
        <w:t xml:space="preserve">=</w:t>
      </w:r>
      <w:r>
        <w:rPr>
          <w:rStyle w:val="NormalTok"/>
        </w:rPr>
        <w:t xml:space="preserve"> </w:t>
      </w:r>
      <w:r>
        <w:rPr>
          <w:rStyle w:val="StringTok"/>
        </w:rPr>
        <w:t xml:space="preserve">`</w:t>
      </w:r>
      <w:r>
        <w:rPr>
          <w:rStyle w:val="AttributeTok"/>
        </w:rPr>
        <w:t xml:space="preserve">i++' </w:t>
      </w:r>
      <w:r>
        <w:br/>
      </w:r>
      <w:r>
        <w:rPr>
          <w:rStyle w:val="AttributeTok"/>
        </w:rPr>
        <w:t xml:space="preserve">local line </w:t>
      </w:r>
      <w:r>
        <w:rPr>
          <w:rStyle w:val="StringTok"/>
        </w:rPr>
        <w:t xml:space="preserve">`</w:t>
      </w:r>
      <w:r>
        <w:rPr>
          <w:rStyle w:val="NormalTok"/>
        </w:rPr>
        <w:t xml:space="preserve">line</w:t>
      </w:r>
      <w:r>
        <w:rPr>
          <w:rStyle w:val="StringTok"/>
        </w:rPr>
        <w:t xml:space="preserve">' line n year if name=="`nom'" ||       </w:t>
      </w:r>
      <w:r>
        <w:br/>
      </w:r>
      <w:r>
        <w:rPr>
          <w:rStyle w:val="StringTok"/>
        </w:rPr>
        <w:t xml:space="preserve">local leg `leg'  `j' "`</w:t>
      </w:r>
      <w:r>
        <w:rPr>
          <w:rStyle w:val="AttributeTok"/>
        </w:rPr>
        <w:t xml:space="preserve">nom'"</w:t>
      </w:r>
      <w:r>
        <w:br/>
      </w:r>
      <w:r>
        <w:rPr>
          <w:rStyle w:val="AttributeTok"/>
        </w:rPr>
        <w:t xml:space="preserve">}</w:t>
      </w:r>
      <w:r>
        <w:br/>
      </w:r>
      <w:r>
        <w:br/>
      </w:r>
      <w:r>
        <w:rPr>
          <w:rStyle w:val="AttributeTok"/>
        </w:rPr>
        <w:t xml:space="preserve">tw </w:t>
      </w:r>
      <w:r>
        <w:rPr>
          <w:rStyle w:val="StringTok"/>
        </w:rPr>
        <w:t xml:space="preserve">`</w:t>
      </w:r>
      <w:r>
        <w:rPr>
          <w:rStyle w:val="NormalTok"/>
        </w:rPr>
        <w:t xml:space="preserve">line</w:t>
      </w:r>
      <w:r>
        <w:rPr>
          <w:rStyle w:val="StringTok"/>
        </w:rPr>
        <w:t xml:space="preserve">' , legend(order(`leg'</w:t>
      </w:r>
      <w:r>
        <w:rPr>
          <w:rStyle w:val="ErrorTok"/>
        </w:rPr>
        <w:t xml:space="preserve">)</w:t>
      </w:r>
      <w:r>
        <w:rPr>
          <w:rStyle w:val="NormalTok"/>
        </w:rPr>
        <w:t xml:space="preserve"> </w:t>
      </w:r>
      <w:r>
        <w:rPr>
          <w:rStyle w:val="FunctionTok"/>
        </w:rPr>
        <w:t xml:space="preserve">row</w:t>
      </w:r>
      <w:r>
        <w:rPr>
          <w:rStyle w:val="NormalTok"/>
        </w:rPr>
        <w:t xml:space="preserve">(</w:t>
      </w:r>
      <w:r>
        <w:rPr>
          <w:rStyle w:val="DecValTok"/>
        </w:rPr>
        <w:t xml:space="preserve">2</w:t>
      </w:r>
      <w:r>
        <w:rPr>
          <w:rStyle w:val="NormalTok"/>
        </w:rPr>
        <w:t xml:space="preserve">) </w:t>
      </w:r>
      <w:r>
        <w:rPr>
          <w:rStyle w:val="FunctionTok"/>
        </w:rPr>
        <w:t xml:space="preserve">size</w:t>
      </w:r>
      <w:r>
        <w:rPr>
          <w:rStyle w:val="NormalTok"/>
        </w:rPr>
        <w:t xml:space="preserve">(</w:t>
      </w:r>
      <w:r>
        <w:rPr>
          <w:rStyle w:val="SpecialCharTok"/>
        </w:rPr>
        <w:t xml:space="preserve">*</w:t>
      </w:r>
      <w:r>
        <w:rPr>
          <w:rStyle w:val="NormalTok"/>
        </w:rPr>
        <w:t xml:space="preserve">.</w:t>
      </w:r>
      <w:r>
        <w:rPr>
          <w:rStyle w:val="DecValTok"/>
        </w:rPr>
        <w:t xml:space="preserve">8</w:t>
      </w:r>
      <w:r>
        <w:rPr>
          <w:rStyle w:val="NormalTok"/>
        </w:rPr>
        <w:t xml:space="preserve">)  </w:t>
      </w:r>
      <w:r>
        <w:rPr>
          <w:rStyle w:val="FunctionTok"/>
        </w:rPr>
        <w:t xml:space="preserve">region</w:t>
      </w:r>
      <w:r>
        <w:rPr>
          <w:rStyle w:val="NormalTok"/>
        </w:rPr>
        <w:t xml:space="preserve">(</w:t>
      </w:r>
      <w:r>
        <w:rPr>
          <w:rStyle w:val="FunctionTok"/>
        </w:rPr>
        <w:t xml:space="preserve">color</w:t>
      </w:r>
      <w:r>
        <w:rPr>
          <w:rStyle w:val="NormalTok"/>
        </w:rPr>
        <w:t xml:space="preserve">(%</w:t>
      </w:r>
      <w:r>
        <w:rPr>
          <w:rStyle w:val="DecValTok"/>
        </w:rPr>
        <w:t xml:space="preserve">0</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w:t>
      </w:r>
      <w:r>
        <w:rPr>
          <w:rStyle w:val="ErrorTok"/>
        </w:rPr>
        <w:t xml:space="preserve">)</w:t>
      </w:r>
      <w:r>
        <w:rPr>
          <w:rStyle w:val="NormalTok"/>
        </w:rPr>
        <w:t xml:space="preserve"> </w:t>
      </w:r>
      <w:r>
        <w:rPr>
          <w:rStyle w:val="FunctionTok"/>
        </w:rPr>
        <w:t xml:space="preserve">ytitle</w:t>
      </w:r>
      <w:r>
        <w:rPr>
          <w:rStyle w:val="NormalTok"/>
        </w:rPr>
        <w:t xml:space="preserve">(</w:t>
      </w:r>
      <w:r>
        <w:rPr>
          <w:rStyle w:val="StringTok"/>
        </w:rPr>
        <w:t xml:space="preserve">""</w:t>
      </w:r>
      <w:r>
        <w:rPr>
          <w:rStyle w:val="NormalTok"/>
        </w:rPr>
        <w:t xml:space="preserve">) </w:t>
      </w:r>
      <w:r>
        <w:rPr>
          <w:rStyle w:val="FunctionTok"/>
        </w:rPr>
        <w:t xml:space="preserve">ylabel</w:t>
      </w:r>
      <w:r>
        <w:rPr>
          <w:rStyle w:val="NormalTok"/>
        </w:rPr>
        <w:t xml:space="preserve">(</w:t>
      </w:r>
      <w:r>
        <w:rPr>
          <w:rStyle w:val="DecValTok"/>
        </w:rPr>
        <w:t xml:space="preserve">0</w:t>
      </w:r>
      <w:r>
        <w:rPr>
          <w:rStyle w:val="NormalTok"/>
        </w:rPr>
        <w:t xml:space="preserve">(</w:t>
      </w:r>
      <w:r>
        <w:rPr>
          <w:rStyle w:val="DecValTok"/>
        </w:rPr>
        <w:t xml:space="preserve">20000</w:t>
      </w:r>
      <w:r>
        <w:rPr>
          <w:rStyle w:val="NormalTok"/>
        </w:rPr>
        <w:t xml:space="preserve">)</w:t>
      </w:r>
      <w:r>
        <w:rPr>
          <w:rStyle w:val="DecValTok"/>
        </w:rPr>
        <w:t xml:space="preserve">100000</w:t>
      </w:r>
      <w:r>
        <w:rPr>
          <w:rStyle w:val="NormalTok"/>
        </w:rPr>
        <w:t xml:space="preserve">, </w:t>
      </w:r>
      <w:r>
        <w:rPr>
          <w:rStyle w:val="FunctionTok"/>
        </w:rPr>
        <w:t xml:space="preserve">angle</w:t>
      </w:r>
      <w:r>
        <w:rPr>
          <w:rStyle w:val="NormalTok"/>
        </w:rPr>
        <w:t xml:space="preserve">(</w:t>
      </w:r>
      <w:r>
        <w:rPr>
          <w:rStyle w:val="DecValTok"/>
        </w:rPr>
        <w:t xml:space="preserve">0</w:t>
      </w:r>
      <w:r>
        <w:rPr>
          <w:rStyle w:val="NormalTok"/>
        </w:rPr>
        <w:t xml:space="preserve">)) </w:t>
      </w:r>
      <w:r>
        <w:rPr>
          <w:rStyle w:val="SpecialCharTok"/>
        </w:rPr>
        <w:t xml:space="preserve">/</w:t>
      </w:r>
      <w:r>
        <w:rPr>
          <w:rStyle w:val="ErrorTok"/>
        </w:rPr>
        <w:t xml:space="preserve">//</w:t>
      </w:r>
      <w:r>
        <w:br/>
      </w:r>
      <w:r>
        <w:rPr>
          <w:rStyle w:val="FunctionTok"/>
        </w:rPr>
        <w:t xml:space="preserve">title</w:t>
      </w:r>
      <w:r>
        <w:rPr>
          <w:rStyle w:val="NormalTok"/>
        </w:rPr>
        <w:t xml:space="preserve">(</w:t>
      </w:r>
      <w:r>
        <w:rPr>
          <w:rStyle w:val="StringTok"/>
        </w:rPr>
        <w:t xml:space="preserve">"Popularité des prénoms"</w:t>
      </w:r>
      <w:r>
        <w:rPr>
          <w:rStyle w:val="NormalTok"/>
        </w:rPr>
        <w:t xml:space="preserve">)</w:t>
      </w:r>
    </w:p>
    <w:p>
      <w:pPr>
        <w:pStyle w:val="FirstParagraph"/>
      </w:pPr>
      <w:r>
        <w:drawing>
          <wp:inline>
            <wp:extent cx="3733800" cy="2716550"/>
            <wp:effectExtent b="0" l="0" r="0" t="0"/>
            <wp:docPr descr="" title="" id="24" name="Picture"/>
            <a:graphic>
              <a:graphicData uri="http://schemas.openxmlformats.org/drawingml/2006/picture">
                <pic:pic>
                  <pic:nvPicPr>
                    <pic:cNvPr descr="g1.png" id="25" name="Picture"/>
                    <pic:cNvPicPr>
                      <a:picLocks noChangeArrowheads="1" noChangeAspect="1"/>
                    </pic:cNvPicPr>
                  </pic:nvPicPr>
                  <pic:blipFill>
                    <a:blip r:embed="rId23"/>
                    <a:stretch>
                      <a:fillRect/>
                    </a:stretch>
                  </pic:blipFill>
                  <pic:spPr bwMode="auto">
                    <a:xfrm>
                      <a:off x="0" y="0"/>
                      <a:ext cx="3733800" cy="2716550"/>
                    </a:xfrm>
                    <a:prstGeom prst="rect">
                      <a:avLst/>
                    </a:prstGeom>
                    <a:noFill/>
                    <a:ln w="9525">
                      <a:noFill/>
                      <a:headEnd/>
                      <a:tailEnd/>
                    </a:ln>
                  </pic:spPr>
                </pic:pic>
              </a:graphicData>
            </a:graphic>
          </wp:inline>
        </w:drawing>
      </w:r>
    </w:p>
    <w:bookmarkEnd w:id="26"/>
    <w:bookmarkEnd w:id="27"/>
    <w:bookmarkEnd w:id="28"/>
    <w:bookmarkStart w:id="35" w:name="small-multiple-avec-fabplot"/>
    <w:p>
      <w:pPr>
        <w:pStyle w:val="Heading1"/>
      </w:pPr>
      <w:r>
        <w:t xml:space="preserve">2. Small-Multiple avec fabplot</w:t>
      </w:r>
    </w:p>
    <w:p>
      <w:pPr>
        <w:pStyle w:val="FirstParagraph"/>
      </w:pPr>
      <w:r>
        <w:t xml:space="preserve">Avec un graphique de type statique, une solution à priviliégier serait un graphique de type</w:t>
      </w:r>
      <w:r>
        <w:t xml:space="preserve"> </w:t>
      </w:r>
      <w:r>
        <w:rPr>
          <w:iCs/>
          <w:i/>
          <w:bCs/>
          <w:b/>
        </w:rPr>
        <w:t xml:space="preserve">small-multiple</w:t>
      </w:r>
      <w:r>
        <w:t xml:space="preserve"> </w:t>
      </w:r>
      <w:r>
        <w:t xml:space="preserve">en conservant les autres courbes en arrière plan. Avec Stata, ce type de graphique est exécuté avec l’option</w:t>
      </w:r>
      <w:r>
        <w:t xml:space="preserve"> </w:t>
      </w:r>
      <w:r>
        <w:rPr>
          <w:rStyle w:val="VerbatimChar"/>
          <w:bCs/>
          <w:b/>
        </w:rPr>
        <w:t xml:space="preserve">by()</w:t>
      </w:r>
      <w:r>
        <w:t xml:space="preserve">.</w:t>
      </w:r>
    </w:p>
    <w:bookmarkStart w:id="29" w:name="syntaxe-allégée"/>
    <w:p>
      <w:pPr>
        <w:pStyle w:val="Heading2"/>
      </w:pPr>
      <w:r>
        <w:t xml:space="preserve">2.1 Syntaxe allégée</w:t>
      </w:r>
    </w:p>
    <w:p>
      <w:pPr>
        <w:pStyle w:val="FirstParagraph"/>
      </w:pPr>
      <w:r>
        <w:rPr>
          <w:rStyle w:val="VerbatimChar"/>
          <w:bCs/>
          <w:b/>
        </w:rPr>
        <w:t xml:space="preserve">fabplot[2] command yvar xvar [if] [in], by(byvar [,byopts]) [frontopts() backopts()] ....</w:t>
      </w:r>
    </w:p>
    <w:p>
      <w:pPr>
        <w:numPr>
          <w:ilvl w:val="0"/>
          <w:numId w:val="1001"/>
        </w:numPr>
        <w:pStyle w:val="Compact"/>
      </w:pPr>
      <w:r>
        <w:rPr>
          <w:rStyle w:val="VerbatimChar"/>
        </w:rPr>
        <w:t xml:space="preserve">fabplot[2]</w:t>
      </w:r>
      <w:r>
        <w:t xml:space="preserve">:</w:t>
      </w:r>
      <w:r>
        <w:t xml:space="preserve"> </w:t>
      </w:r>
      <w:r>
        <w:rPr>
          <w:rStyle w:val="VerbatimChar"/>
        </w:rPr>
        <w:t xml:space="preserve">fabplot</w:t>
      </w:r>
      <w:r>
        <w:t xml:space="preserve"> </w:t>
      </w:r>
      <w:r>
        <w:t xml:space="preserve">ou</w:t>
      </w:r>
      <w:r>
        <w:t xml:space="preserve"> </w:t>
      </w:r>
      <w:r>
        <w:rPr>
          <w:rStyle w:val="VerbatimChar"/>
        </w:rPr>
        <w:t xml:space="preserve">fabplot2</w:t>
      </w:r>
    </w:p>
    <w:p>
      <w:pPr>
        <w:numPr>
          <w:ilvl w:val="0"/>
          <w:numId w:val="1001"/>
        </w:numPr>
        <w:pStyle w:val="Compact"/>
      </w:pPr>
      <w:r>
        <w:rPr>
          <w:rStyle w:val="VerbatimChar"/>
        </w:rPr>
        <w:t xml:space="preserve">command</w:t>
      </w:r>
      <w:r>
        <w:t xml:space="preserve">:</w:t>
      </w:r>
      <w:r>
        <w:t xml:space="preserve"> </w:t>
      </w:r>
      <w:r>
        <w:rPr>
          <w:bCs/>
          <w:b/>
        </w:rPr>
        <w:t xml:space="preserve">line</w:t>
      </w:r>
      <w:r>
        <w:t xml:space="preserve"> </w:t>
      </w:r>
      <w:r>
        <w:t xml:space="preserve">ou</w:t>
      </w:r>
      <w:r>
        <w:t xml:space="preserve"> </w:t>
      </w:r>
      <w:r>
        <w:rPr>
          <w:bCs/>
          <w:b/>
        </w:rPr>
        <w:t xml:space="preserve">scatter</w:t>
      </w:r>
    </w:p>
    <w:p>
      <w:pPr>
        <w:numPr>
          <w:ilvl w:val="0"/>
          <w:numId w:val="1001"/>
        </w:numPr>
        <w:pStyle w:val="Compact"/>
      </w:pPr>
      <w:r>
        <w:rPr>
          <w:rStyle w:val="VerbatimChar"/>
        </w:rPr>
        <w:t xml:space="preserve">by(byvar [,opts)]</w:t>
      </w:r>
      <w:r>
        <w:t xml:space="preserve">: indiquer à minima la variable catégorielle qui produira chaque sous graphique. Beaucoup d’options du graphique entre sans cette option, comme les titres ou la couleur du background</w:t>
      </w:r>
    </w:p>
    <w:p>
      <w:pPr>
        <w:numPr>
          <w:ilvl w:val="0"/>
          <w:numId w:val="1001"/>
        </w:numPr>
        <w:pStyle w:val="Compact"/>
      </w:pPr>
      <w:r>
        <w:rPr>
          <w:rStyle w:val="VerbatimChar"/>
        </w:rPr>
        <w:t xml:space="preserve">frontopts</w:t>
      </w:r>
      <w:r>
        <w:t xml:space="preserve">: les options de l’objet graphique en relief, comme la couleur et l’épaisseur de la courbe ou des marqueurs</w:t>
      </w:r>
    </w:p>
    <w:p>
      <w:pPr>
        <w:numPr>
          <w:ilvl w:val="0"/>
          <w:numId w:val="1001"/>
        </w:numPr>
        <w:pStyle w:val="Compact"/>
      </w:pPr>
      <w:r>
        <w:rPr>
          <w:rStyle w:val="VerbatimChar"/>
        </w:rPr>
        <w:t xml:space="preserve">backopts</w:t>
      </w:r>
      <w:r>
        <w:t xml:space="preserve">: avec</w:t>
      </w:r>
      <w:r>
        <w:t xml:space="preserve"> </w:t>
      </w:r>
      <w:r>
        <w:rPr>
          <w:rStyle w:val="VerbatimChar"/>
        </w:rPr>
        <w:t xml:space="preserve">fabplot2</w:t>
      </w:r>
      <w:r>
        <w:t xml:space="preserve"> </w:t>
      </w:r>
      <w:r>
        <w:t xml:space="preserve">seulement, les options de l’objet graphique en arrière plan.</w:t>
      </w:r>
    </w:p>
    <w:bookmarkEnd w:id="29"/>
    <w:bookmarkStart w:id="34" w:name="application"/>
    <w:p>
      <w:pPr>
        <w:pStyle w:val="Heading2"/>
      </w:pPr>
      <w:r>
        <w:t xml:space="preserve">2.2 Application</w:t>
      </w:r>
    </w:p>
    <w:p>
      <w:pPr>
        <w:pStyle w:val="SourceCode"/>
      </w:pPr>
      <w:r>
        <w:rPr>
          <w:rStyle w:val="CommentTok"/>
        </w:rPr>
        <w:t xml:space="preserve">#delimit ;</w:t>
      </w:r>
      <w:r>
        <w:br/>
      </w:r>
      <w:r>
        <w:br/>
      </w:r>
      <w:r>
        <w:rPr>
          <w:rStyle w:val="NormalTok"/>
        </w:rPr>
        <w:t xml:space="preserve">fabplot2 line n year, </w:t>
      </w:r>
      <w:r>
        <w:br/>
      </w:r>
      <w:r>
        <w:rPr>
          <w:rStyle w:val="FunctionTok"/>
        </w:rPr>
        <w:t xml:space="preserve">by</w:t>
      </w:r>
      <w:r>
        <w:rPr>
          <w:rStyle w:val="NormalTok"/>
        </w:rPr>
        <w:t xml:space="preserve">(name, </w:t>
      </w:r>
      <w:r>
        <w:rPr>
          <w:rStyle w:val="FunctionTok"/>
        </w:rPr>
        <w:t xml:space="preserve">title</w:t>
      </w:r>
      <w:r>
        <w:rPr>
          <w:rStyle w:val="NormalTok"/>
        </w:rPr>
        <w:t xml:space="preserve">(</w:t>
      </w:r>
      <w:r>
        <w:rPr>
          <w:rStyle w:val="StringTok"/>
        </w:rPr>
        <w:t xml:space="preserve">"Popularité des prénoms"</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 </w:t>
      </w:r>
      <w:r>
        <w:br/>
      </w:r>
      <w:r>
        <w:br/>
      </w:r>
      <w:r>
        <w:rPr>
          <w:rStyle w:val="FunctionTok"/>
        </w:rPr>
        <w:t xml:space="preserve">frontopts</w:t>
      </w:r>
      <w:r>
        <w:rPr>
          <w:rStyle w:val="NormalTok"/>
        </w:rPr>
        <w:t xml:space="preserve">(</w:t>
      </w:r>
      <w:r>
        <w:rPr>
          <w:rStyle w:val="FunctionTok"/>
        </w:rPr>
        <w:t xml:space="preserve">lw</w:t>
      </w:r>
      <w:r>
        <w:rPr>
          <w:rStyle w:val="NormalTok"/>
        </w:rPr>
        <w:t xml:space="preserve">(</w:t>
      </w:r>
      <w:r>
        <w:rPr>
          <w:rStyle w:val="SpecialCharTok"/>
        </w:rPr>
        <w:t xml:space="preserve">*</w:t>
      </w:r>
      <w:r>
        <w:rPr>
          <w:rStyle w:val="DecValTok"/>
        </w:rPr>
        <w:t xml:space="preserve">2</w:t>
      </w:r>
      <w:r>
        <w:rPr>
          <w:rStyle w:val="NormalTok"/>
        </w:rPr>
        <w:t xml:space="preserve">) </w:t>
      </w:r>
      <w:r>
        <w:rPr>
          <w:rStyle w:val="FunctionTok"/>
        </w:rPr>
        <w:t xml:space="preserve">lc</w:t>
      </w:r>
      <w:r>
        <w:rPr>
          <w:rStyle w:val="NormalTok"/>
        </w:rPr>
        <w:t xml:space="preserve">(</w:t>
      </w:r>
      <w:r>
        <w:rPr>
          <w:rStyle w:val="StringTok"/>
        </w:rPr>
        <w:t xml:space="preserve">"45 178 125"</w:t>
      </w:r>
      <w:r>
        <w:rPr>
          <w:rStyle w:val="NormalTok"/>
        </w:rPr>
        <w:t xml:space="preserve">)) </w:t>
      </w:r>
      <w:r>
        <w:br/>
      </w:r>
      <w:r>
        <w:rPr>
          <w:rStyle w:val="FunctionTok"/>
        </w:rPr>
        <w:t xml:space="preserve">backopts</w:t>
      </w:r>
      <w:r>
        <w:rPr>
          <w:rStyle w:val="NormalTok"/>
        </w:rPr>
        <w:t xml:space="preserve">(</w:t>
      </w:r>
      <w:r>
        <w:rPr>
          <w:rStyle w:val="FunctionTok"/>
        </w:rPr>
        <w:t xml:space="preserve">lw</w:t>
      </w:r>
      <w:r>
        <w:rPr>
          <w:rStyle w:val="NormalTok"/>
        </w:rPr>
        <w:t xml:space="preserve">(</w:t>
      </w:r>
      <w:r>
        <w:rPr>
          <w:rStyle w:val="SpecialCharTok"/>
        </w:rPr>
        <w:t xml:space="preserve">*</w:t>
      </w:r>
      <w:r>
        <w:rPr>
          <w:rStyle w:val="NormalTok"/>
        </w:rPr>
        <w:t xml:space="preserve">.</w:t>
      </w:r>
      <w:r>
        <w:rPr>
          <w:rStyle w:val="DecValTok"/>
        </w:rPr>
        <w:t xml:space="preserve">5</w:t>
      </w:r>
      <w:r>
        <w:rPr>
          <w:rStyle w:val="NormalTok"/>
        </w:rPr>
        <w:t xml:space="preserve">) </w:t>
      </w:r>
      <w:r>
        <w:rPr>
          <w:rStyle w:val="FunctionTok"/>
        </w:rPr>
        <w:t xml:space="preserve">lc</w:t>
      </w:r>
      <w:r>
        <w:rPr>
          <w:rStyle w:val="NormalTok"/>
        </w:rPr>
        <w:t xml:space="preserve">(gs9)) </w:t>
      </w:r>
      <w:r>
        <w:br/>
      </w:r>
      <w:r>
        <w:br/>
      </w:r>
      <w:r>
        <w:rPr>
          <w:rStyle w:val="FunctionTok"/>
        </w:rPr>
        <w:t xml:space="preserve">ytitle</w:t>
      </w:r>
      <w:r>
        <w:rPr>
          <w:rStyle w:val="NormalTok"/>
        </w:rPr>
        <w:t xml:space="preserve">(</w:t>
      </w:r>
      <w:r>
        <w:rPr>
          <w:rStyle w:val="StringTok"/>
        </w:rPr>
        <w:t xml:space="preserve">""</w:t>
      </w:r>
      <w:r>
        <w:rPr>
          <w:rStyle w:val="NormalTok"/>
        </w:rPr>
        <w:t xml:space="preserve">)  </w:t>
      </w:r>
      <w:r>
        <w:rPr>
          <w:rStyle w:val="FunctionTok"/>
        </w:rPr>
        <w:t xml:space="preserve">ylabel</w:t>
      </w:r>
      <w:r>
        <w:rPr>
          <w:rStyle w:val="NormalTok"/>
        </w:rPr>
        <w:t xml:space="preserve">(</w:t>
      </w:r>
      <w:r>
        <w:rPr>
          <w:rStyle w:val="DecValTok"/>
        </w:rPr>
        <w:t xml:space="preserve">0</w:t>
      </w:r>
      <w:r>
        <w:rPr>
          <w:rStyle w:val="NormalTok"/>
        </w:rPr>
        <w:t xml:space="preserve">(</w:t>
      </w:r>
      <w:r>
        <w:rPr>
          <w:rStyle w:val="DecValTok"/>
        </w:rPr>
        <w:t xml:space="preserve">20000</w:t>
      </w:r>
      <w:r>
        <w:rPr>
          <w:rStyle w:val="NormalTok"/>
        </w:rPr>
        <w:t xml:space="preserve">)</w:t>
      </w:r>
      <w:r>
        <w:rPr>
          <w:rStyle w:val="DecValTok"/>
        </w:rPr>
        <w:t xml:space="preserve">100000</w:t>
      </w:r>
      <w:r>
        <w:rPr>
          <w:rStyle w:val="NormalTok"/>
        </w:rPr>
        <w:t xml:space="preserve">, </w:t>
      </w:r>
      <w:r>
        <w:rPr>
          <w:rStyle w:val="FunctionTok"/>
        </w:rPr>
        <w:t xml:space="preserve">labsize</w:t>
      </w:r>
      <w:r>
        <w:rPr>
          <w:rStyle w:val="NormalTok"/>
        </w:rPr>
        <w:t xml:space="preserve">(</w:t>
      </w:r>
      <w:r>
        <w:rPr>
          <w:rStyle w:val="SpecialCharTok"/>
        </w:rPr>
        <w:t xml:space="preserve">*</w:t>
      </w:r>
      <w:r>
        <w:rPr>
          <w:rStyle w:val="NormalTok"/>
        </w:rPr>
        <w:t xml:space="preserve">.</w:t>
      </w:r>
      <w:r>
        <w:rPr>
          <w:rStyle w:val="DecValTok"/>
        </w:rPr>
        <w:t xml:space="preserve">8</w:t>
      </w:r>
      <w:r>
        <w:rPr>
          <w:rStyle w:val="NormalTok"/>
        </w:rPr>
        <w:t xml:space="preserve">) </w:t>
      </w:r>
      <w:r>
        <w:rPr>
          <w:rStyle w:val="FunctionTok"/>
        </w:rPr>
        <w:t xml:space="preserve">glw</w:t>
      </w:r>
      <w:r>
        <w:rPr>
          <w:rStyle w:val="NormalTok"/>
        </w:rPr>
        <w:t xml:space="preserve">(</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br/>
      </w:r>
      <w:r>
        <w:br/>
      </w:r>
      <w:r>
        <w:rPr>
          <w:rStyle w:val="CommentTok"/>
        </w:rPr>
        <w:t xml:space="preserve">#delimit cr</w:t>
      </w:r>
    </w:p>
    <w:p>
      <w:pPr>
        <w:pStyle w:val="FirstParagraph"/>
      </w:pPr>
      <w:r>
        <w:drawing>
          <wp:inline>
            <wp:extent cx="3733800" cy="2716550"/>
            <wp:effectExtent b="0" l="0" r="0" t="0"/>
            <wp:docPr descr="" title="" id="31" name="Picture"/>
            <a:graphic>
              <a:graphicData uri="http://schemas.openxmlformats.org/drawingml/2006/picture">
                <pic:pic>
                  <pic:nvPicPr>
                    <pic:cNvPr descr="g2.png" id="32" name="Picture"/>
                    <pic:cNvPicPr>
                      <a:picLocks noChangeArrowheads="1" noChangeAspect="1"/>
                    </pic:cNvPicPr>
                  </pic:nvPicPr>
                  <pic:blipFill>
                    <a:blip r:embed="rId30"/>
                    <a:stretch>
                      <a:fillRect/>
                    </a:stretch>
                  </pic:blipFill>
                  <pic:spPr bwMode="auto">
                    <a:xfrm>
                      <a:off x="0" y="0"/>
                      <a:ext cx="3733800" cy="2716550"/>
                    </a:xfrm>
                    <a:prstGeom prst="rect">
                      <a:avLst/>
                    </a:prstGeom>
                    <a:noFill/>
                    <a:ln w="9525">
                      <a:noFill/>
                      <a:headEnd/>
                      <a:tailEnd/>
                    </a:ln>
                  </pic:spPr>
                </pic:pic>
              </a:graphicData>
            </a:graphic>
          </wp:inline>
        </w:drawing>
      </w:r>
    </w:p>
    <w:p>
      <w:pPr>
        <w:pStyle w:val="BodyText"/>
      </w:pPr>
      <w:hyperlink r:id="rId33">
        <w:r>
          <w:rPr>
            <w:rStyle w:val="Hyperlink"/>
            <w:bCs/>
            <w:b/>
          </w:rPr>
          <w:t xml:space="preserve">Programme .do</w:t>
        </w:r>
      </w:hyperlink>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hyperlink" Id="rId33" Target="https://github.com/mthevenin/stata_graphiques/blob/main/ressources/fabplot/prog_fabplot.do" TargetMode="External" /><Relationship Type="http://schemas.openxmlformats.org/officeDocument/2006/relationships/hyperlink" Id="rId20" Target="https://journals.sagepub.com/doi/full/10.1177/1536867X211025838"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mthevenin/stata_graphiques/blob/main/ressources/fabplot/prog_fabplot.do" TargetMode="External" /><Relationship Type="http://schemas.openxmlformats.org/officeDocument/2006/relationships/hyperlink" Id="rId20" Target="https://journals.sagepub.com/doi/full/10.1177/1536867X2110258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fabplot (NJ.Cox)</dc:title>
  <dc:creator>Marc Thévenin</dc:creator>
  <cp:keywords/>
  <dcterms:created xsi:type="dcterms:W3CDTF">2023-04-20T10:44:26Z</dcterms:created>
  <dcterms:modified xsi:type="dcterms:W3CDTF">2023-04-20T10:44:26Z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ghtbox">
    <vt:lpwstr>auto</vt:lpwstr>
  </property>
  <property fmtid="{D5CDD505-2E9C-101B-9397-08002B2CF9AE}" pid="11" name="toc-title">
    <vt:lpwstr>Table of contents</vt:lpwstr>
  </property>
</Properties>
</file>