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1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Environnement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Commandes et fonction introduites</w:t>
      </w:r>
      <w:r>
        <w:br/>
      </w:r>
      <w:r>
        <w:rPr>
          <w:iCs/>
          <w:i/>
        </w:rPr>
        <w:t xml:space="preserve">En italique, commandes externes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213"/>
        <w:gridCol w:w="470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Menus et raccourcis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bCs/>
                <w:b/>
              </w:rPr>
              <w:t xml:space="preserve">db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L’éditeur de programme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  <w:bCs/>
                <w:b/>
              </w:rPr>
              <w:t xml:space="preserve">run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do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#delimit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log</w:t>
            </w:r>
            <w:r>
              <w:t xml:space="preserve"> </w:t>
            </w:r>
            <w:r>
              <w:rPr>
                <w:rStyle w:val="VerbatimChar"/>
                <w:iCs/>
                <w:i/>
                <w:bCs/>
                <w:b/>
              </w:rPr>
              <w:t xml:space="preserve">log2do2</w:t>
            </w:r>
          </w:p>
        </w:tc>
      </w:tr>
    </w:tbl>
    <w:bookmarkStart w:id="20" w:name="les-principaux-types-de-fichier"/>
    <w:p>
      <w:pPr>
        <w:pStyle w:val="Heading1"/>
      </w:pPr>
      <w:r>
        <w:t xml:space="preserve">1. Les (principaux) types de fichier</w:t>
      </w:r>
    </w:p>
    <w:p>
      <w:pPr>
        <w:numPr>
          <w:ilvl w:val="0"/>
          <w:numId w:val="1001"/>
        </w:numPr>
      </w:pPr>
      <w:r>
        <w:t xml:space="preserve">Les bases de données:</w:t>
      </w:r>
      <w:r>
        <w:t xml:space="preserve"> </w:t>
      </w:r>
      <w:r>
        <w:rPr>
          <w:bCs/>
          <w:b/>
        </w:rPr>
        <w:t xml:space="preserve">.dta</w:t>
      </w:r>
    </w:p>
    <w:p>
      <w:pPr>
        <w:numPr>
          <w:ilvl w:val="0"/>
          <w:numId w:val="1001"/>
        </w:numPr>
      </w:pPr>
      <w:r>
        <w:t xml:space="preserve">L’éditeur de programme :</w:t>
      </w:r>
      <w:r>
        <w:t xml:space="preserve"> </w:t>
      </w:r>
      <w:r>
        <w:rPr>
          <w:bCs/>
          <w:b/>
        </w:rPr>
        <w:t xml:space="preserve">.do</w:t>
      </w:r>
      <w:r>
        <w:t xml:space="preserve"> </w:t>
      </w:r>
      <w:r>
        <w:t xml:space="preserve">(</w:t>
      </w:r>
      <w:r>
        <w:rPr>
          <w:bCs/>
          <w:b/>
        </w:rPr>
        <w:t xml:space="preserve">.ado</w:t>
      </w:r>
      <w:r>
        <w:t xml:space="preserve"> </w:t>
      </w:r>
      <w:r>
        <w:t xml:space="preserve">pour la programmation de commandes)</w:t>
      </w:r>
    </w:p>
    <w:p>
      <w:pPr>
        <w:numPr>
          <w:ilvl w:val="0"/>
          <w:numId w:val="1001"/>
        </w:numPr>
      </w:pPr>
      <w:r>
        <w:t xml:space="preserve">Le log de session :</w:t>
      </w:r>
      <w:r>
        <w:t xml:space="preserve"> </w:t>
      </w:r>
      <w:r>
        <w:rPr>
          <w:bCs/>
          <w:b/>
        </w:rPr>
        <w:t xml:space="preserve">.smcl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.log</w:t>
      </w:r>
      <w:r>
        <w:t xml:space="preserve"> </w:t>
      </w:r>
      <w:r>
        <w:t xml:space="preserve">(conversion possible en</w:t>
      </w:r>
      <w:r>
        <w:t xml:space="preserve"> </w:t>
      </w:r>
      <w:r>
        <w:rPr>
          <w:bCs/>
          <w:b/>
        </w:rPr>
        <w:t xml:space="preserve">.txt</w:t>
      </w:r>
      <w:r>
        <w:t xml:space="preserve">,</w:t>
      </w:r>
      <w:r>
        <w:t xml:space="preserve"> </w:t>
      </w:r>
      <w:r>
        <w:rPr>
          <w:bCs/>
          <w:b/>
        </w:rPr>
        <w:t xml:space="preserve">.doc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.pdf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Les graphiques :</w:t>
      </w:r>
      <w:r>
        <w:t xml:space="preserve"> </w:t>
      </w:r>
      <w:r>
        <w:rPr>
          <w:bCs/>
          <w:b/>
        </w:rPr>
        <w:t xml:space="preserve">.gph</w:t>
      </w:r>
      <w:r>
        <w:t xml:space="preserve"> </w:t>
      </w:r>
      <w:r>
        <w:t xml:space="preserve">(+ enregistrement en format image: png, jpg, svf…)</w:t>
      </w:r>
    </w:p>
    <w:p>
      <w:pPr>
        <w:numPr>
          <w:ilvl w:val="0"/>
          <w:numId w:val="1001"/>
        </w:numPr>
      </w:pPr>
      <w:r>
        <w:t xml:space="preserve">Les fichiers d’aides:</w:t>
      </w:r>
      <w:r>
        <w:t xml:space="preserve"> </w:t>
      </w:r>
      <w:r>
        <w:rPr>
          <w:bCs/>
          <w:b/>
        </w:rPr>
        <w:t xml:space="preserve">.sthlp</w:t>
      </w:r>
    </w:p>
    <w:bookmarkEnd w:id="20"/>
    <w:bookmarkStart w:id="21" w:name="où-passer-ses-instructions"/>
    <w:p>
      <w:pPr>
        <w:pStyle w:val="Heading1"/>
      </w:pPr>
      <w:r>
        <w:t xml:space="preserve">2. Où passer ses instructions ?</w:t>
      </w:r>
    </w:p>
    <w:p>
      <w:pPr>
        <w:numPr>
          <w:ilvl w:val="0"/>
          <w:numId w:val="1002"/>
        </w:numPr>
      </w:pPr>
      <w:r>
        <w:t xml:space="preserve">Dans l’éditeur de programme (.do ou .ado ou écritue d’un fichier d’aide)</w:t>
      </w:r>
    </w:p>
    <w:p>
      <w:pPr>
        <w:numPr>
          <w:ilvl w:val="0"/>
          <w:numId w:val="1002"/>
        </w:numPr>
      </w:pPr>
      <w:r>
        <w:t xml:space="preserve">Dans la fenêtre</w:t>
      </w:r>
      <w:r>
        <w:t xml:space="preserve"> </w:t>
      </w:r>
      <w:r>
        <w:t xml:space="preserve">“</w:t>
      </w:r>
      <w:r>
        <w:t xml:space="preserve">Command</w:t>
      </w:r>
      <w:r>
        <w:t xml:space="preserve">”</w:t>
      </w:r>
      <w:r>
        <w:t xml:space="preserve"> </w:t>
      </w:r>
      <w:r>
        <w:t xml:space="preserve">de l’environnement principal</w:t>
      </w:r>
    </w:p>
    <w:p>
      <w:pPr>
        <w:numPr>
          <w:ilvl w:val="0"/>
          <w:numId w:val="1002"/>
        </w:numPr>
      </w:pPr>
      <w:r>
        <w:t xml:space="preserve">Par les menus (ouverture d’une boîte de dialogue). On récupéré la syntaxe de l’instruction directement dans l’interface principale, et par copier-coller dans l’éditeur de programme. Plutôt pratique.</w:t>
      </w:r>
    </w:p>
    <w:bookmarkEnd w:id="21"/>
    <w:bookmarkStart w:id="25" w:name="linterface-principale"/>
    <w:p>
      <w:pPr>
        <w:pStyle w:val="Heading1"/>
      </w:pPr>
      <w:r>
        <w:t xml:space="preserve">3. L’interface principale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1787909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g2/g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7879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rPr>
          <w:bCs/>
          <w:b/>
        </w:rPr>
        <w:t xml:space="preserve">Boite output</w:t>
      </w:r>
    </w:p>
    <w:p>
      <w:pPr>
        <w:pStyle w:val="BodyText"/>
      </w:pPr>
      <w:r>
        <w:t xml:space="preserve">Affiche les commandes exécutées et les résultats</w:t>
      </w:r>
    </w:p>
    <w:p>
      <w:pPr>
        <w:pStyle w:val="BodyText"/>
      </w:pPr>
      <w:r>
        <w:rPr>
          <w:bCs/>
          <w:b/>
        </w:rPr>
        <w:t xml:space="preserve">Boite review</w:t>
      </w:r>
    </w:p>
    <w:p>
      <w:pPr>
        <w:numPr>
          <w:ilvl w:val="0"/>
          <w:numId w:val="1003"/>
        </w:numPr>
      </w:pPr>
      <w:r>
        <w:t xml:space="preserve">C’est un log de toutes les instructions passées par la fenêtre command</w:t>
      </w:r>
    </w:p>
    <w:p>
      <w:pPr>
        <w:numPr>
          <w:ilvl w:val="0"/>
          <w:numId w:val="1003"/>
        </w:numPr>
      </w:pPr>
      <w:r>
        <w:t xml:space="preserve">En cliquant de dessus, l’instruction est de nouveau affichée dans la fenêtre command</w:t>
      </w:r>
    </w:p>
    <w:p>
      <w:pPr>
        <w:numPr>
          <w:ilvl w:val="0"/>
          <w:numId w:val="1003"/>
        </w:numPr>
      </w:pPr>
      <w:r>
        <w:t xml:space="preserve">Avec un clic-droit on peut copier, supprimer les instructions. Les instructions en rouge déclarent celles avec une erreur</w:t>
      </w:r>
    </w:p>
    <w:p>
      <w:pPr>
        <w:numPr>
          <w:ilvl w:val="0"/>
          <w:numId w:val="1003"/>
        </w:numPr>
      </w:pPr>
      <w:r>
        <w:t xml:space="preserve">Les instructions passée par l’éditeur de programme ne sont reportée</w:t>
      </w:r>
    </w:p>
    <w:p>
      <w:pPr>
        <w:pStyle w:val="FirstParagraph"/>
      </w:pPr>
      <w:r>
        <w:rPr>
          <w:bCs/>
          <w:b/>
        </w:rPr>
        <w:t xml:space="preserve">Boite variables</w:t>
      </w:r>
    </w:p>
    <w:p>
      <w:pPr>
        <w:numPr>
          <w:ilvl w:val="0"/>
          <w:numId w:val="1004"/>
        </w:numPr>
      </w:pPr>
      <w:r>
        <w:t xml:space="preserve">Liste les variables présentent dans la base chargée avec éventuellement leur label</w:t>
      </w:r>
    </w:p>
    <w:p>
      <w:pPr>
        <w:numPr>
          <w:ilvl w:val="0"/>
          <w:numId w:val="1004"/>
        </w:numPr>
      </w:pPr>
      <w:r>
        <w:t xml:space="preserve">En cliquant dessus, là ou les variables sont affichées dans la fenêtre command</w:t>
      </w:r>
    </w:p>
    <w:p>
      <w:pPr>
        <w:numPr>
          <w:ilvl w:val="0"/>
          <w:numId w:val="1004"/>
        </w:numPr>
      </w:pPr>
      <w:r>
        <w:t xml:space="preserve">Avec un cliqu-droit, une ou plusieurs variables peuvent être copiées, conservées ou supprimées</w:t>
      </w:r>
    </w:p>
    <w:p>
      <w:pPr>
        <w:pStyle w:val="FirstParagraph"/>
      </w:pPr>
      <w:r>
        <w:rPr>
          <w:bCs/>
          <w:b/>
        </w:rPr>
        <w:t xml:space="preserve">Boite properties</w:t>
      </w:r>
    </w:p>
    <w:p>
      <w:pPr>
        <w:numPr>
          <w:ilvl w:val="0"/>
          <w:numId w:val="1005"/>
        </w:numPr>
      </w:pPr>
      <w:r>
        <w:t xml:space="preserve">Pour les variables affiche leurs propriétés: nom, label, format, type….</w:t>
      </w:r>
    </w:p>
    <w:p>
      <w:pPr>
        <w:numPr>
          <w:ilvl w:val="0"/>
          <w:numId w:val="1005"/>
        </w:numPr>
      </w:pPr>
      <w:r>
        <w:t xml:space="preserve">Si le cadenat est délocké, on peut modifier ces propriétés (voir variable manager). Le code qui exécute la modification est affichée dans la fenêtre command et la boîte review</w:t>
      </w:r>
    </w:p>
    <w:bookmarkEnd w:id="25"/>
    <w:bookmarkStart w:id="29" w:name="menus-et-raccourcis"/>
    <w:p>
      <w:pPr>
        <w:pStyle w:val="Heading1"/>
      </w:pPr>
      <w:r>
        <w:t xml:space="preserve">4. Menus et raccourcis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330893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g2/g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308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rPr>
          <w:bCs/>
          <w:b/>
        </w:rPr>
        <w:t xml:space="preserve">Menus (boîtes de dialogue)</w:t>
      </w:r>
    </w:p>
    <w:p>
      <w:pPr>
        <w:numPr>
          <w:ilvl w:val="0"/>
          <w:numId w:val="1006"/>
        </w:numPr>
        <w:pStyle w:val="Compact"/>
      </w:pPr>
      <w:r>
        <w:t xml:space="preserve">File: gestion des fichiers =&gt; création, ouverture, import/export…</w:t>
      </w:r>
    </w:p>
    <w:p>
      <w:pPr>
        <w:numPr>
          <w:ilvl w:val="0"/>
          <w:numId w:val="1006"/>
        </w:numPr>
        <w:pStyle w:val="Compact"/>
      </w:pPr>
      <w:r>
        <w:t xml:space="preserve">Edit: utile pour la modification des préférences (couleurs interface, thèmes graphique)</w:t>
      </w:r>
    </w:p>
    <w:p>
      <w:pPr>
        <w:numPr>
          <w:ilvl w:val="0"/>
          <w:numId w:val="1006"/>
        </w:numPr>
        <w:pStyle w:val="Compact"/>
      </w:pPr>
      <w:r>
        <w:t xml:space="preserve">Data: manipulation des données</w:t>
      </w:r>
    </w:p>
    <w:p>
      <w:pPr>
        <w:numPr>
          <w:ilvl w:val="0"/>
          <w:numId w:val="1006"/>
        </w:numPr>
        <w:pStyle w:val="Compact"/>
      </w:pPr>
      <w:r>
        <w:t xml:space="preserve">Graphics: création de graphiques</w:t>
      </w:r>
    </w:p>
    <w:p>
      <w:pPr>
        <w:numPr>
          <w:ilvl w:val="0"/>
          <w:numId w:val="1006"/>
        </w:numPr>
        <w:pStyle w:val="Compact"/>
      </w:pPr>
      <w:r>
        <w:t xml:space="preserve">Statistics: instructions stat: descriptifs, modèles</w:t>
      </w:r>
    </w:p>
    <w:p>
      <w:pPr>
        <w:numPr>
          <w:ilvl w:val="0"/>
          <w:numId w:val="1006"/>
        </w:numPr>
        <w:pStyle w:val="Compact"/>
      </w:pPr>
      <w:r>
        <w:t xml:space="preserve">User: accès à vos boîtes de dialogue programmée en java</w:t>
      </w:r>
    </w:p>
    <w:p>
      <w:pPr>
        <w:numPr>
          <w:ilvl w:val="0"/>
          <w:numId w:val="1006"/>
        </w:numPr>
        <w:pStyle w:val="Compact"/>
      </w:pPr>
      <w:r>
        <w:t xml:space="preserve">Windows: activation des boîtes de l’interface principale</w:t>
      </w:r>
    </w:p>
    <w:p>
      <w:pPr>
        <w:numPr>
          <w:ilvl w:val="0"/>
          <w:numId w:val="1006"/>
        </w:numPr>
        <w:pStyle w:val="Compact"/>
      </w:pPr>
      <w:r>
        <w:t xml:space="preserve">help: infos sur le logiciel et accès à des ressources (internes et liens)</w:t>
      </w:r>
      <w:r>
        <w:br/>
      </w:r>
      <w:r>
        <w:t xml:space="preserve"> </w:t>
      </w:r>
      <w:r>
        <w:t xml:space="preserve">On peut accéder directement à une boîte de dialogue avec la commande</w:t>
      </w:r>
      <w:r>
        <w:t xml:space="preserve"> </w:t>
      </w:r>
      <w:r>
        <w:rPr>
          <w:rStyle w:val="VerbatimChar"/>
        </w:rPr>
        <w:t xml:space="preserve">db nom_commande</w:t>
      </w:r>
    </w:p>
    <w:p>
      <w:pPr>
        <w:pStyle w:val="SourceCode"/>
      </w:pPr>
      <w:r>
        <w:rPr>
          <w:rStyle w:val="KeywordTok"/>
        </w:rPr>
        <w:t xml:space="preserve">db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logit</w:t>
      </w:r>
    </w:p>
    <w:p>
      <w:pPr>
        <w:pStyle w:val="FirstParagraph"/>
      </w:pPr>
      <w:r>
        <w:rPr>
          <w:bCs/>
          <w:b/>
        </w:rPr>
        <w:t xml:space="preserve">Raccourcis (dans l’ordre de gauche à droite)</w:t>
      </w:r>
    </w:p>
    <w:p>
      <w:pPr>
        <w:numPr>
          <w:ilvl w:val="0"/>
          <w:numId w:val="1007"/>
        </w:numPr>
        <w:pStyle w:val="Compact"/>
      </w:pPr>
      <w:r>
        <w:t xml:space="preserve">Ouverture d’un fichier</w:t>
      </w:r>
    </w:p>
    <w:p>
      <w:pPr>
        <w:numPr>
          <w:ilvl w:val="0"/>
          <w:numId w:val="1007"/>
        </w:numPr>
        <w:pStyle w:val="Compact"/>
      </w:pPr>
      <w:r>
        <w:t xml:space="preserve">Enregistrement de la base de données active</w:t>
      </w:r>
    </w:p>
    <w:p>
      <w:pPr>
        <w:numPr>
          <w:ilvl w:val="0"/>
          <w:numId w:val="1007"/>
        </w:numPr>
        <w:pStyle w:val="Compact"/>
      </w:pPr>
      <w:r>
        <w:t xml:space="preserve">Impression de la fenêtre output</w:t>
      </w:r>
    </w:p>
    <w:p>
      <w:pPr>
        <w:numPr>
          <w:ilvl w:val="0"/>
          <w:numId w:val="1007"/>
        </w:numPr>
        <w:pStyle w:val="Compact"/>
      </w:pPr>
      <w:r>
        <w:t xml:space="preserve">Ouverture d’un log</w:t>
      </w:r>
    </w:p>
    <w:p>
      <w:pPr>
        <w:numPr>
          <w:ilvl w:val="0"/>
          <w:numId w:val="1007"/>
        </w:numPr>
        <w:pStyle w:val="Compact"/>
      </w:pPr>
      <w:r>
        <w:t xml:space="preserve">Ouverture de la fenêtre d’aide</w:t>
      </w:r>
    </w:p>
    <w:p>
      <w:pPr>
        <w:numPr>
          <w:ilvl w:val="0"/>
          <w:numId w:val="1007"/>
        </w:numPr>
        <w:pStyle w:val="Compact"/>
      </w:pPr>
      <w:r>
        <w:t xml:space="preserve">Ouverture de l’éditeur de graphique (modification d’un graphique créé)</w:t>
      </w:r>
    </w:p>
    <w:p>
      <w:pPr>
        <w:numPr>
          <w:ilvl w:val="0"/>
          <w:numId w:val="1007"/>
        </w:numPr>
        <w:pStyle w:val="Compact"/>
      </w:pPr>
      <w:r>
        <w:t xml:space="preserve">Création ou ouverture de l’éditeur de programme (.do .ado . sthlp)</w:t>
      </w:r>
    </w:p>
    <w:p>
      <w:pPr>
        <w:numPr>
          <w:ilvl w:val="0"/>
          <w:numId w:val="1007"/>
        </w:numPr>
        <w:pStyle w:val="Compact"/>
      </w:pPr>
      <w:r>
        <w:t xml:space="preserve">Ouvre la base de données active en mode édition</w:t>
      </w:r>
    </w:p>
    <w:p>
      <w:pPr>
        <w:numPr>
          <w:ilvl w:val="0"/>
          <w:numId w:val="1007"/>
        </w:numPr>
        <w:pStyle w:val="Compact"/>
      </w:pPr>
      <w:r>
        <w:t xml:space="preserve">Ouvre la base de données active en mode lecture</w:t>
      </w:r>
    </w:p>
    <w:p>
      <w:pPr>
        <w:numPr>
          <w:ilvl w:val="0"/>
          <w:numId w:val="1007"/>
        </w:numPr>
        <w:pStyle w:val="Compact"/>
      </w:pPr>
      <w:r>
        <w:t xml:space="preserve">Ouvre le variable manager</w:t>
      </w:r>
    </w:p>
    <w:p>
      <w:pPr>
        <w:numPr>
          <w:ilvl w:val="0"/>
          <w:numId w:val="1007"/>
        </w:numPr>
        <w:pStyle w:val="Compact"/>
      </w:pPr>
      <w:r>
        <w:t xml:space="preserve">Déblocage du défilement de l’output pendant l’exécution</w:t>
      </w:r>
    </w:p>
    <w:p>
      <w:pPr>
        <w:numPr>
          <w:ilvl w:val="0"/>
          <w:numId w:val="1007"/>
        </w:numPr>
        <w:pStyle w:val="Compact"/>
      </w:pPr>
      <w:r>
        <w:t xml:space="preserve">Arrête l’exécution d’un programme</w:t>
      </w:r>
    </w:p>
    <w:bookmarkEnd w:id="29"/>
    <w:bookmarkStart w:id="47" w:name="léditeur-de-programme"/>
    <w:p>
      <w:pPr>
        <w:pStyle w:val="Heading1"/>
      </w:pPr>
      <w:r>
        <w:t xml:space="preserve">5. L’éditeur de programme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297351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g2/g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973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bookmarkStart w:id="39" w:name="Xea9e1383a7d4c0d20cb8852c7fca619a6aba3f7"/>
    <w:p>
      <w:pPr>
        <w:pStyle w:val="Heading2"/>
      </w:pPr>
      <w:r>
        <w:t xml:space="preserve">5.1 Soumettre un programme ou un bloc de programme</w:t>
      </w:r>
    </w:p>
    <w:p>
      <w:pPr>
        <w:numPr>
          <w:ilvl w:val="0"/>
          <w:numId w:val="1008"/>
        </w:numPr>
        <w:pStyle w:val="Compact"/>
      </w:pPr>
      <w:r>
        <w:t xml:space="preserve">On ne sélectionne aucune ligne: tout le programme est exécuté</w:t>
      </w:r>
    </w:p>
    <w:p>
      <w:pPr>
        <w:numPr>
          <w:ilvl w:val="0"/>
          <w:numId w:val="1008"/>
        </w:numPr>
        <w:pStyle w:val="Compact"/>
      </w:pPr>
      <w:r>
        <w:t xml:space="preserve">On sélectionne une partie du programme: seul le bloc est exécuté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2667000" cy="137855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2/g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78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execute (do)</w:t>
      </w:r>
      <w:r>
        <w:t xml:space="preserve">: les commandes et les résultats sont affichés dans l’output de l’interface principale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execute quietly (run)</w:t>
      </w:r>
      <w:r>
        <w:t xml:space="preserve">: les commandes et les résultats ne sont pas affichés dans l’output de l’interface principale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tip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do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run</w:t>
            </w:r>
            <w:r>
              <w:t xml:space="preserve"> </w:t>
            </w:r>
            <w:r>
              <w:t xml:space="preserve">dans un programme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On peut exécuter un ou plusieurs programme enregistré dans un programme</w:t>
            </w:r>
          </w:p>
          <w:p>
            <w:pPr>
              <w:pStyle w:val="SourceCode"/>
            </w:pPr>
            <w:r>
              <w:rPr>
                <w:rStyle w:val="KeywordTok"/>
              </w:rPr>
              <w:t xml:space="preserve">do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"path/nom_prog.do"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// avec affichage de l'output</w:t>
            </w:r>
            <w:r>
              <w:br/>
            </w:r>
            <w:r>
              <w:rPr>
                <w:rStyle w:val="KeywordTok"/>
              </w:rPr>
              <w:t xml:space="preserve">run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"path/nom_prog.do"</w:t>
            </w:r>
            <w:r>
              <w:rPr>
                <w:rStyle w:val="NormalTok"/>
              </w:rPr>
              <w:t xml:space="preserve"> </w:t>
            </w:r>
            <w:r>
              <w:rPr>
                <w:rStyle w:val="CommentTok"/>
              </w:rPr>
              <w:t xml:space="preserve">// sans affichage de l'output</w:t>
            </w:r>
          </w:p>
        </w:tc>
      </w:tr>
    </w:tbl>
    <w:bookmarkEnd w:id="39"/>
    <w:bookmarkStart w:id="40" w:name="delimiter"/>
    <w:p>
      <w:pPr>
        <w:pStyle w:val="Heading2"/>
      </w:pPr>
      <w:r>
        <w:t xml:space="preserve">5.2 delimiter</w:t>
      </w:r>
    </w:p>
    <w:p>
      <w:pPr>
        <w:pStyle w:val="FirstParagraph"/>
      </w:pPr>
      <w:r>
        <w:t xml:space="preserve">Par défaut une ligne = une instruction (</w:t>
      </w:r>
      <w:r>
        <w:rPr>
          <w:rStyle w:val="VerbatimChar"/>
          <w:bCs/>
          <w:b/>
        </w:rPr>
        <w:t xml:space="preserve">#delimit cr</w:t>
      </w:r>
      <w:r>
        <w:t xml:space="preserve">).</w:t>
      </w:r>
    </w:p>
    <w:p>
      <w:pPr>
        <w:pStyle w:val="BodyText"/>
      </w:pPr>
      <w:r>
        <w:t xml:space="preserve">Stata ne comprend pas la deuxième ligne de: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X1 X2 </w:t>
      </w:r>
      <w:r>
        <w:br/>
      </w:r>
      <w:r>
        <w:rPr>
          <w:rStyle w:val="NormalTok"/>
        </w:rPr>
        <w:t xml:space="preserve">      X3 X4</w:t>
      </w:r>
    </w:p>
    <w:p>
      <w:pPr>
        <w:pStyle w:val="FirstParagraph"/>
      </w:pPr>
      <w:r>
        <w:t xml:space="preserve">On peut contourner cela dans un programme pour écrire des instructions longue sur plusieurs lignes avec l’instruction</w:t>
      </w:r>
      <w:r>
        <w:t xml:space="preserve"> </w:t>
      </w:r>
      <w:r>
        <w:rPr>
          <w:rStyle w:val="VerbatimChar"/>
          <w:bCs/>
          <w:b/>
        </w:rPr>
        <w:t xml:space="preserve">#delimit ;</w:t>
      </w:r>
    </w:p>
    <w:p>
      <w:pPr>
        <w:pStyle w:val="SourceCode"/>
      </w:pPr>
      <w:r>
        <w:rPr>
          <w:rStyle w:val="NormalTok"/>
        </w:rPr>
        <w:t xml:space="preserve">#delimit ;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 X1 X2  </w:t>
      </w:r>
      <w:r>
        <w:br/>
      </w:r>
      <w:r>
        <w:rPr>
          <w:rStyle w:val="NormalTok"/>
        </w:rPr>
        <w:t xml:space="preserve">      X3 X4;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X1;</w:t>
      </w:r>
    </w:p>
    <w:p>
      <w:pPr>
        <w:pStyle w:val="FirstParagraph"/>
      </w:pPr>
      <w:r>
        <w:t xml:space="preserve">Le délimiteur s’appliquera tant qu’on ne repasse pas à</w:t>
      </w:r>
      <w:r>
        <w:t xml:space="preserve"> </w:t>
      </w:r>
      <w:r>
        <w:rPr>
          <w:rStyle w:val="VerbatimChar"/>
        </w:rPr>
        <w:t xml:space="preserve">#delimit cr</w:t>
      </w:r>
    </w:p>
    <w:p>
      <w:pPr>
        <w:pStyle w:val="SourceCode"/>
      </w:pPr>
      <w:r>
        <w:rPr>
          <w:rStyle w:val="NormalTok"/>
        </w:rPr>
        <w:t xml:space="preserve">#delimit ;</w:t>
      </w:r>
      <w:r>
        <w:br/>
      </w:r>
      <w:r>
        <w:rPr>
          <w:rStyle w:val="KeywordTok"/>
        </w:rPr>
        <w:t xml:space="preserve">keep</w:t>
      </w:r>
      <w:r>
        <w:rPr>
          <w:rStyle w:val="NormalTok"/>
        </w:rPr>
        <w:t xml:space="preserve">  X1 X2  </w:t>
      </w:r>
      <w:r>
        <w:br/>
      </w:r>
      <w:r>
        <w:rPr>
          <w:rStyle w:val="NormalTok"/>
        </w:rPr>
        <w:t xml:space="preserve">      X3 X4;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#delimit </w:t>
      </w:r>
      <w:r>
        <w:rPr>
          <w:rStyle w:val="KeywordTok"/>
        </w:rPr>
        <w:t xml:space="preserve">cr</w:t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X1</w:t>
      </w:r>
    </w:p>
    <w:p>
      <w:pPr>
        <w:pStyle w:val="FirstParagraph"/>
      </w:pPr>
      <w:r>
        <w:t xml:space="preserve">Le délimiteur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est sourtout utilisé pour les graphiques qui peuvent âtre assez gourmants en options (je le conseille).</w:t>
      </w:r>
    </w:p>
    <w:p>
      <w:pPr>
        <w:pStyle w:val="BodyText"/>
      </w:pPr>
      <w:r>
        <w:t xml:space="preserve">La solution la plus utilisée est</w:t>
      </w:r>
      <w:r>
        <w:t xml:space="preserve"> </w:t>
      </w:r>
      <w:r>
        <w:rPr>
          <w:rStyle w:val="VerbatimChar"/>
        </w:rPr>
        <w:t xml:space="preserve">///</w:t>
      </w:r>
      <w:r>
        <w:t xml:space="preserve"> </w:t>
      </w:r>
      <w:r>
        <w:t xml:space="preserve">à la fin d’une ligne, à l’exception de la dernière de la commande</w:t>
      </w:r>
    </w:p>
    <w:p>
      <w:pPr>
        <w:pStyle w:val="SourceCode"/>
      </w:pPr>
      <w:r>
        <w:rPr>
          <w:rStyle w:val="KeywordTok"/>
        </w:rPr>
        <w:t xml:space="preserve">keep</w:t>
      </w:r>
      <w:r>
        <w:rPr>
          <w:rStyle w:val="NormalTok"/>
        </w:rPr>
        <w:t xml:space="preserve">  X1 X2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  X3    </w:t>
      </w:r>
      <w:r>
        <w:rPr>
          <w:rStyle w:val="CommentTok"/>
        </w:rPr>
        <w:t xml:space="preserve">/// </w:t>
      </w:r>
      <w:r>
        <w:br/>
      </w:r>
      <w:r>
        <w:rPr>
          <w:rStyle w:val="NormalTok"/>
        </w:rPr>
        <w:t xml:space="preserve">      X4</w:t>
      </w:r>
      <w:r>
        <w:br/>
      </w:r>
      <w:r>
        <w:br/>
      </w:r>
      <w:r>
        <w:rPr>
          <w:rStyle w:val="KeywordTok"/>
        </w:rPr>
        <w:t xml:space="preserve">tabulate</w:t>
      </w:r>
      <w:r>
        <w:rPr>
          <w:rStyle w:val="NormalTok"/>
        </w:rPr>
        <w:t xml:space="preserve"> X1</w:t>
      </w:r>
    </w:p>
    <w:bookmarkEnd w:id="40"/>
    <w:bookmarkStart w:id="46" w:name="les-commentaires"/>
    <w:p>
      <w:pPr>
        <w:pStyle w:val="Heading2"/>
      </w:pPr>
      <w:r>
        <w:t xml:space="preserve">5.3 Les commentaires</w:t>
      </w:r>
    </w:p>
    <w:p>
      <w:pPr>
        <w:pStyle w:val="FirstParagraph"/>
      </w:pPr>
      <w:r>
        <w:t xml:space="preserve">Si le commentaire est sur une seule ligne</w:t>
      </w:r>
    </w:p>
    <w:p>
      <w:pPr>
        <w:pStyle w:val="SourceCode"/>
      </w:pPr>
      <w:r>
        <w:rPr>
          <w:rStyle w:val="NormalTok"/>
        </w:rPr>
        <w:t xml:space="preserve">* Commentaire</w:t>
      </w:r>
    </w:p>
    <w:p>
      <w:pPr>
        <w:pStyle w:val="FirstParagraph"/>
      </w:pPr>
      <w:r>
        <w:t xml:space="preserve">Si le commentaire est sur une ligne et suit une instruction</w:t>
      </w:r>
    </w:p>
    <w:p>
      <w:pPr>
        <w:pStyle w:val="SourceCode"/>
      </w:pPr>
      <w:r>
        <w:rPr>
          <w:rStyle w:val="NormalTok"/>
        </w:rPr>
        <w:t xml:space="preserve">instruction  </w:t>
      </w:r>
      <w:r>
        <w:rPr>
          <w:rStyle w:val="CommentTok"/>
        </w:rPr>
        <w:t xml:space="preserve">// Commentaire </w:t>
      </w:r>
    </w:p>
    <w:p>
      <w:pPr>
        <w:pStyle w:val="FirstParagraph"/>
      </w:pPr>
      <w:r>
        <w:t xml:space="preserve">Si le commentaire est sur plusieurs lignes</w:t>
      </w:r>
    </w:p>
    <w:p>
      <w:pPr>
        <w:pStyle w:val="SourceCode"/>
      </w:pPr>
      <w:r>
        <w:rPr>
          <w:rStyle w:val="CommentTok"/>
        </w:rPr>
        <w:t xml:space="preserve">/* commentaire 1</w:t>
      </w:r>
      <w:r>
        <w:br/>
      </w:r>
      <w:r>
        <w:rPr>
          <w:rStyle w:val="CommentTok"/>
        </w:rPr>
        <w:t xml:space="preserve">   commentaire 2 */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Users\thevenin_m\AppData\Local\Programs\Quarto\share\formats\docx\warning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Pas d’autosave T_T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Il n’y a pas d’autosave avec Stata contrairement à d’autres applications comme R. C’est très regrettable, car un plantage</w:t>
            </w:r>
            <w:r>
              <w:t xml:space="preserve"> </w:t>
            </w:r>
            <w:r>
              <w:t xml:space="preserve">n’arrive pas toujours aux autres, et oublier de sauvegarder un programme n’est pas un évènement d’une extrême rareté.</w:t>
            </w:r>
            <w:r>
              <w:br/>
            </w:r>
            <w:r>
              <w:t xml:space="preserve">On peut sauver les meubles en générant un log de session en tête de programme ou mieux en générant un log à chaque ouverture de session dans un fichier profile [</w:t>
            </w:r>
            <w:hyperlink r:id="rId44">
              <w:r>
                <w:rPr>
                  <w:rStyle w:val="Hyperlink"/>
                </w:rPr>
                <w:t xml:space="preserve">marche à suivre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Pour générer un log de session qui enregistrera en continu l’output de l’interface, et donc les lignes de commandes exécutée (sauf si exécution en mode</w:t>
            </w:r>
            <w:r>
              <w:t xml:space="preserve"> </w:t>
            </w:r>
            <w:r>
              <w:rPr>
                <w:rStyle w:val="VerbatimChar"/>
              </w:rPr>
              <w:t xml:space="preserve">run</w:t>
            </w:r>
            <w:r>
              <w:t xml:space="preserve">):</w:t>
            </w:r>
          </w:p>
          <w:p>
            <w:pPr>
              <w:numPr>
                <w:ilvl w:val="1"/>
                <w:numId w:val="1011"/>
              </w:numPr>
              <w:pStyle w:val="Compact"/>
            </w:pPr>
            <w:r>
              <w:rPr>
                <w:bCs/>
                <w:b/>
              </w:rPr>
              <w:t xml:space="preserve">file</w:t>
            </w:r>
            <w:r>
              <w:t xml:space="preserve"> </w:t>
            </w:r>
            <w:r>
              <w:t xml:space="preserve">=&gt;</w:t>
            </w:r>
            <w:r>
              <w:t xml:space="preserve"> </w:t>
            </w:r>
            <w:r>
              <w:rPr>
                <w:bCs/>
                <w:b/>
              </w:rPr>
              <w:t xml:space="preserve">log</w:t>
            </w:r>
            <w:r>
              <w:t xml:space="preserve"> </w:t>
            </w:r>
            <w:r>
              <w:t xml:space="preserve">=&gt;</w:t>
            </w:r>
            <w:r>
              <w:t xml:space="preserve"> </w:t>
            </w:r>
            <w:r>
              <w:rPr>
                <w:bCs/>
                <w:b/>
              </w:rPr>
              <w:t xml:space="preserve">begin</w:t>
            </w:r>
            <w:r>
              <w:t xml:space="preserve">, puis choisir un emplacement pour l’enregistrement du fichier</w:t>
            </w:r>
            <w:r>
              <w:t xml:space="preserve"> </w:t>
            </w:r>
            <w:r>
              <w:rPr>
                <w:iCs/>
                <w:i/>
              </w:rPr>
              <w:t xml:space="preserve">log</w:t>
            </w:r>
            <w:r>
              <w:t xml:space="preserve">.</w:t>
            </w:r>
          </w:p>
          <w:p>
            <w:pPr>
              <w:numPr>
                <w:ilvl w:val="1"/>
                <w:numId w:val="1011"/>
              </w:numPr>
              <w:pStyle w:val="Compact"/>
            </w:pPr>
            <w:r>
              <w:rPr>
                <w:rStyle w:val="VerbatimChar"/>
                <w:bCs/>
                <w:b/>
              </w:rPr>
              <w:t xml:space="preserve">log using "path/nom_log.smcl"</w:t>
            </w:r>
          </w:p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commande externe</w:t>
            </w:r>
            <w:r>
              <w:t xml:space="preserve"> </w:t>
            </w:r>
            <w:r>
              <w:rPr>
                <w:rStyle w:val="VerbatimChar"/>
                <w:bCs/>
                <w:b/>
              </w:rPr>
              <w:t xml:space="preserve">log2do2</w:t>
            </w:r>
            <w:r>
              <w:t xml:space="preserve">: à partir d’un fichier log, permet de conserver seulement les lignes de programmes en supprimant les éléments de l’output. Attention les lignes comportant des erreurs seront également conservée.</w:t>
            </w:r>
            <w:r>
              <w:br/>
            </w:r>
            <w:r>
              <w:rPr>
                <w:rStyle w:val="VerbatimChar"/>
                <w:bCs/>
                <w:b/>
              </w:rPr>
              <w:t xml:space="preserve">ssc install log2do2</w:t>
            </w:r>
          </w:p>
        </w:tc>
      </w:tr>
    </w:tbl>
    <w:bookmarkStart w:id="45" w:name="X3e2ce23d48d93ab3aeacde4f11be64ef9065d9e"/>
    <w:p>
      <w:pPr>
        <w:pStyle w:val="Heading3"/>
      </w:pPr>
      <w:r>
        <w:t xml:space="preserve">5.3.1 Interactions entre l’interface principale, les boîtes de dialogue et l’éditeur de programme</w:t>
      </w:r>
    </w:p>
    <w:p>
      <w:pPr>
        <w:pStyle w:val="FirstParagraph"/>
      </w:pPr>
      <w:r>
        <w:rPr>
          <w:bCs/>
          <w:b/>
        </w:rPr>
        <w:t xml:space="preserve">DEMONSTRATION PENDANT LA FORMATION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44" Target="https://mthevenin.github.io/stata_programmation/profile/profile1.html#exe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mthevenin.github.io/stata_programmation/profile/profile1.html#exe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Environnement</dc:title>
  <dc:creator/>
  <cp:keywords/>
  <dcterms:created xsi:type="dcterms:W3CDTF">2023-06-27T09:52:30Z</dcterms:created>
  <dcterms:modified xsi:type="dcterms:W3CDTF">2023-06-27T09:52:30Z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ghtbox">
    <vt:lpwstr>auto</vt:lpwstr>
  </property>
  <property fmtid="{D5CDD505-2E9C-101B-9397-08002B2CF9AE}" pid="8" name="toc-title">
    <vt:lpwstr>Table of contents</vt:lpwstr>
  </property>
</Properties>
</file>