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Segoe UI Emoji" w:cs="Segoe UI Emoji" w:eastAsia="Segoe UI Emoji" w:hAnsi="Segoe UI Emoji"/>
          <w:sz w:val="96"/>
          <w:szCs w:val="96"/>
        </w:rPr>
        <w:t xml:space="preserve">🌿</w:t>
      </w:r>
    </w:p>
    <w:p>
      <w:pPr>
        <w:spacing w:after="80" w:before="280"/>
      </w:pPr>
      <w:r>
        <w:rPr>
          <w:rFonts w:ascii="Arial" w:cs="Arial" w:eastAsia="Arial" w:hAnsi="Arial"/>
          <w:b/>
          <w:bCs/>
          <w:color w:val="1F6B3A"/>
          <w:sz w:val="72"/>
          <w:szCs w:val="72"/>
        </w:rPr>
        <w:t xml:space="preserve">VaxWise</w:t>
      </w:r>
    </w:p>
    <w:p>
      <w:pPr>
        <w:spacing w:after="160" w:before="0"/>
      </w:pPr>
      <w:r>
        <w:rPr>
          <w:rFonts w:ascii="Arial" w:cs="Arial" w:eastAsia="Arial" w:hAnsi="Arial"/>
          <w:b w:val="false"/>
          <w:bCs w:val="false"/>
          <w:color w:val="2E8B57"/>
          <w:sz w:val="36"/>
          <w:szCs w:val="36"/>
        </w:rPr>
        <w:t xml:space="preserve">On-Farm Biosecurity Suite</w:t>
      </w:r>
    </w:p>
    <w:p>
      <w:pPr>
        <w:pBdr>
          <w:bottom w:val="single" w:color="1F6B3A" w:sz="6" w:space="4"/>
        </w:pBdr>
        <w:spacing w:after="480" w:before="0"/>
      </w:pPr>
      <w:r>
        <w:rPr>
          <w:rFonts w:ascii="Arial" w:cs="Arial" w:eastAsia="Arial" w:hAnsi="Arial"/>
          <w:i/>
          <w:iCs/>
          <w:color w:val="6B7280"/>
          <w:sz w:val="28"/>
          <w:szCs w:val="28"/>
        </w:rPr>
        <w:t xml:space="preserve">Product Requirements Document</w:t>
      </w:r>
    </w:p>
    <w:p>
      <w:pPr>
        <w:spacing w:after="0" w:before="0"/>
      </w:pPr>
      <w:r>
        <w:t xml:space="preserve"/>
      </w:r>
    </w:p>
    <w:p>
      <w:pPr>
        <w:spacing w:after="0" w:before="0"/>
      </w:pPr>
      <w:r>
        <w:t xml:space="preserve"/>
      </w:r>
    </w:p>
    <w:p>
      <w:pPr>
        <w:tabs>
          <w:tab w:val="left" w:pos="2200"/>
        </w:tabs>
        <w:spacing w:after="60" w:before="60"/>
      </w:pPr>
      <w:r>
        <w:rPr>
          <w:rFonts w:ascii="Arial" w:cs="Arial" w:eastAsia="Arial" w:hAnsi="Arial"/>
          <w:b/>
          <w:bCs/>
          <w:color w:val="1F6B3A"/>
          <w:sz w:val="20"/>
          <w:szCs w:val="20"/>
        </w:rPr>
        <w:t xml:space="preserve">Version</w:t>
      </w:r>
      <w:r>
        <w:t xml:space="preserve">	</w:t>
      </w:r>
      <w:r>
        <w:rPr>
          <w:rFonts w:ascii="Arial" w:cs="Arial" w:eastAsia="Arial" w:hAnsi="Arial"/>
          <w:color w:val="111827"/>
          <w:sz w:val="20"/>
          <w:szCs w:val="20"/>
        </w:rPr>
        <w:t xml:space="preserve">1.0</w:t>
      </w:r>
    </w:p>
    <w:p>
      <w:pPr>
        <w:tabs>
          <w:tab w:val="left" w:pos="2200"/>
        </w:tabs>
        <w:spacing w:after="60" w:before="60"/>
      </w:pPr>
      <w:r>
        <w:rPr>
          <w:rFonts w:ascii="Arial" w:cs="Arial" w:eastAsia="Arial" w:hAnsi="Arial"/>
          <w:b/>
          <w:bCs/>
          <w:color w:val="1F6B3A"/>
          <w:sz w:val="20"/>
          <w:szCs w:val="20"/>
        </w:rPr>
        <w:t xml:space="preserve">Status</w:t>
      </w:r>
      <w:r>
        <w:t xml:space="preserve">	</w:t>
      </w:r>
      <w:r>
        <w:rPr>
          <w:rFonts w:ascii="Arial" w:cs="Arial" w:eastAsia="Arial" w:hAnsi="Arial"/>
          <w:color w:val="111827"/>
          <w:sz w:val="20"/>
          <w:szCs w:val="20"/>
        </w:rPr>
        <w:t xml:space="preserve">Draft — For Review</w:t>
      </w:r>
    </w:p>
    <w:p>
      <w:pPr>
        <w:tabs>
          <w:tab w:val="left" w:pos="2200"/>
        </w:tabs>
        <w:spacing w:after="60" w:before="60"/>
      </w:pPr>
      <w:r>
        <w:rPr>
          <w:rFonts w:ascii="Arial" w:cs="Arial" w:eastAsia="Arial" w:hAnsi="Arial"/>
          <w:b/>
          <w:bCs/>
          <w:color w:val="1F6B3A"/>
          <w:sz w:val="20"/>
          <w:szCs w:val="20"/>
        </w:rPr>
        <w:t xml:space="preserve">Date</w:t>
      </w:r>
      <w:r>
        <w:t xml:space="preserve">	</w:t>
      </w:r>
      <w:r>
        <w:rPr>
          <w:rFonts w:ascii="Arial" w:cs="Arial" w:eastAsia="Arial" w:hAnsi="Arial"/>
          <w:color w:val="111827"/>
          <w:sz w:val="20"/>
          <w:szCs w:val="20"/>
        </w:rPr>
        <w:t xml:space="preserve">May 2026</w:t>
      </w:r>
    </w:p>
    <w:p>
      <w:pPr>
        <w:tabs>
          <w:tab w:val="left" w:pos="2200"/>
        </w:tabs>
        <w:spacing w:after="60" w:before="60"/>
      </w:pPr>
      <w:r>
        <w:rPr>
          <w:rFonts w:ascii="Arial" w:cs="Arial" w:eastAsia="Arial" w:hAnsi="Arial"/>
          <w:b/>
          <w:bCs/>
          <w:color w:val="1F6B3A"/>
          <w:sz w:val="20"/>
          <w:szCs w:val="20"/>
        </w:rPr>
        <w:t xml:space="preserve">Classification</w:t>
      </w:r>
      <w:r>
        <w:t xml:space="preserve">	</w:t>
      </w:r>
      <w:r>
        <w:rPr>
          <w:rFonts w:ascii="Arial" w:cs="Arial" w:eastAsia="Arial" w:hAnsi="Arial"/>
          <w:color w:val="111827"/>
          <w:sz w:val="20"/>
          <w:szCs w:val="20"/>
        </w:rPr>
        <w:t xml:space="preserve">Confidential</w:t>
      </w:r>
    </w:p>
    <w:p>
      <w:pPr>
        <w:tabs>
          <w:tab w:val="left" w:pos="2200"/>
        </w:tabs>
        <w:spacing w:after="60" w:before="60"/>
      </w:pPr>
      <w:r>
        <w:rPr>
          <w:rFonts w:ascii="Arial" w:cs="Arial" w:eastAsia="Arial" w:hAnsi="Arial"/>
          <w:b/>
          <w:bCs/>
          <w:color w:val="1F6B3A"/>
          <w:sz w:val="20"/>
          <w:szCs w:val="20"/>
        </w:rPr>
        <w:t xml:space="preserve">Author</w:t>
      </w:r>
      <w:r>
        <w:t xml:space="preserve">	</w:t>
      </w:r>
      <w:r>
        <w:rPr>
          <w:rFonts w:ascii="Arial" w:cs="Arial" w:eastAsia="Arial" w:hAnsi="Arial"/>
          <w:color w:val="111827"/>
          <w:sz w:val="20"/>
          <w:szCs w:val="20"/>
        </w:rPr>
        <w:t xml:space="preserve">VaxWise Product Team</w:t>
      </w:r>
    </w:p>
    <w:p>
      <w:pPr>
        <w:spacing w:after="0" w:before="0"/>
      </w:pPr>
      <w:r>
        <w:t xml:space="preserve"/>
      </w:r>
    </w:p>
    <w:p>
      <w:pPr>
        <w:spacing w:after="0" w:before="0"/>
      </w:pPr>
      <w:r>
        <w:t xml:space="preserve"/>
      </w:r>
    </w:p>
    <w:p>
      <w:pPr>
        <w:spacing w:after="0" w:before="80"/>
      </w:pPr>
      <w:r>
        <w:rPr>
          <w:rFonts w:ascii="Arial" w:cs="Arial" w:eastAsia="Arial" w:hAnsi="Arial"/>
          <w:i/>
          <w:iCs/>
          <w:color w:val="6B7280"/>
          <w:sz w:val="18"/>
          <w:szCs w:val="18"/>
        </w:rPr>
        <w:t xml:space="preserve">Built on research from FAO, WOAH, IPPC and field biosecurity programs across Africa, Asia and Latin America.</w:t>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1. Executive Summary</w:t>
      </w:r>
    </w:p>
    <w:p>
      <w:pPr>
        <w:spacing w:after="100" w:before="60"/>
      </w:pPr>
      <w:r>
        <w:rPr>
          <w:rFonts w:ascii="Arial" w:cs="Arial" w:eastAsia="Arial" w:hAnsi="Arial"/>
          <w:color w:val="111827"/>
          <w:sz w:val="22"/>
          <w:szCs w:val="22"/>
        </w:rPr>
        <w:t xml:space="preserve">VaxWise is an on-farm biosecurity management platform purpose-built to protect livestock, crops, and aquaculture operations from biological threats. Drawing on the critical gaps identified in global biosecurity research — including poor protocol adoption, vaccine coverage shortfalls, underreporting of outbreaks, and the exclusion of smallholder farmers from digital tools — VaxWise provides a single, accessible platform that makes biosecurity actionable at farm level.</w:t>
      </w:r>
    </w:p>
    <w:p>
      <w:pPr>
        <w:spacing w:after="0" w:before="0"/>
      </w:pPr>
      <w:r>
        <w:t xml:space="preserve"/>
      </w:r>
    </w:p>
    <w:p>
      <w:pPr>
        <w:spacing w:after="100" w:before="60"/>
      </w:pPr>
      <w:r>
        <w:rPr>
          <w:rFonts w:ascii="Arial" w:cs="Arial" w:eastAsia="Arial" w:hAnsi="Arial"/>
          <w:color w:val="111827"/>
          <w:sz w:val="22"/>
          <w:szCs w:val="22"/>
        </w:rPr>
        <w:t xml:space="preserve">The platform delivers six core capabilities: digital standard operating procedure (SOP) management; vaccination scheduling and records; visitor and vehicle access logging; a compliance scoring and incentive engine; streamlined outbreak incident reporting; and a smallholder-optimised mobile experience. These capabilities are tightly integrated with the broader AgriShield ecosystem — feeding outbreak data into SentinelNet and receiving regional disease risk context in return.</w:t>
      </w:r>
    </w:p>
    <w:p>
      <w:pPr>
        <w:spacing w:after="0" w:before="0"/>
      </w:pPr>
      <w:r>
        <w:t xml:space="preserve"/>
      </w:r>
    </w:p>
    <w:p>
      <w:pPr>
        <w:spacing w:after="100" w:before="60"/>
      </w:pPr>
      <w:r>
        <w:rPr>
          <w:rFonts w:ascii="Arial" w:cs="Arial" w:eastAsia="Arial" w:hAnsi="Arial"/>
          <w:color w:val="111827"/>
          <w:sz w:val="22"/>
          <w:szCs w:val="22"/>
        </w:rPr>
        <w:t xml:space="preserve">VaxWise targets three primary user segments: commercial livestock and crop farmers, veterinary extension officers, and national animal/plant health authorities. The platform supports operations in low-connectivity environments through an offline-first architecture and is available in 40+ languages with audio support for low-literacy users.</w:t>
      </w:r>
    </w:p>
    <w:p>
      <w:pPr>
        <w:spacing w:after="0" w:before="0"/>
      </w:pPr>
      <w:r>
        <w:t xml:space="preserve"/>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2. Problem Statement</w:t>
      </w:r>
    </w:p>
    <w:p>
      <w:pPr>
        <w:pStyle w:val="Heading2"/>
        <w:spacing w:after="120" w:before="280"/>
      </w:pPr>
      <w:r>
        <w:rPr>
          <w:rFonts w:ascii="Arial" w:cs="Arial" w:eastAsia="Arial" w:hAnsi="Arial"/>
          <w:b/>
          <w:bCs/>
          <w:color w:val="2E8B57"/>
          <w:sz w:val="26"/>
          <w:szCs w:val="26"/>
        </w:rPr>
        <w:t xml:space="preserve">2.1 The Biosecurity Gap at Farm Level</w:t>
      </w:r>
    </w:p>
    <w:p>
      <w:pPr>
        <w:spacing w:after="100" w:before="60"/>
      </w:pPr>
      <w:r>
        <w:rPr>
          <w:rFonts w:ascii="Arial" w:cs="Arial" w:eastAsia="Arial" w:hAnsi="Arial"/>
          <w:color w:val="111827"/>
          <w:sz w:val="22"/>
          <w:szCs w:val="22"/>
        </w:rPr>
        <w:t xml:space="preserve">The farm is the first and most critical line of defence against biological threats to the food supply. Yet research consistently shows that on-farm biosecurity is the weakest link in the chain. The following problems drive this gap:</w:t>
      </w:r>
    </w:p>
    <w:p>
      <w:pPr>
        <w:spacing w:after="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Poor protocol adoption: Individual producers vary widely in implementing biosecurity measures such as farm hygiene, quarantine procedures, and vaccination schedules. Cost, limited awareness, and cultural factors all contribute.</w:t>
      </w:r>
    </w:p>
    <w:p>
      <w:pPr>
        <w:pStyle w:val="ListParagraph"/>
        <w:numPr>
          <w:ilvl w:val="0"/>
          <w:numId w:val="2"/>
        </w:numPr>
        <w:spacing w:after="40" w:before="40"/>
      </w:pPr>
      <w:r>
        <w:rPr>
          <w:rFonts w:ascii="Arial" w:cs="Arial" w:eastAsia="Arial" w:hAnsi="Arial"/>
          <w:color w:val="111827"/>
          <w:sz w:val="22"/>
          <w:szCs w:val="22"/>
        </w:rPr>
        <w:t xml:space="preserve">Vaccine coverage failures: Livestock vaccination schedules are often managed on paper or from memory, leading to missed doses, expired stock, and unvaccinated cohorts — particularly in smallholder settings.</w:t>
      </w:r>
    </w:p>
    <w:p>
      <w:pPr>
        <w:pStyle w:val="ListParagraph"/>
        <w:numPr>
          <w:ilvl w:val="0"/>
          <w:numId w:val="2"/>
        </w:numPr>
        <w:spacing w:after="40" w:before="40"/>
      </w:pPr>
      <w:r>
        <w:rPr>
          <w:rFonts w:ascii="Arial" w:cs="Arial" w:eastAsia="Arial" w:hAnsi="Arial"/>
          <w:color w:val="111827"/>
          <w:sz w:val="22"/>
          <w:szCs w:val="22"/>
        </w:rPr>
        <w:t xml:space="preserve">Underreporting of outbreaks: Farmers are reluctant to report suspected disease events due to fear of trade losses, culling orders, or reputational damage. This delays response by days or weeks — a critical window during which diseases like ASF or HPAI can spread across regions.</w:t>
      </w:r>
    </w:p>
    <w:p>
      <w:pPr>
        <w:pStyle w:val="ListParagraph"/>
        <w:numPr>
          <w:ilvl w:val="0"/>
          <w:numId w:val="2"/>
        </w:numPr>
        <w:spacing w:after="40" w:before="40"/>
      </w:pPr>
      <w:r>
        <w:rPr>
          <w:rFonts w:ascii="Arial" w:cs="Arial" w:eastAsia="Arial" w:hAnsi="Arial"/>
          <w:color w:val="111827"/>
          <w:sz w:val="22"/>
          <w:szCs w:val="22"/>
        </w:rPr>
        <w:t xml:space="preserve">No digital traceability at farm level: Without digital visitor logs, input records, or movement tracking, retrospective contact tracing during outbreaks is slow, incomplete, and often impossible.</w:t>
      </w:r>
    </w:p>
    <w:p>
      <w:pPr>
        <w:pStyle w:val="ListParagraph"/>
        <w:numPr>
          <w:ilvl w:val="0"/>
          <w:numId w:val="2"/>
        </w:numPr>
        <w:spacing w:after="40" w:before="40"/>
      </w:pPr>
      <w:r>
        <w:rPr>
          <w:rFonts w:ascii="Arial" w:cs="Arial" w:eastAsia="Arial" w:hAnsi="Arial"/>
          <w:color w:val="111827"/>
          <w:sz w:val="22"/>
          <w:szCs w:val="22"/>
        </w:rPr>
        <w:t xml:space="preserve">Smallholder exclusion: The majority of biosecurity digital tools are designed for large commercial operations. The hundreds of millions of smallholders who collectively supply a significant share of the world's food are left without appropriate tools.</w:t>
      </w:r>
    </w:p>
    <w:p>
      <w:pPr>
        <w:pStyle w:val="ListParagraph"/>
        <w:numPr>
          <w:ilvl w:val="0"/>
          <w:numId w:val="2"/>
        </w:numPr>
        <w:spacing w:after="40" w:before="40"/>
      </w:pPr>
      <w:r>
        <w:rPr>
          <w:rFonts w:ascii="Arial" w:cs="Arial" w:eastAsia="Arial" w:hAnsi="Arial"/>
          <w:color w:val="111827"/>
          <w:sz w:val="22"/>
          <w:szCs w:val="22"/>
        </w:rPr>
        <w:t xml:space="preserve">Fragmented compliance: There is no standardised, scalable way for authorities to verify whether farms are adhering to national biosecurity standards — making certification, subsidy allocation, and outbreak liability assessment difficult.</w:t>
      </w:r>
    </w:p>
    <w:p>
      <w:pPr>
        <w:spacing w:after="0" w:before="0"/>
      </w:pPr>
      <w:r>
        <w:t xml:space="preserve"/>
      </w:r>
    </w:p>
    <w:p>
      <w:pPr>
        <w:pStyle w:val="Heading2"/>
        <w:spacing w:after="120" w:before="280"/>
      </w:pPr>
      <w:r>
        <w:rPr>
          <w:rFonts w:ascii="Arial" w:cs="Arial" w:eastAsia="Arial" w:hAnsi="Arial"/>
          <w:b/>
          <w:bCs/>
          <w:color w:val="2E8B57"/>
          <w:sz w:val="26"/>
          <w:szCs w:val="26"/>
        </w:rPr>
        <w:t xml:space="preserve">2.2 The Cost of Inaction</w:t>
      </w:r>
    </w:p>
    <w:p>
      <w:pPr>
        <w:spacing w:after="100" w:before="60"/>
      </w:pPr>
      <w:r>
        <w:rPr>
          <w:rFonts w:ascii="Arial" w:cs="Arial" w:eastAsia="Arial" w:hAnsi="Arial"/>
          <w:color w:val="111827"/>
          <w:sz w:val="22"/>
          <w:szCs w:val="22"/>
        </w:rPr>
        <w:t xml:space="preserve">The consequences of farm-level biosecurity failure are well-documented and severe:</w:t>
      </w:r>
    </w:p>
    <w:p>
      <w:pPr>
        <w:spacing w:after="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The 2018–2023 ASF outbreak in Asia — driven in large part by poor biosecurity on smallholder farms and illegal animal movements — decimated over 10% of the world's pig herd.</w:t>
      </w:r>
    </w:p>
    <w:p>
      <w:pPr>
        <w:pStyle w:val="ListParagraph"/>
        <w:numPr>
          <w:ilvl w:val="0"/>
          <w:numId w:val="2"/>
        </w:numPr>
        <w:spacing w:after="40" w:before="40"/>
      </w:pPr>
      <w:r>
        <w:rPr>
          <w:rFonts w:ascii="Arial" w:cs="Arial" w:eastAsia="Arial" w:hAnsi="Arial"/>
          <w:color w:val="111827"/>
          <w:sz w:val="22"/>
          <w:szCs w:val="22"/>
        </w:rPr>
        <w:t xml:space="preserve">HPAI outbreaks have resulted in the culling of over 630 million birds globally over two decades, with billions of dollars in losses and repeated trade bans affecting entire national economies.</w:t>
      </w:r>
    </w:p>
    <w:p>
      <w:pPr>
        <w:pStyle w:val="ListParagraph"/>
        <w:numPr>
          <w:ilvl w:val="0"/>
          <w:numId w:val="2"/>
        </w:numPr>
        <w:spacing w:after="40" w:before="40"/>
      </w:pPr>
      <w:r>
        <w:rPr>
          <w:rFonts w:ascii="Arial" w:cs="Arial" w:eastAsia="Arial" w:hAnsi="Arial"/>
          <w:color w:val="111827"/>
          <w:sz w:val="22"/>
          <w:szCs w:val="22"/>
        </w:rPr>
        <w:t xml:space="preserve">Banana TR4 Fusarium wilt spread silently via contaminated farm equipment and planting material; a single farm in Mozambique lost USD 80 million and 3,000 jobs before containment.</w:t>
      </w:r>
    </w:p>
    <w:p>
      <w:pPr>
        <w:pStyle w:val="ListParagraph"/>
        <w:numPr>
          <w:ilvl w:val="0"/>
          <w:numId w:val="2"/>
        </w:numPr>
        <w:spacing w:after="40" w:before="40"/>
      </w:pPr>
      <w:r>
        <w:rPr>
          <w:rFonts w:ascii="Arial" w:cs="Arial" w:eastAsia="Arial" w:hAnsi="Arial"/>
          <w:color w:val="111827"/>
          <w:sz w:val="22"/>
          <w:szCs w:val="22"/>
        </w:rPr>
        <w:t xml:space="preserve">Up to 40% of global food crop production is lost annually to pests and diseases — much of which is preventable with timely on-farm action.</w:t>
      </w:r>
    </w:p>
    <w:p>
      <w:pPr>
        <w:spacing w:after="0" w:before="0"/>
      </w:pPr>
      <w:r>
        <w:t xml:space="preserve"/>
      </w:r>
    </w:p>
    <w:p>
      <w:pPr>
        <w:spacing w:after="100" w:before="60"/>
      </w:pPr>
      <w:r>
        <w:rPr>
          <w:rFonts w:ascii="Arial" w:cs="Arial" w:eastAsia="Arial" w:hAnsi="Arial"/>
          <w:color w:val="111827"/>
          <w:sz w:val="22"/>
          <w:szCs w:val="22"/>
        </w:rPr>
        <w:t xml:space="preserve">VaxWise directly addresses these failure modes by digitising, standardising, and incentivising on-farm biosecurity practice.</w:t>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3. Goals and Success Metrics</w:t>
      </w:r>
    </w:p>
    <w:p>
      <w:pPr>
        <w:pStyle w:val="Heading2"/>
        <w:spacing w:after="120" w:before="280"/>
      </w:pPr>
      <w:r>
        <w:rPr>
          <w:rFonts w:ascii="Arial" w:cs="Arial" w:eastAsia="Arial" w:hAnsi="Arial"/>
          <w:b/>
          <w:bCs/>
          <w:color w:val="2E8B57"/>
          <w:sz w:val="26"/>
          <w:szCs w:val="26"/>
        </w:rPr>
        <w:t xml:space="preserve">3.1 Product Goals</w:t>
      </w:r>
    </w:p>
    <w:p>
      <w:pPr>
        <w:spacing w:after="0" w:before="0"/>
      </w:pPr>
      <w:r>
        <w:t xml:space="preserve"/>
      </w:r>
    </w:p>
    <w:p>
      <w:pPr>
        <w:pStyle w:val="ListParagraph"/>
        <w:numPr>
          <w:ilvl w:val="0"/>
          <w:numId w:val="3"/>
        </w:numPr>
        <w:spacing w:after="40" w:before="40"/>
      </w:pPr>
      <w:r>
        <w:rPr>
          <w:rFonts w:ascii="Arial" w:cs="Arial" w:eastAsia="Arial" w:hAnsi="Arial"/>
          <w:color w:val="111827"/>
          <w:sz w:val="22"/>
          <w:szCs w:val="22"/>
        </w:rPr>
        <w:t xml:space="preserve">Make biosecurity protocols actionable and accessible for every farmer, regardless of farm size, literacy level, or connectivity.</w:t>
      </w:r>
    </w:p>
    <w:p>
      <w:pPr>
        <w:pStyle w:val="ListParagraph"/>
        <w:numPr>
          <w:ilvl w:val="0"/>
          <w:numId w:val="3"/>
        </w:numPr>
        <w:spacing w:after="40" w:before="40"/>
      </w:pPr>
      <w:r>
        <w:rPr>
          <w:rFonts w:ascii="Arial" w:cs="Arial" w:eastAsia="Arial" w:hAnsi="Arial"/>
          <w:color w:val="111827"/>
          <w:sz w:val="22"/>
          <w:szCs w:val="22"/>
        </w:rPr>
        <w:t xml:space="preserve">Eliminate preventable vaccine coverage gaps by automating scheduling, reminders, and record-keeping.</w:t>
      </w:r>
    </w:p>
    <w:p>
      <w:pPr>
        <w:pStyle w:val="ListParagraph"/>
        <w:numPr>
          <w:ilvl w:val="0"/>
          <w:numId w:val="3"/>
        </w:numPr>
        <w:spacing w:after="40" w:before="40"/>
      </w:pPr>
      <w:r>
        <w:rPr>
          <w:rFonts w:ascii="Arial" w:cs="Arial" w:eastAsia="Arial" w:hAnsi="Arial"/>
          <w:color w:val="111827"/>
          <w:sz w:val="22"/>
          <w:szCs w:val="22"/>
        </w:rPr>
        <w:t xml:space="preserve">Reduce the time between outbreak occurrence and official reporting to under 24 hours.</w:t>
      </w:r>
    </w:p>
    <w:p>
      <w:pPr>
        <w:pStyle w:val="ListParagraph"/>
        <w:numPr>
          <w:ilvl w:val="0"/>
          <w:numId w:val="3"/>
        </w:numPr>
        <w:spacing w:after="40" w:before="40"/>
      </w:pPr>
      <w:r>
        <w:rPr>
          <w:rFonts w:ascii="Arial" w:cs="Arial" w:eastAsia="Arial" w:hAnsi="Arial"/>
          <w:color w:val="111827"/>
          <w:sz w:val="22"/>
          <w:szCs w:val="22"/>
        </w:rPr>
        <w:t xml:space="preserve">Enable sub-hour contact tracing during outbreak events through digital access and movement logs.</w:t>
      </w:r>
    </w:p>
    <w:p>
      <w:pPr>
        <w:pStyle w:val="ListParagraph"/>
        <w:numPr>
          <w:ilvl w:val="0"/>
          <w:numId w:val="3"/>
        </w:numPr>
        <w:spacing w:after="40" w:before="40"/>
      </w:pPr>
      <w:r>
        <w:rPr>
          <w:rFonts w:ascii="Arial" w:cs="Arial" w:eastAsia="Arial" w:hAnsi="Arial"/>
          <w:color w:val="111827"/>
          <w:sz w:val="22"/>
          <w:szCs w:val="22"/>
        </w:rPr>
        <w:t xml:space="preserve">Provide national authorities with real-time farm compliance data to target extension resources and subsidy allocation.</w:t>
      </w:r>
    </w:p>
    <w:p>
      <w:pPr>
        <w:pStyle w:val="ListParagraph"/>
        <w:numPr>
          <w:ilvl w:val="0"/>
          <w:numId w:val="3"/>
        </w:numPr>
        <w:spacing w:after="40" w:before="40"/>
      </w:pPr>
      <w:r>
        <w:rPr>
          <w:rFonts w:ascii="Arial" w:cs="Arial" w:eastAsia="Arial" w:hAnsi="Arial"/>
          <w:color w:val="111827"/>
          <w:sz w:val="22"/>
          <w:szCs w:val="22"/>
        </w:rPr>
        <w:t xml:space="preserve">Integrate seamlessly with the AgriShield platform, contributing farm-level data to SentinelNet's outbreak prediction engine.</w:t>
      </w:r>
    </w:p>
    <w:p>
      <w:pPr>
        <w:spacing w:after="0" w:before="0"/>
      </w:pPr>
      <w:r>
        <w:t xml:space="preserve"/>
      </w:r>
    </w:p>
    <w:p>
      <w:pPr>
        <w:pStyle w:val="Heading2"/>
        <w:spacing w:after="120" w:before="280"/>
      </w:pPr>
      <w:r>
        <w:rPr>
          <w:rFonts w:ascii="Arial" w:cs="Arial" w:eastAsia="Arial" w:hAnsi="Arial"/>
          <w:b/>
          <w:bCs/>
          <w:color w:val="2E8B57"/>
          <w:sz w:val="26"/>
          <w:szCs w:val="26"/>
        </w:rPr>
        <w:t xml:space="preserve">3.2 Key Performance Indicators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40"/>
        <w:gridCol w:w="2040"/>
      </w:tblGrid>
      <w:tr>
        <w:trPr>
          <w:tblHeader/>
        </w:trPr>
        <w:tc>
          <w:tcPr>
            <w:tcW w:type="dxa" w:w="32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208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w:t>
            </w:r>
          </w:p>
        </w:tc>
        <w:tc>
          <w:tcPr>
            <w:tcW w:type="dxa" w:w="20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 1 Target</w:t>
            </w:r>
          </w:p>
        </w:tc>
        <w:tc>
          <w:tcPr>
            <w:tcW w:type="dxa" w:w="20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Year 3 Target</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 farms with current vaccination records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~22%</w:t>
            </w:r>
          </w:p>
        </w:tc>
        <w:tc>
          <w:tcPr>
            <w:tcW w:type="dxa" w:w="2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55%</w:t>
            </w:r>
          </w:p>
        </w:tc>
        <w:tc>
          <w:tcPr>
            <w:tcW w:type="dxa" w:w="2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80%</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Avg. hours from outbreak event to official report</w:t>
            </w:r>
          </w:p>
        </w:tc>
        <w:tc>
          <w:tcPr>
            <w:tcW w:type="dxa" w:w="2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72–168 hrs</w:t>
            </w:r>
          </w:p>
        </w:tc>
        <w:tc>
          <w:tcPr>
            <w:tcW w:type="dxa" w:w="2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48 hrs</w:t>
            </w:r>
          </w:p>
        </w:tc>
        <w:tc>
          <w:tcPr>
            <w:tcW w:type="dxa" w:w="2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12 hrs</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 farms maintaining digital visitor logs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5%</w:t>
            </w:r>
          </w:p>
        </w:tc>
        <w:tc>
          <w:tcPr>
            <w:tcW w:type="dxa" w:w="2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40%</w:t>
            </w:r>
          </w:p>
        </w:tc>
        <w:tc>
          <w:tcPr>
            <w:tcW w:type="dxa" w:w="2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70%</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Smallholder farms enrolled (globally)</w:t>
            </w:r>
          </w:p>
        </w:tc>
        <w:tc>
          <w:tcPr>
            <w:tcW w:type="dxa" w:w="2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0</w:t>
            </w:r>
          </w:p>
        </w:tc>
        <w:tc>
          <w:tcPr>
            <w:tcW w:type="dxa" w:w="2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500,000</w:t>
            </w:r>
          </w:p>
        </w:tc>
        <w:tc>
          <w:tcPr>
            <w:tcW w:type="dxa" w:w="2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5,000,000</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Average BioScore across enrolled farms</w:t>
            </w:r>
          </w:p>
        </w:tc>
        <w:tc>
          <w:tcPr>
            <w:tcW w:type="dxa" w:w="2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w:t>
            </w:r>
          </w:p>
        </w:tc>
        <w:tc>
          <w:tcPr>
            <w:tcW w:type="dxa" w:w="2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58 / 100</w:t>
            </w:r>
          </w:p>
        </w:tc>
        <w:tc>
          <w:tcPr>
            <w:tcW w:type="dxa" w:w="20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 100</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Platform uptime</w:t>
            </w:r>
          </w:p>
        </w:tc>
        <w:tc>
          <w:tcPr>
            <w:tcW w:type="dxa" w:w="2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w:t>
            </w:r>
          </w:p>
        </w:tc>
        <w:tc>
          <w:tcPr>
            <w:tcW w:type="dxa" w:w="2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99.5%</w:t>
            </w:r>
          </w:p>
        </w:tc>
        <w:tc>
          <w:tcPr>
            <w:tcW w:type="dxa" w:w="2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99.9%</w:t>
            </w:r>
          </w:p>
        </w:tc>
      </w:tr>
    </w:tbl>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4. Users and Personas</w:t>
      </w:r>
    </w:p>
    <w:p>
      <w:pPr>
        <w:spacing w:after="100" w:before="60"/>
      </w:pPr>
      <w:r>
        <w:rPr>
          <w:rFonts w:ascii="Arial" w:cs="Arial" w:eastAsia="Arial" w:hAnsi="Arial"/>
          <w:color w:val="111827"/>
          <w:sz w:val="22"/>
          <w:szCs w:val="22"/>
        </w:rPr>
        <w:t xml:space="preserve">VaxWise serves four distinct user groups, each with different needs, technical capabilities, and incentive structures.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4.1 Commercial Farmer / Farm Manager</w:t>
      </w:r>
    </w:p>
    <w:p>
      <w:pPr>
        <w:spacing w:after="60" w:before="40"/>
      </w:pPr>
      <w:r>
        <w:rPr>
          <w:rFonts w:ascii="Arial" w:cs="Arial" w:eastAsia="Arial" w:hAnsi="Arial"/>
          <w:i/>
          <w:iCs/>
          <w:color w:val="6B7280"/>
          <w:sz w:val="20"/>
          <w:szCs w:val="20"/>
        </w:rPr>
        <w:t xml:space="preserve">"I run a 2,000-head pig operation. I need to know my biosecurity is airtight — my export certification depends on it."</w:t>
      </w:r>
    </w:p>
    <w:p>
      <w:pPr>
        <w:pStyle w:val="ListParagraph"/>
        <w:numPr>
          <w:ilvl w:val="0"/>
          <w:numId w:val="2"/>
        </w:numPr>
        <w:spacing w:after="40" w:before="40"/>
      </w:pPr>
      <w:r>
        <w:rPr>
          <w:rFonts w:ascii="Arial" w:cs="Arial" w:eastAsia="Arial" w:hAnsi="Arial"/>
          <w:color w:val="111827"/>
          <w:sz w:val="22"/>
          <w:szCs w:val="22"/>
        </w:rPr>
        <w:t xml:space="preserve">Manages multiple staff and complex supply chains</w:t>
      </w:r>
    </w:p>
    <w:p>
      <w:pPr>
        <w:pStyle w:val="ListParagraph"/>
        <w:numPr>
          <w:ilvl w:val="0"/>
          <w:numId w:val="2"/>
        </w:numPr>
        <w:spacing w:after="40" w:before="40"/>
      </w:pPr>
      <w:r>
        <w:rPr>
          <w:rFonts w:ascii="Arial" w:cs="Arial" w:eastAsia="Arial" w:hAnsi="Arial"/>
          <w:color w:val="111827"/>
          <w:sz w:val="22"/>
          <w:szCs w:val="22"/>
        </w:rPr>
        <w:t xml:space="preserve">Needs export certification and audit trail documentation</w:t>
      </w:r>
    </w:p>
    <w:p>
      <w:pPr>
        <w:pStyle w:val="ListParagraph"/>
        <w:numPr>
          <w:ilvl w:val="0"/>
          <w:numId w:val="2"/>
        </w:numPr>
        <w:spacing w:after="40" w:before="40"/>
      </w:pPr>
      <w:r>
        <w:rPr>
          <w:rFonts w:ascii="Arial" w:cs="Arial" w:eastAsia="Arial" w:hAnsi="Arial"/>
          <w:color w:val="111827"/>
          <w:sz w:val="22"/>
          <w:szCs w:val="22"/>
        </w:rPr>
        <w:t xml:space="preserve">Technically capable; uses smartphone and desktop</w:t>
      </w:r>
    </w:p>
    <w:p>
      <w:pPr>
        <w:pStyle w:val="ListParagraph"/>
        <w:numPr>
          <w:ilvl w:val="0"/>
          <w:numId w:val="2"/>
        </w:numPr>
        <w:spacing w:after="40" w:before="40"/>
      </w:pPr>
      <w:r>
        <w:rPr>
          <w:rFonts w:ascii="Arial" w:cs="Arial" w:eastAsia="Arial" w:hAnsi="Arial"/>
          <w:color w:val="111827"/>
          <w:sz w:val="22"/>
          <w:szCs w:val="22"/>
        </w:rPr>
        <w:t xml:space="preserve">Primary motivation: market access, insurance, regulatory compliance</w:t>
      </w:r>
    </w:p>
    <w:p>
      <w:pPr>
        <w:pStyle w:val="ListParagraph"/>
        <w:numPr>
          <w:ilvl w:val="0"/>
          <w:numId w:val="2"/>
        </w:numPr>
        <w:spacing w:after="40" w:before="40"/>
      </w:pPr>
      <w:r>
        <w:rPr>
          <w:rFonts w:ascii="Arial" w:cs="Arial" w:eastAsia="Arial" w:hAnsi="Arial"/>
          <w:color w:val="111827"/>
          <w:sz w:val="22"/>
          <w:szCs w:val="22"/>
        </w:rPr>
        <w:t xml:space="preserve">Pain point: managing biosecurity records across multiple systems; audit preparation is manual and time-consuming</w:t>
      </w:r>
    </w:p>
    <w:p>
      <w:pPr>
        <w:spacing w:after="0" w:before="0"/>
      </w:pPr>
      <w:r>
        <w:t xml:space="preserve"/>
      </w:r>
    </w:p>
    <w:p>
      <w:pPr>
        <w:pStyle w:val="Heading2"/>
        <w:spacing w:after="120" w:before="280"/>
      </w:pPr>
      <w:r>
        <w:rPr>
          <w:rFonts w:ascii="Arial" w:cs="Arial" w:eastAsia="Arial" w:hAnsi="Arial"/>
          <w:b/>
          <w:bCs/>
          <w:color w:val="2E8B57"/>
          <w:sz w:val="26"/>
          <w:szCs w:val="26"/>
        </w:rPr>
        <w:t xml:space="preserve">4.2 Smallholder Farmer</w:t>
      </w:r>
    </w:p>
    <w:p>
      <w:pPr>
        <w:spacing w:after="60" w:before="40"/>
      </w:pPr>
      <w:r>
        <w:rPr>
          <w:rFonts w:ascii="Arial" w:cs="Arial" w:eastAsia="Arial" w:hAnsi="Arial"/>
          <w:i/>
          <w:iCs/>
          <w:color w:val="6B7280"/>
          <w:sz w:val="20"/>
          <w:szCs w:val="20"/>
        </w:rPr>
        <w:t xml:space="preserve">"I have 12 cattle and some chickens. I've heard about bird flu but I don't know what to look for or who to call."</w:t>
      </w:r>
    </w:p>
    <w:p>
      <w:pPr>
        <w:pStyle w:val="ListParagraph"/>
        <w:numPr>
          <w:ilvl w:val="0"/>
          <w:numId w:val="2"/>
        </w:numPr>
        <w:spacing w:after="40" w:before="40"/>
      </w:pPr>
      <w:r>
        <w:rPr>
          <w:rFonts w:ascii="Arial" w:cs="Arial" w:eastAsia="Arial" w:hAnsi="Arial"/>
          <w:color w:val="111827"/>
          <w:sz w:val="22"/>
          <w:szCs w:val="22"/>
        </w:rPr>
        <w:t xml:space="preserve">Limited formal education; may have low digital literacy</w:t>
      </w:r>
    </w:p>
    <w:p>
      <w:pPr>
        <w:pStyle w:val="ListParagraph"/>
        <w:numPr>
          <w:ilvl w:val="0"/>
          <w:numId w:val="2"/>
        </w:numPr>
        <w:spacing w:after="40" w:before="40"/>
      </w:pPr>
      <w:r>
        <w:rPr>
          <w:rFonts w:ascii="Arial" w:cs="Arial" w:eastAsia="Arial" w:hAnsi="Arial"/>
          <w:color w:val="111827"/>
          <w:sz w:val="22"/>
          <w:szCs w:val="22"/>
        </w:rPr>
        <w:t xml:space="preserve">Operates in areas with intermittent or no internet connectivity</w:t>
      </w:r>
    </w:p>
    <w:p>
      <w:pPr>
        <w:pStyle w:val="ListParagraph"/>
        <w:numPr>
          <w:ilvl w:val="0"/>
          <w:numId w:val="2"/>
        </w:numPr>
        <w:spacing w:after="40" w:before="40"/>
      </w:pPr>
      <w:r>
        <w:rPr>
          <w:rFonts w:ascii="Arial" w:cs="Arial" w:eastAsia="Arial" w:hAnsi="Arial"/>
          <w:color w:val="111827"/>
          <w:sz w:val="22"/>
          <w:szCs w:val="22"/>
        </w:rPr>
        <w:t xml:space="preserve">Uses a basic Android smartphone or feature phone (SMS)</w:t>
      </w:r>
    </w:p>
    <w:p>
      <w:pPr>
        <w:pStyle w:val="ListParagraph"/>
        <w:numPr>
          <w:ilvl w:val="0"/>
          <w:numId w:val="2"/>
        </w:numPr>
        <w:spacing w:after="40" w:before="40"/>
      </w:pPr>
      <w:r>
        <w:rPr>
          <w:rFonts w:ascii="Arial" w:cs="Arial" w:eastAsia="Arial" w:hAnsi="Arial"/>
          <w:color w:val="111827"/>
          <w:sz w:val="22"/>
          <w:szCs w:val="22"/>
        </w:rPr>
        <w:t xml:space="preserve">Primary motivation: protecting livelihood; accessing government subsidies</w:t>
      </w:r>
    </w:p>
    <w:p>
      <w:pPr>
        <w:pStyle w:val="ListParagraph"/>
        <w:numPr>
          <w:ilvl w:val="0"/>
          <w:numId w:val="2"/>
        </w:numPr>
        <w:spacing w:after="40" w:before="40"/>
      </w:pPr>
      <w:r>
        <w:rPr>
          <w:rFonts w:ascii="Arial" w:cs="Arial" w:eastAsia="Arial" w:hAnsi="Arial"/>
          <w:color w:val="111827"/>
          <w:sz w:val="22"/>
          <w:szCs w:val="22"/>
        </w:rPr>
        <w:t xml:space="preserve">Pain point: biosecurity information is in a language they don't read, or requires a device they don't own</w:t>
      </w:r>
    </w:p>
    <w:p>
      <w:pPr>
        <w:spacing w:after="0" w:before="0"/>
      </w:pPr>
      <w:r>
        <w:t xml:space="preserve"/>
      </w:r>
    </w:p>
    <w:p>
      <w:pPr>
        <w:pStyle w:val="Heading2"/>
        <w:spacing w:after="120" w:before="280"/>
      </w:pPr>
      <w:r>
        <w:rPr>
          <w:rFonts w:ascii="Arial" w:cs="Arial" w:eastAsia="Arial" w:hAnsi="Arial"/>
          <w:b/>
          <w:bCs/>
          <w:color w:val="2E8B57"/>
          <w:sz w:val="26"/>
          <w:szCs w:val="26"/>
        </w:rPr>
        <w:t xml:space="preserve">4.3 Veterinary / Plant Health Extension Officer</w:t>
      </w:r>
    </w:p>
    <w:p>
      <w:pPr>
        <w:spacing w:after="60" w:before="40"/>
      </w:pPr>
      <w:r>
        <w:rPr>
          <w:rFonts w:ascii="Arial" w:cs="Arial" w:eastAsia="Arial" w:hAnsi="Arial"/>
          <w:i/>
          <w:iCs/>
          <w:color w:val="6B7280"/>
          <w:sz w:val="20"/>
          <w:szCs w:val="20"/>
        </w:rPr>
        <w:t xml:space="preserve">"I cover 80 farms across three districts. I need to prioritise my visits based on actual risk, not guesswork."</w:t>
      </w:r>
    </w:p>
    <w:p>
      <w:pPr>
        <w:pStyle w:val="ListParagraph"/>
        <w:numPr>
          <w:ilvl w:val="0"/>
          <w:numId w:val="2"/>
        </w:numPr>
        <w:spacing w:after="40" w:before="40"/>
      </w:pPr>
      <w:r>
        <w:rPr>
          <w:rFonts w:ascii="Arial" w:cs="Arial" w:eastAsia="Arial" w:hAnsi="Arial"/>
          <w:color w:val="111827"/>
          <w:sz w:val="22"/>
          <w:szCs w:val="22"/>
        </w:rPr>
        <w:t xml:space="preserve">Conducts farm inspections and provides technical assistance</w:t>
      </w:r>
    </w:p>
    <w:p>
      <w:pPr>
        <w:pStyle w:val="ListParagraph"/>
        <w:numPr>
          <w:ilvl w:val="0"/>
          <w:numId w:val="2"/>
        </w:numPr>
        <w:spacing w:after="40" w:before="40"/>
      </w:pPr>
      <w:r>
        <w:rPr>
          <w:rFonts w:ascii="Arial" w:cs="Arial" w:eastAsia="Arial" w:hAnsi="Arial"/>
          <w:color w:val="111827"/>
          <w:sz w:val="22"/>
          <w:szCs w:val="22"/>
        </w:rPr>
        <w:t xml:space="preserve">Needs visibility into which farms have compliance gaps or reported incidents</w:t>
      </w:r>
    </w:p>
    <w:p>
      <w:pPr>
        <w:pStyle w:val="ListParagraph"/>
        <w:numPr>
          <w:ilvl w:val="0"/>
          <w:numId w:val="2"/>
        </w:numPr>
        <w:spacing w:after="40" w:before="40"/>
      </w:pPr>
      <w:r>
        <w:rPr>
          <w:rFonts w:ascii="Arial" w:cs="Arial" w:eastAsia="Arial" w:hAnsi="Arial"/>
          <w:color w:val="111827"/>
          <w:sz w:val="22"/>
          <w:szCs w:val="22"/>
        </w:rPr>
        <w:t xml:space="preserve">Works with government authorities and international bodies</w:t>
      </w:r>
    </w:p>
    <w:p>
      <w:pPr>
        <w:pStyle w:val="ListParagraph"/>
        <w:numPr>
          <w:ilvl w:val="0"/>
          <w:numId w:val="2"/>
        </w:numPr>
        <w:spacing w:after="40" w:before="40"/>
      </w:pPr>
      <w:r>
        <w:rPr>
          <w:rFonts w:ascii="Arial" w:cs="Arial" w:eastAsia="Arial" w:hAnsi="Arial"/>
          <w:color w:val="111827"/>
          <w:sz w:val="22"/>
          <w:szCs w:val="22"/>
        </w:rPr>
        <w:t xml:space="preserve">Primary motivation: effective use of limited extension resources; early detection of outbreaks</w:t>
      </w:r>
    </w:p>
    <w:p>
      <w:pPr>
        <w:pStyle w:val="ListParagraph"/>
        <w:numPr>
          <w:ilvl w:val="0"/>
          <w:numId w:val="2"/>
        </w:numPr>
        <w:spacing w:after="40" w:before="40"/>
      </w:pPr>
      <w:r>
        <w:rPr>
          <w:rFonts w:ascii="Arial" w:cs="Arial" w:eastAsia="Arial" w:hAnsi="Arial"/>
          <w:color w:val="111827"/>
          <w:sz w:val="22"/>
          <w:szCs w:val="22"/>
        </w:rPr>
        <w:t xml:space="preserve">Pain point: no aggregated farm-level data; relies on phone calls and paper forms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4.4 National Authority / Regulator</w:t>
      </w:r>
    </w:p>
    <w:p>
      <w:pPr>
        <w:spacing w:after="60" w:before="40"/>
      </w:pPr>
      <w:r>
        <w:rPr>
          <w:rFonts w:ascii="Arial" w:cs="Arial" w:eastAsia="Arial" w:hAnsi="Arial"/>
          <w:i/>
          <w:iCs/>
          <w:color w:val="6B7280"/>
          <w:sz w:val="20"/>
          <w:szCs w:val="20"/>
        </w:rPr>
        <w:t xml:space="preserve">"We need to know if our national herd is properly vaccinated before we can apply for disease-free status."</w:t>
      </w:r>
    </w:p>
    <w:p>
      <w:pPr>
        <w:pStyle w:val="ListParagraph"/>
        <w:numPr>
          <w:ilvl w:val="0"/>
          <w:numId w:val="2"/>
        </w:numPr>
        <w:spacing w:after="40" w:before="40"/>
      </w:pPr>
      <w:r>
        <w:rPr>
          <w:rFonts w:ascii="Arial" w:cs="Arial" w:eastAsia="Arial" w:hAnsi="Arial"/>
          <w:color w:val="111827"/>
          <w:sz w:val="22"/>
          <w:szCs w:val="22"/>
        </w:rPr>
        <w:t xml:space="preserve">Sets biosecurity standards and allocates resources</w:t>
      </w:r>
    </w:p>
    <w:p>
      <w:pPr>
        <w:pStyle w:val="ListParagraph"/>
        <w:numPr>
          <w:ilvl w:val="0"/>
          <w:numId w:val="2"/>
        </w:numPr>
        <w:spacing w:after="40" w:before="40"/>
      </w:pPr>
      <w:r>
        <w:rPr>
          <w:rFonts w:ascii="Arial" w:cs="Arial" w:eastAsia="Arial" w:hAnsi="Arial"/>
          <w:color w:val="111827"/>
          <w:sz w:val="22"/>
          <w:szCs w:val="22"/>
        </w:rPr>
        <w:t xml:space="preserve">Needs aggregate compliance reporting and outbreak dashboards</w:t>
      </w:r>
    </w:p>
    <w:p>
      <w:pPr>
        <w:pStyle w:val="ListParagraph"/>
        <w:numPr>
          <w:ilvl w:val="0"/>
          <w:numId w:val="2"/>
        </w:numPr>
        <w:spacing w:after="40" w:before="40"/>
      </w:pPr>
      <w:r>
        <w:rPr>
          <w:rFonts w:ascii="Arial" w:cs="Arial" w:eastAsia="Arial" w:hAnsi="Arial"/>
          <w:color w:val="111827"/>
          <w:sz w:val="22"/>
          <w:szCs w:val="22"/>
        </w:rPr>
        <w:t xml:space="preserve">Interfaces with international bodies (WOAH, IPPC, FAO)</w:t>
      </w:r>
    </w:p>
    <w:p>
      <w:pPr>
        <w:pStyle w:val="ListParagraph"/>
        <w:numPr>
          <w:ilvl w:val="0"/>
          <w:numId w:val="2"/>
        </w:numPr>
        <w:spacing w:after="40" w:before="40"/>
      </w:pPr>
      <w:r>
        <w:rPr>
          <w:rFonts w:ascii="Arial" w:cs="Arial" w:eastAsia="Arial" w:hAnsi="Arial"/>
          <w:color w:val="111827"/>
          <w:sz w:val="22"/>
          <w:szCs w:val="22"/>
        </w:rPr>
        <w:t xml:space="preserve">Primary motivation: disease-free certification; trade access; public health</w:t>
      </w:r>
    </w:p>
    <w:p>
      <w:pPr>
        <w:pStyle w:val="ListParagraph"/>
        <w:numPr>
          <w:ilvl w:val="0"/>
          <w:numId w:val="2"/>
        </w:numPr>
        <w:spacing w:after="40" w:before="40"/>
      </w:pPr>
      <w:r>
        <w:rPr>
          <w:rFonts w:ascii="Arial" w:cs="Arial" w:eastAsia="Arial" w:hAnsi="Arial"/>
          <w:color w:val="111827"/>
          <w:sz w:val="22"/>
          <w:szCs w:val="22"/>
        </w:rPr>
        <w:t xml:space="preserve">Pain point: no real-time visibility into farm-level compliance; reporting is slow and incomplete</w:t>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5. Core Features and Requirements</w:t>
      </w:r>
    </w:p>
    <w:p>
      <w:pPr>
        <w:pStyle w:val="Heading2"/>
        <w:spacing w:after="120" w:before="280"/>
      </w:pPr>
      <w:r>
        <w:rPr>
          <w:rFonts w:ascii="Arial" w:cs="Arial" w:eastAsia="Arial" w:hAnsi="Arial"/>
          <w:b/>
          <w:bCs/>
          <w:color w:val="2E8B57"/>
          <w:sz w:val="26"/>
          <w:szCs w:val="26"/>
        </w:rPr>
        <w:t xml:space="preserve">5.1 Digital Biosecurity SOPs</w:t>
      </w:r>
    </w:p>
    <w:p>
      <w:pPr>
        <w:spacing w:after="100" w:before="60"/>
      </w:pPr>
      <w:r>
        <w:rPr>
          <w:rFonts w:ascii="Arial" w:cs="Arial" w:eastAsia="Arial" w:hAnsi="Arial"/>
          <w:color w:val="111827"/>
          <w:sz w:val="22"/>
          <w:szCs w:val="22"/>
        </w:rPr>
        <w:t xml:space="preserve">Farm-specific standard operating procedures presented as interactive daily, weekly, and seasonal checklists.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System must support creation of farm profiles specifying species, farm type (livestock/crop/aquaculture/mixed), size, and region.</w:t>
      </w:r>
    </w:p>
    <w:p>
      <w:pPr>
        <w:pStyle w:val="ListParagraph"/>
        <w:numPr>
          <w:ilvl w:val="0"/>
          <w:numId w:val="2"/>
        </w:numPr>
        <w:spacing w:after="40" w:before="40"/>
      </w:pPr>
      <w:r>
        <w:rPr>
          <w:rFonts w:ascii="Arial" w:cs="Arial" w:eastAsia="Arial" w:hAnsi="Arial"/>
          <w:color w:val="111827"/>
          <w:sz w:val="22"/>
          <w:szCs w:val="22"/>
        </w:rPr>
        <w:t xml:space="preserve">SOP templates must be pre-loaded for 30+ species categories based on WOAH and FAO guidelines, customisable by extension officers.</w:t>
      </w:r>
    </w:p>
    <w:p>
      <w:pPr>
        <w:pStyle w:val="ListParagraph"/>
        <w:numPr>
          <w:ilvl w:val="0"/>
          <w:numId w:val="2"/>
        </w:numPr>
        <w:spacing w:after="40" w:before="40"/>
      </w:pPr>
      <w:r>
        <w:rPr>
          <w:rFonts w:ascii="Arial" w:cs="Arial" w:eastAsia="Arial" w:hAnsi="Arial"/>
          <w:color w:val="111827"/>
          <w:sz w:val="22"/>
          <w:szCs w:val="22"/>
        </w:rPr>
        <w:t xml:space="preserve">Farmers complete checklists via mobile app; each item can be marked complete, skipped (with reason), or flagged as a concern.</w:t>
      </w:r>
    </w:p>
    <w:p>
      <w:pPr>
        <w:pStyle w:val="ListParagraph"/>
        <w:numPr>
          <w:ilvl w:val="0"/>
          <w:numId w:val="2"/>
        </w:numPr>
        <w:spacing w:after="40" w:before="40"/>
      </w:pPr>
      <w:r>
        <w:rPr>
          <w:rFonts w:ascii="Arial" w:cs="Arial" w:eastAsia="Arial" w:hAnsi="Arial"/>
          <w:color w:val="111827"/>
          <w:sz w:val="22"/>
          <w:szCs w:val="22"/>
        </w:rPr>
        <w:t xml:space="preserve">Checklist completion data is timestamped, geotagged, and synced to the national authority dashboard.</w:t>
      </w:r>
    </w:p>
    <w:p>
      <w:pPr>
        <w:pStyle w:val="ListParagraph"/>
        <w:numPr>
          <w:ilvl w:val="0"/>
          <w:numId w:val="2"/>
        </w:numPr>
        <w:spacing w:after="40" w:before="40"/>
      </w:pPr>
      <w:r>
        <w:rPr>
          <w:rFonts w:ascii="Arial" w:cs="Arial" w:eastAsia="Arial" w:hAnsi="Arial"/>
          <w:color w:val="111827"/>
          <w:sz w:val="22"/>
          <w:szCs w:val="22"/>
        </w:rPr>
        <w:t xml:space="preserve">Overdue checklist items must trigger push notification (or SMS for offline users) after 24 hours.</w:t>
      </w:r>
    </w:p>
    <w:p>
      <w:pPr>
        <w:pStyle w:val="ListParagraph"/>
        <w:numPr>
          <w:ilvl w:val="0"/>
          <w:numId w:val="2"/>
        </w:numPr>
        <w:spacing w:after="40" w:before="40"/>
      </w:pPr>
      <w:r>
        <w:rPr>
          <w:rFonts w:ascii="Arial" w:cs="Arial" w:eastAsia="Arial" w:hAnsi="Arial"/>
          <w:color w:val="111827"/>
          <w:sz w:val="22"/>
          <w:szCs w:val="22"/>
        </w:rPr>
        <w:t xml:space="preserve">Extension officers can review and annotate farm SOPs remotely; version history must be maintained.</w:t>
      </w:r>
    </w:p>
    <w:p>
      <w:pPr>
        <w:spacing w:after="0" w:before="0"/>
      </w:pPr>
      <w:r>
        <w:t xml:space="preserve"/>
      </w:r>
    </w:p>
    <w:p>
      <w:pPr>
        <w:pStyle w:val="Heading3"/>
        <w:spacing w:after="80" w:before="200"/>
      </w:pPr>
      <w:r>
        <w:rPr>
          <w:rFonts w:ascii="Arial" w:cs="Arial" w:eastAsia="Arial" w:hAnsi="Arial"/>
          <w:b/>
          <w:bCs/>
          <w:color w:val="111827"/>
          <w:sz w:val="22"/>
          <w:szCs w:val="22"/>
        </w:rPr>
        <w:t xml:space="preserve">Non-Functional Requirements</w:t>
      </w:r>
    </w:p>
    <w:p>
      <w:pPr>
        <w:pStyle w:val="ListParagraph"/>
        <w:numPr>
          <w:ilvl w:val="0"/>
          <w:numId w:val="2"/>
        </w:numPr>
        <w:spacing w:after="40" w:before="40"/>
      </w:pPr>
      <w:r>
        <w:rPr>
          <w:rFonts w:ascii="Arial" w:cs="Arial" w:eastAsia="Arial" w:hAnsi="Arial"/>
          <w:color w:val="111827"/>
          <w:sz w:val="22"/>
          <w:szCs w:val="22"/>
        </w:rPr>
        <w:t xml:space="preserve">Checklists must be fully functional offline; data syncs when connectivity is restored.</w:t>
      </w:r>
    </w:p>
    <w:p>
      <w:pPr>
        <w:pStyle w:val="ListParagraph"/>
        <w:numPr>
          <w:ilvl w:val="0"/>
          <w:numId w:val="2"/>
        </w:numPr>
        <w:spacing w:after="40" w:before="40"/>
      </w:pPr>
      <w:r>
        <w:rPr>
          <w:rFonts w:ascii="Arial" w:cs="Arial" w:eastAsia="Arial" w:hAnsi="Arial"/>
          <w:color w:val="111827"/>
          <w:sz w:val="22"/>
          <w:szCs w:val="22"/>
        </w:rPr>
        <w:t xml:space="preserve">UI must support icon-based navigation for low-literacy users.</w:t>
      </w:r>
    </w:p>
    <w:p>
      <w:pPr>
        <w:pStyle w:val="ListParagraph"/>
        <w:numPr>
          <w:ilvl w:val="0"/>
          <w:numId w:val="2"/>
        </w:numPr>
        <w:spacing w:after="40" w:before="40"/>
      </w:pPr>
      <w:r>
        <w:rPr>
          <w:rFonts w:ascii="Arial" w:cs="Arial" w:eastAsia="Arial" w:hAnsi="Arial"/>
          <w:color w:val="111827"/>
          <w:sz w:val="22"/>
          <w:szCs w:val="22"/>
        </w:rPr>
        <w:t xml:space="preserve">All SOP content must be translatable; platform ships with 40 languages at launch.</w:t>
      </w:r>
    </w:p>
    <w:p>
      <w:pPr>
        <w:spacing w:after="0" w:before="0"/>
      </w:pPr>
      <w:r>
        <w:t xml:space="preserve"/>
      </w:r>
    </w:p>
    <w:p>
      <w:pPr>
        <w:pStyle w:val="Heading2"/>
        <w:spacing w:after="120" w:before="280"/>
      </w:pPr>
      <w:r>
        <w:rPr>
          <w:rFonts w:ascii="Arial" w:cs="Arial" w:eastAsia="Arial" w:hAnsi="Arial"/>
          <w:b/>
          <w:bCs/>
          <w:color w:val="2E8B57"/>
          <w:sz w:val="26"/>
          <w:szCs w:val="26"/>
        </w:rPr>
        <w:t xml:space="preserve">5.2 Vaccination Calendar and Records</w:t>
      </w:r>
    </w:p>
    <w:p>
      <w:pPr>
        <w:spacing w:after="100" w:before="60"/>
      </w:pPr>
      <w:r>
        <w:rPr>
          <w:rFonts w:ascii="Arial" w:cs="Arial" w:eastAsia="Arial" w:hAnsi="Arial"/>
          <w:color w:val="111827"/>
          <w:sz w:val="22"/>
          <w:szCs w:val="22"/>
        </w:rPr>
        <w:t xml:space="preserve">Automated vaccination scheduling, reminder delivery, and digital records management for all enrolled animals or crop inputs.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System generates vaccination schedules based on species, age, region, and current SentinelNet regional disease risk map.</w:t>
      </w:r>
    </w:p>
    <w:p>
      <w:pPr>
        <w:pStyle w:val="ListParagraph"/>
        <w:numPr>
          <w:ilvl w:val="0"/>
          <w:numId w:val="2"/>
        </w:numPr>
        <w:spacing w:after="40" w:before="40"/>
      </w:pPr>
      <w:r>
        <w:rPr>
          <w:rFonts w:ascii="Arial" w:cs="Arial" w:eastAsia="Arial" w:hAnsi="Arial"/>
          <w:color w:val="111827"/>
          <w:sz w:val="22"/>
          <w:szCs w:val="22"/>
        </w:rPr>
        <w:t xml:space="preserve">Farmers log vaccinations via the app; fields include: vaccine name, batch number, dose, administering party, and animals/lots covered.</w:t>
      </w:r>
    </w:p>
    <w:p>
      <w:pPr>
        <w:pStyle w:val="ListParagraph"/>
        <w:numPr>
          <w:ilvl w:val="0"/>
          <w:numId w:val="2"/>
        </w:numPr>
        <w:spacing w:after="40" w:before="40"/>
      </w:pPr>
      <w:r>
        <w:rPr>
          <w:rFonts w:ascii="Arial" w:cs="Arial" w:eastAsia="Arial" w:hAnsi="Arial"/>
          <w:color w:val="111827"/>
          <w:sz w:val="22"/>
          <w:szCs w:val="22"/>
        </w:rPr>
        <w:t xml:space="preserve">Vaccination records are immutable once submitted; corrections require a new entry with reference to the original.</w:t>
      </w:r>
    </w:p>
    <w:p>
      <w:pPr>
        <w:pStyle w:val="ListParagraph"/>
        <w:numPr>
          <w:ilvl w:val="0"/>
          <w:numId w:val="2"/>
        </w:numPr>
        <w:spacing w:after="40" w:before="40"/>
      </w:pPr>
      <w:r>
        <w:rPr>
          <w:rFonts w:ascii="Arial" w:cs="Arial" w:eastAsia="Arial" w:hAnsi="Arial"/>
          <w:color w:val="111827"/>
          <w:sz w:val="22"/>
          <w:szCs w:val="22"/>
        </w:rPr>
        <w:t xml:space="preserve">Platform must support bulk entry for large herds (CSV import or scan-to-log via livestock RFID/ear tag).</w:t>
      </w:r>
    </w:p>
    <w:p>
      <w:pPr>
        <w:pStyle w:val="ListParagraph"/>
        <w:numPr>
          <w:ilvl w:val="0"/>
          <w:numId w:val="2"/>
        </w:numPr>
        <w:spacing w:after="40" w:before="40"/>
      </w:pPr>
      <w:r>
        <w:rPr>
          <w:rFonts w:ascii="Arial" w:cs="Arial" w:eastAsia="Arial" w:hAnsi="Arial"/>
          <w:color w:val="111827"/>
          <w:sz w:val="22"/>
          <w:szCs w:val="22"/>
        </w:rPr>
        <w:t xml:space="preserve">Automated reminders are sent 7 days, 3 days, and on the day of scheduled vaccination via push/SMS.</w:t>
      </w:r>
    </w:p>
    <w:p>
      <w:pPr>
        <w:pStyle w:val="ListParagraph"/>
        <w:numPr>
          <w:ilvl w:val="0"/>
          <w:numId w:val="2"/>
        </w:numPr>
        <w:spacing w:after="40" w:before="40"/>
      </w:pPr>
      <w:r>
        <w:rPr>
          <w:rFonts w:ascii="Arial" w:cs="Arial" w:eastAsia="Arial" w:hAnsi="Arial"/>
          <w:color w:val="111827"/>
          <w:sz w:val="22"/>
          <w:szCs w:val="22"/>
        </w:rPr>
        <w:t xml:space="preserve">Vaccine batch records are linked to ChainTrace for supply chain traceability.</w:t>
      </w:r>
    </w:p>
    <w:p>
      <w:pPr>
        <w:pStyle w:val="ListParagraph"/>
        <w:numPr>
          <w:ilvl w:val="0"/>
          <w:numId w:val="2"/>
        </w:numPr>
        <w:spacing w:after="40" w:before="40"/>
      </w:pPr>
      <w:r>
        <w:rPr>
          <w:rFonts w:ascii="Arial" w:cs="Arial" w:eastAsia="Arial" w:hAnsi="Arial"/>
          <w:color w:val="111827"/>
          <w:sz w:val="22"/>
          <w:szCs w:val="22"/>
        </w:rPr>
        <w:t xml:space="preserve">National authorities can generate herd immunity coverage reports by region, species, and vaccine type.</w:t>
      </w:r>
    </w:p>
    <w:p>
      <w:pPr>
        <w:pStyle w:val="ListParagraph"/>
        <w:numPr>
          <w:ilvl w:val="0"/>
          <w:numId w:val="2"/>
        </w:numPr>
        <w:spacing w:after="40" w:before="40"/>
      </w:pPr>
      <w:r>
        <w:rPr>
          <w:rFonts w:ascii="Arial" w:cs="Arial" w:eastAsia="Arial" w:hAnsi="Arial"/>
          <w:color w:val="111827"/>
          <w:sz w:val="22"/>
          <w:szCs w:val="22"/>
        </w:rPr>
        <w:t xml:space="preserve">Expiring vaccine stock alerts are sent to farm managers 14 days before expiry.</w:t>
      </w:r>
    </w:p>
    <w:p>
      <w:pPr>
        <w:spacing w:after="0" w:before="0"/>
      </w:pPr>
      <w:r>
        <w:t xml:space="preserve"/>
      </w:r>
    </w:p>
    <w:p>
      <w:pPr>
        <w:pStyle w:val="Heading3"/>
        <w:spacing w:after="80" w:before="200"/>
      </w:pPr>
      <w:r>
        <w:rPr>
          <w:rFonts w:ascii="Arial" w:cs="Arial" w:eastAsia="Arial" w:hAnsi="Arial"/>
          <w:b/>
          <w:bCs/>
          <w:color w:val="111827"/>
          <w:sz w:val="22"/>
          <w:szCs w:val="22"/>
        </w:rPr>
        <w:t xml:space="preserve">Non-Functional Requirements</w:t>
      </w:r>
    </w:p>
    <w:p>
      <w:pPr>
        <w:pStyle w:val="ListParagraph"/>
        <w:numPr>
          <w:ilvl w:val="0"/>
          <w:numId w:val="2"/>
        </w:numPr>
        <w:spacing w:after="40" w:before="40"/>
      </w:pPr>
      <w:r>
        <w:rPr>
          <w:rFonts w:ascii="Arial" w:cs="Arial" w:eastAsia="Arial" w:hAnsi="Arial"/>
          <w:color w:val="111827"/>
          <w:sz w:val="22"/>
          <w:szCs w:val="22"/>
        </w:rPr>
        <w:t xml:space="preserve">Vaccination records must be exportable as a signed PDF for regulatory audit purposes.</w:t>
      </w:r>
    </w:p>
    <w:p>
      <w:pPr>
        <w:pStyle w:val="ListParagraph"/>
        <w:numPr>
          <w:ilvl w:val="0"/>
          <w:numId w:val="2"/>
        </w:numPr>
        <w:spacing w:after="40" w:before="40"/>
      </w:pPr>
      <w:r>
        <w:rPr>
          <w:rFonts w:ascii="Arial" w:cs="Arial" w:eastAsia="Arial" w:hAnsi="Arial"/>
          <w:color w:val="111827"/>
          <w:sz w:val="22"/>
          <w:szCs w:val="22"/>
        </w:rPr>
        <w:t xml:space="preserve">Data must be retained for a minimum of 10 years in compliance with WOAH record-keeping standards.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5.3 Visitor and Vehicle Access Log</w:t>
      </w:r>
    </w:p>
    <w:p>
      <w:pPr>
        <w:spacing w:after="100" w:before="60"/>
      </w:pPr>
      <w:r>
        <w:rPr>
          <w:rFonts w:ascii="Arial" w:cs="Arial" w:eastAsia="Arial" w:hAnsi="Arial"/>
          <w:color w:val="111827"/>
          <w:sz w:val="22"/>
          <w:szCs w:val="22"/>
        </w:rPr>
        <w:t xml:space="preserve">Digital log of all farm access events — people and vehicles — to support contact tracing during outbreak investigations.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Visitors register via QR code at farm entry; fields captured: name, organisation, origin farm/location, purpose, and vehicle registration.</w:t>
      </w:r>
    </w:p>
    <w:p>
      <w:pPr>
        <w:pStyle w:val="ListParagraph"/>
        <w:numPr>
          <w:ilvl w:val="0"/>
          <w:numId w:val="2"/>
        </w:numPr>
        <w:spacing w:after="40" w:before="40"/>
      </w:pPr>
      <w:r>
        <w:rPr>
          <w:rFonts w:ascii="Arial" w:cs="Arial" w:eastAsia="Arial" w:hAnsi="Arial"/>
          <w:color w:val="111827"/>
          <w:sz w:val="22"/>
          <w:szCs w:val="22"/>
        </w:rPr>
        <w:t xml:space="preserve">Farm owners can generate unique, time-limited QR codes for regular contractors (vets, feed suppliers) to streamline entry.</w:t>
      </w:r>
    </w:p>
    <w:p>
      <w:pPr>
        <w:pStyle w:val="ListParagraph"/>
        <w:numPr>
          <w:ilvl w:val="0"/>
          <w:numId w:val="2"/>
        </w:numPr>
        <w:spacing w:after="40" w:before="40"/>
      </w:pPr>
      <w:r>
        <w:rPr>
          <w:rFonts w:ascii="Arial" w:cs="Arial" w:eastAsia="Arial" w:hAnsi="Arial"/>
          <w:color w:val="111827"/>
          <w:sz w:val="22"/>
          <w:szCs w:val="22"/>
        </w:rPr>
        <w:t xml:space="preserve">Mandatory biosecurity declaration at check-in: has visitor been on another farm in past 48 hours? Any contact with sick animals?</w:t>
      </w:r>
    </w:p>
    <w:p>
      <w:pPr>
        <w:pStyle w:val="ListParagraph"/>
        <w:numPr>
          <w:ilvl w:val="0"/>
          <w:numId w:val="2"/>
        </w:numPr>
        <w:spacing w:after="40" w:before="40"/>
      </w:pPr>
      <w:r>
        <w:rPr>
          <w:rFonts w:ascii="Arial" w:cs="Arial" w:eastAsia="Arial" w:hAnsi="Arial"/>
          <w:color w:val="111827"/>
          <w:sz w:val="22"/>
          <w:szCs w:val="22"/>
        </w:rPr>
        <w:t xml:space="preserve">Visitors presenting a declaration risk flag must be reviewed by the farm manager before access is granted.</w:t>
      </w:r>
    </w:p>
    <w:p>
      <w:pPr>
        <w:pStyle w:val="ListParagraph"/>
        <w:numPr>
          <w:ilvl w:val="0"/>
          <w:numId w:val="2"/>
        </w:numPr>
        <w:spacing w:after="40" w:before="40"/>
      </w:pPr>
      <w:r>
        <w:rPr>
          <w:rFonts w:ascii="Arial" w:cs="Arial" w:eastAsia="Arial" w:hAnsi="Arial"/>
          <w:color w:val="111827"/>
          <w:sz w:val="22"/>
          <w:szCs w:val="22"/>
        </w:rPr>
        <w:t xml:space="preserve">In an outbreak event, the system automatically generates a contact list of all farm visitors in the prior 14-day window for submission to authorities.</w:t>
      </w:r>
    </w:p>
    <w:p>
      <w:pPr>
        <w:pStyle w:val="ListParagraph"/>
        <w:numPr>
          <w:ilvl w:val="0"/>
          <w:numId w:val="2"/>
        </w:numPr>
        <w:spacing w:after="40" w:before="40"/>
      </w:pPr>
      <w:r>
        <w:rPr>
          <w:rFonts w:ascii="Arial" w:cs="Arial" w:eastAsia="Arial" w:hAnsi="Arial"/>
          <w:color w:val="111827"/>
          <w:sz w:val="22"/>
          <w:szCs w:val="22"/>
        </w:rPr>
        <w:t xml:space="preserve">Vehicle entry logs must capture biosecurity measure compliance: disinfection footbath used (yes/no), wheel wash completed (yes/no).</w:t>
      </w:r>
    </w:p>
    <w:p>
      <w:pPr>
        <w:spacing w:after="0" w:before="0"/>
      </w:pPr>
      <w:r>
        <w:t xml:space="preserve"/>
      </w:r>
    </w:p>
    <w:p>
      <w:pPr>
        <w:pStyle w:val="Heading3"/>
        <w:spacing w:after="80" w:before="200"/>
      </w:pPr>
      <w:r>
        <w:rPr>
          <w:rFonts w:ascii="Arial" w:cs="Arial" w:eastAsia="Arial" w:hAnsi="Arial"/>
          <w:b/>
          <w:bCs/>
          <w:color w:val="111827"/>
          <w:sz w:val="22"/>
          <w:szCs w:val="22"/>
        </w:rPr>
        <w:t xml:space="preserve">Non-Functional Requirements</w:t>
      </w:r>
    </w:p>
    <w:p>
      <w:pPr>
        <w:pStyle w:val="ListParagraph"/>
        <w:numPr>
          <w:ilvl w:val="0"/>
          <w:numId w:val="2"/>
        </w:numPr>
        <w:spacing w:after="40" w:before="40"/>
      </w:pPr>
      <w:r>
        <w:rPr>
          <w:rFonts w:ascii="Arial" w:cs="Arial" w:eastAsia="Arial" w:hAnsi="Arial"/>
          <w:color w:val="111827"/>
          <w:sz w:val="22"/>
          <w:szCs w:val="22"/>
        </w:rPr>
        <w:t xml:space="preserve">Visitor QR check-in must work without internet on the farm side (local Bluetooth beacon fallback).</w:t>
      </w:r>
    </w:p>
    <w:p>
      <w:pPr>
        <w:pStyle w:val="ListParagraph"/>
        <w:numPr>
          <w:ilvl w:val="0"/>
          <w:numId w:val="2"/>
        </w:numPr>
        <w:spacing w:after="40" w:before="40"/>
      </w:pPr>
      <w:r>
        <w:rPr>
          <w:rFonts w:ascii="Arial" w:cs="Arial" w:eastAsia="Arial" w:hAnsi="Arial"/>
          <w:color w:val="111827"/>
          <w:sz w:val="22"/>
          <w:szCs w:val="22"/>
        </w:rPr>
        <w:t xml:space="preserve">Personal visitor data is stored encrypted and subject to GDPR-equivalent data protection policies.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5.4 BioScore — Compliance Scoring and Incentive Engine</w:t>
      </w:r>
    </w:p>
    <w:p>
      <w:pPr>
        <w:spacing w:after="100" w:before="60"/>
      </w:pPr>
      <w:r>
        <w:rPr>
          <w:rFonts w:ascii="Arial" w:cs="Arial" w:eastAsia="Arial" w:hAnsi="Arial"/>
          <w:color w:val="111827"/>
          <w:sz w:val="22"/>
          <w:szCs w:val="22"/>
        </w:rPr>
        <w:t xml:space="preserve">A transparent, dynamic compliance score (0–100) that reflects each farm's biosecurity adherence, and connects high-scoring farms to tangible rewards.</w:t>
      </w:r>
    </w:p>
    <w:p>
      <w:pPr>
        <w:spacing w:after="0" w:before="0"/>
      </w:pPr>
      <w:r>
        <w:t xml:space="preserve"/>
      </w:r>
    </w:p>
    <w:p>
      <w:pPr>
        <w:pStyle w:val="Heading3"/>
        <w:spacing w:after="80" w:before="200"/>
      </w:pPr>
      <w:r>
        <w:rPr>
          <w:rFonts w:ascii="Arial" w:cs="Arial" w:eastAsia="Arial" w:hAnsi="Arial"/>
          <w:b/>
          <w:bCs/>
          <w:color w:val="111827"/>
          <w:sz w:val="22"/>
          <w:szCs w:val="22"/>
        </w:rPr>
        <w:t xml:space="preserve">Score Composition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Scoring Domain</w:t>
            </w:r>
          </w:p>
        </w:tc>
        <w:tc>
          <w:tcPr>
            <w:tcW w:type="dxa" w:w="23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23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Source</w:t>
            </w:r>
          </w:p>
        </w:tc>
      </w:tr>
      <w:tr>
        <w:tc>
          <w:tcPr>
            <w:tcW w:type="dxa" w:w="468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Vaccination coverage &amp; timeliness</w:t>
            </w:r>
          </w:p>
        </w:tc>
        <w:tc>
          <w:tcPr>
            <w:tcW w:type="dxa" w:w="23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w:t>
            </w:r>
          </w:p>
        </w:tc>
        <w:tc>
          <w:tcPr>
            <w:tcW w:type="dxa" w:w="23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Module 5.2</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SOP checklist completion rate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Module 5.1</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Access log maintenance</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15%</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Module 5.3</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Incident reporting speed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Module 5.5</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Extension officer audit result</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Officer review</w:t>
            </w:r>
          </w:p>
        </w:tc>
      </w:tr>
    </w:tbl>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BioScore is recalculated daily and displayed prominently on the farm dashboard.</w:t>
      </w:r>
    </w:p>
    <w:p>
      <w:pPr>
        <w:pStyle w:val="ListParagraph"/>
        <w:numPr>
          <w:ilvl w:val="0"/>
          <w:numId w:val="2"/>
        </w:numPr>
        <w:spacing w:after="40" w:before="40"/>
      </w:pPr>
      <w:r>
        <w:rPr>
          <w:rFonts w:ascii="Arial" w:cs="Arial" w:eastAsia="Arial" w:hAnsi="Arial"/>
          <w:color w:val="111827"/>
          <w:sz w:val="22"/>
          <w:szCs w:val="22"/>
        </w:rPr>
        <w:t xml:space="preserve">Score changes are explained with a plain-language breakdown (e.g., 'Vaccination record for Batch 14 is 9 days overdue — update to recover 4 points').</w:t>
      </w:r>
    </w:p>
    <w:p>
      <w:pPr>
        <w:pStyle w:val="ListParagraph"/>
        <w:numPr>
          <w:ilvl w:val="0"/>
          <w:numId w:val="2"/>
        </w:numPr>
        <w:spacing w:after="40" w:before="40"/>
      </w:pPr>
      <w:r>
        <w:rPr>
          <w:rFonts w:ascii="Arial" w:cs="Arial" w:eastAsia="Arial" w:hAnsi="Arial"/>
          <w:color w:val="111827"/>
          <w:sz w:val="22"/>
          <w:szCs w:val="22"/>
        </w:rPr>
        <w:t xml:space="preserve">Score thresholds unlock incentives, configurable by national authority:</w:t>
      </w:r>
    </w:p>
    <w:p>
      <w:pPr>
        <w:pStyle w:val="ListParagraph"/>
        <w:numPr>
          <w:ilvl w:val="1"/>
          <w:numId w:val="2"/>
        </w:numPr>
        <w:spacing w:after="40" w:before="40"/>
      </w:pPr>
      <w:r>
        <w:rPr>
          <w:rFonts w:ascii="Arial" w:cs="Arial" w:eastAsia="Arial" w:hAnsi="Arial"/>
          <w:color w:val="111827"/>
          <w:sz w:val="22"/>
          <w:szCs w:val="22"/>
        </w:rPr>
        <w:t xml:space="preserve">75–100: eligible for BioClean export certification; insurance premium discount tier 1</w:t>
      </w:r>
    </w:p>
    <w:p>
      <w:pPr>
        <w:pStyle w:val="ListParagraph"/>
        <w:numPr>
          <w:ilvl w:val="1"/>
          <w:numId w:val="2"/>
        </w:numPr>
        <w:spacing w:after="40" w:before="40"/>
      </w:pPr>
      <w:r>
        <w:rPr>
          <w:rFonts w:ascii="Arial" w:cs="Arial" w:eastAsia="Arial" w:hAnsi="Arial"/>
          <w:color w:val="111827"/>
          <w:sz w:val="22"/>
          <w:szCs w:val="22"/>
        </w:rPr>
        <w:t xml:space="preserve">55–74: eligible for government subsidy allocation; priority extension officer support</w:t>
      </w:r>
    </w:p>
    <w:p>
      <w:pPr>
        <w:pStyle w:val="ListParagraph"/>
        <w:numPr>
          <w:ilvl w:val="1"/>
          <w:numId w:val="2"/>
        </w:numPr>
        <w:spacing w:after="40" w:before="40"/>
      </w:pPr>
      <w:r>
        <w:rPr>
          <w:rFonts w:ascii="Arial" w:cs="Arial" w:eastAsia="Arial" w:hAnsi="Arial"/>
          <w:color w:val="111827"/>
          <w:sz w:val="22"/>
          <w:szCs w:val="22"/>
        </w:rPr>
        <w:t xml:space="preserve">Below 55: mandatory extension officer visit triggered; flagged in authority dashboard</w:t>
      </w:r>
    </w:p>
    <w:p>
      <w:pPr>
        <w:pStyle w:val="ListParagraph"/>
        <w:numPr>
          <w:ilvl w:val="0"/>
          <w:numId w:val="2"/>
        </w:numPr>
        <w:spacing w:after="40" w:before="40"/>
      </w:pPr>
      <w:r>
        <w:rPr>
          <w:rFonts w:ascii="Arial" w:cs="Arial" w:eastAsia="Arial" w:hAnsi="Arial"/>
          <w:color w:val="111827"/>
          <w:sz w:val="22"/>
          <w:szCs w:val="22"/>
        </w:rPr>
        <w:t xml:space="preserve">BioScore history is retained for 5 years; trend charts visible to farm manager and authority.</w:t>
      </w:r>
    </w:p>
    <w:p>
      <w:pPr>
        <w:spacing w:after="0" w:before="0"/>
      </w:pPr>
      <w:r>
        <w:t xml:space="preserve"/>
      </w:r>
    </w:p>
    <w:p>
      <w:pPr>
        <w:pStyle w:val="Heading2"/>
        <w:spacing w:after="120" w:before="280"/>
      </w:pPr>
      <w:r>
        <w:rPr>
          <w:rFonts w:ascii="Arial" w:cs="Arial" w:eastAsia="Arial" w:hAnsi="Arial"/>
          <w:b/>
          <w:bCs/>
          <w:color w:val="2E8B57"/>
          <w:sz w:val="26"/>
          <w:szCs w:val="26"/>
        </w:rPr>
        <w:t xml:space="preserve">5.5 Incident Reporting and Escalation</w:t>
      </w:r>
    </w:p>
    <w:p>
      <w:pPr>
        <w:spacing w:after="100" w:before="60"/>
      </w:pPr>
      <w:r>
        <w:rPr>
          <w:rFonts w:ascii="Arial" w:cs="Arial" w:eastAsia="Arial" w:hAnsi="Arial"/>
          <w:color w:val="111827"/>
          <w:sz w:val="22"/>
          <w:szCs w:val="22"/>
        </w:rPr>
        <w:t xml:space="preserve">Streamlined, low-friction outbreak reporting that routes simultaneously to district veterinary/plant health offices and the SentinelNet surveillance network.</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'Report a Concern' is a persistent, one-tap button on the app home screen — always visible regardless of current screen.</w:t>
      </w:r>
    </w:p>
    <w:p>
      <w:pPr>
        <w:pStyle w:val="ListParagraph"/>
        <w:numPr>
          <w:ilvl w:val="0"/>
          <w:numId w:val="2"/>
        </w:numPr>
        <w:spacing w:after="40" w:before="40"/>
      </w:pPr>
      <w:r>
        <w:rPr>
          <w:rFonts w:ascii="Arial" w:cs="Arial" w:eastAsia="Arial" w:hAnsi="Arial"/>
          <w:color w:val="111827"/>
          <w:sz w:val="22"/>
          <w:szCs w:val="22"/>
        </w:rPr>
        <w:t xml:space="preserve">Reporting flow captures: species/crop affected, number of individuals affected, symptoms observed (with photo upload), GPS location, and date of first observation.</w:t>
      </w:r>
    </w:p>
    <w:p>
      <w:pPr>
        <w:pStyle w:val="ListParagraph"/>
        <w:numPr>
          <w:ilvl w:val="0"/>
          <w:numId w:val="2"/>
        </w:numPr>
        <w:spacing w:after="40" w:before="40"/>
      </w:pPr>
      <w:r>
        <w:rPr>
          <w:rFonts w:ascii="Arial" w:cs="Arial" w:eastAsia="Arial" w:hAnsi="Arial"/>
          <w:color w:val="111827"/>
          <w:sz w:val="22"/>
          <w:szCs w:val="22"/>
        </w:rPr>
        <w:t xml:space="preserve">AI-assisted symptom triage: system suggests top 3 most likely pathogens based on reported symptoms, region, and current SentinelNet alerts, with confidence scores.</w:t>
      </w:r>
    </w:p>
    <w:p>
      <w:pPr>
        <w:pStyle w:val="ListParagraph"/>
        <w:numPr>
          <w:ilvl w:val="0"/>
          <w:numId w:val="2"/>
        </w:numPr>
        <w:spacing w:after="40" w:before="40"/>
      </w:pPr>
      <w:r>
        <w:rPr>
          <w:rFonts w:ascii="Arial" w:cs="Arial" w:eastAsia="Arial" w:hAnsi="Arial"/>
          <w:color w:val="111827"/>
          <w:sz w:val="22"/>
          <w:szCs w:val="22"/>
        </w:rPr>
        <w:t xml:space="preserve">Confirmed reports are pushed simultaneously to: the farm's assigned extension officer; district authority dashboard; and SentinelNet's incident feed.</w:t>
      </w:r>
    </w:p>
    <w:p>
      <w:pPr>
        <w:pStyle w:val="ListParagraph"/>
        <w:numPr>
          <w:ilvl w:val="0"/>
          <w:numId w:val="2"/>
        </w:numPr>
        <w:spacing w:after="40" w:before="40"/>
      </w:pPr>
      <w:r>
        <w:rPr>
          <w:rFonts w:ascii="Arial" w:cs="Arial" w:eastAsia="Arial" w:hAnsi="Arial"/>
          <w:color w:val="111827"/>
          <w:sz w:val="22"/>
          <w:szCs w:val="22"/>
        </w:rPr>
        <w:t xml:space="preserve">Reporters receive an automated acknowledgement within 5 minutes; a human response SLA of 2 hours during business hours must be displayed.</w:t>
      </w:r>
    </w:p>
    <w:p>
      <w:pPr>
        <w:pStyle w:val="ListParagraph"/>
        <w:numPr>
          <w:ilvl w:val="0"/>
          <w:numId w:val="2"/>
        </w:numPr>
        <w:spacing w:after="40" w:before="40"/>
      </w:pPr>
      <w:r>
        <w:rPr>
          <w:rFonts w:ascii="Arial" w:cs="Arial" w:eastAsia="Arial" w:hAnsi="Arial"/>
          <w:color w:val="111827"/>
          <w:sz w:val="22"/>
          <w:szCs w:val="22"/>
        </w:rPr>
        <w:t xml:space="preserve">Anonymous reporting option is available for farms unwilling to self-identify; anonymous reports still carry geographic and symptom data.</w:t>
      </w:r>
    </w:p>
    <w:p>
      <w:pPr>
        <w:pStyle w:val="ListParagraph"/>
        <w:numPr>
          <w:ilvl w:val="0"/>
          <w:numId w:val="2"/>
        </w:numPr>
        <w:spacing w:after="40" w:before="40"/>
      </w:pPr>
      <w:r>
        <w:rPr>
          <w:rFonts w:ascii="Arial" w:cs="Arial" w:eastAsia="Arial" w:hAnsi="Arial"/>
          <w:color w:val="111827"/>
          <w:sz w:val="22"/>
          <w:szCs w:val="22"/>
        </w:rPr>
        <w:t xml:space="preserve">Platform must support report submission with no internet connection; queued reports are transmitted when connectivity returns.</w:t>
      </w:r>
    </w:p>
    <w:p>
      <w:pPr>
        <w:pStyle w:val="ListParagraph"/>
        <w:numPr>
          <w:ilvl w:val="0"/>
          <w:numId w:val="2"/>
        </w:numPr>
        <w:spacing w:after="40" w:before="40"/>
      </w:pPr>
      <w:r>
        <w:rPr>
          <w:rFonts w:ascii="Arial" w:cs="Arial" w:eastAsia="Arial" w:hAnsi="Arial"/>
          <w:color w:val="111827"/>
          <w:sz w:val="22"/>
          <w:szCs w:val="22"/>
        </w:rPr>
        <w:t xml:space="preserve">Compensation scheme integration: where national programmes exist, incident reporting automatically initiates a compensation claim with the reported data pre-filled.</w:t>
      </w:r>
    </w:p>
    <w:p>
      <w:pPr>
        <w:spacing w:after="0" w:before="0"/>
      </w:pPr>
      <w:r>
        <w:t xml:space="preserve"/>
      </w:r>
    </w:p>
    <w:p>
      <w:pPr>
        <w:pStyle w:val="Heading3"/>
        <w:spacing w:after="80" w:before="200"/>
      </w:pPr>
      <w:r>
        <w:rPr>
          <w:rFonts w:ascii="Arial" w:cs="Arial" w:eastAsia="Arial" w:hAnsi="Arial"/>
          <w:b/>
          <w:bCs/>
          <w:color w:val="111827"/>
          <w:sz w:val="22"/>
          <w:szCs w:val="22"/>
        </w:rPr>
        <w:t xml:space="preserve">Non-Functional Requirements</w:t>
      </w:r>
    </w:p>
    <w:p>
      <w:pPr>
        <w:pStyle w:val="ListParagraph"/>
        <w:numPr>
          <w:ilvl w:val="0"/>
          <w:numId w:val="2"/>
        </w:numPr>
        <w:spacing w:after="40" w:before="40"/>
      </w:pPr>
      <w:r>
        <w:rPr>
          <w:rFonts w:ascii="Arial" w:cs="Arial" w:eastAsia="Arial" w:hAnsi="Arial"/>
          <w:color w:val="111827"/>
          <w:sz w:val="22"/>
          <w:szCs w:val="22"/>
        </w:rPr>
        <w:t xml:space="preserve">Reporting flow must be completable in under 3 minutes from first tap to submission.</w:t>
      </w:r>
    </w:p>
    <w:p>
      <w:pPr>
        <w:pStyle w:val="ListParagraph"/>
        <w:numPr>
          <w:ilvl w:val="0"/>
          <w:numId w:val="2"/>
        </w:numPr>
        <w:spacing w:after="40" w:before="40"/>
      </w:pPr>
      <w:r>
        <w:rPr>
          <w:rFonts w:ascii="Arial" w:cs="Arial" w:eastAsia="Arial" w:hAnsi="Arial"/>
          <w:color w:val="111827"/>
          <w:sz w:val="22"/>
          <w:szCs w:val="22"/>
        </w:rPr>
        <w:t xml:space="preserve">Incident data must be interoperable with WOAH WAHIS and FAO EMPRES-i reporting formats.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5.6 Smallholder-Optimised Experience</w:t>
      </w:r>
    </w:p>
    <w:p>
      <w:pPr>
        <w:spacing w:after="100" w:before="60"/>
      </w:pPr>
      <w:r>
        <w:rPr>
          <w:rFonts w:ascii="Arial" w:cs="Arial" w:eastAsia="Arial" w:hAnsi="Arial"/>
          <w:color w:val="111827"/>
          <w:sz w:val="22"/>
          <w:szCs w:val="22"/>
        </w:rPr>
        <w:t xml:space="preserve">A distinct product layer ensuring that smallholder farmers — who may have low literacy, basic devices, and no internet access — receive full biosecurity support.</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SMS-based interface: all core functions (vaccination logging, SOP reminders, incident reporting) accessible via structured SMS menu for feature phone users.</w:t>
      </w:r>
    </w:p>
    <w:p>
      <w:pPr>
        <w:pStyle w:val="ListParagraph"/>
        <w:numPr>
          <w:ilvl w:val="0"/>
          <w:numId w:val="2"/>
        </w:numPr>
        <w:spacing w:after="40" w:before="40"/>
      </w:pPr>
      <w:r>
        <w:rPr>
          <w:rFonts w:ascii="Arial" w:cs="Arial" w:eastAsia="Arial" w:hAnsi="Arial"/>
          <w:color w:val="111827"/>
          <w:sz w:val="22"/>
          <w:szCs w:val="22"/>
        </w:rPr>
        <w:t xml:space="preserve">Audio instructions: all app screens include an audio playback option reading the content aloud, supporting users with low literacy.</w:t>
      </w:r>
    </w:p>
    <w:p>
      <w:pPr>
        <w:pStyle w:val="ListParagraph"/>
        <w:numPr>
          <w:ilvl w:val="0"/>
          <w:numId w:val="2"/>
        </w:numPr>
        <w:spacing w:after="40" w:before="40"/>
      </w:pPr>
      <w:r>
        <w:rPr>
          <w:rFonts w:ascii="Arial" w:cs="Arial" w:eastAsia="Arial" w:hAnsi="Arial"/>
          <w:color w:val="111827"/>
          <w:sz w:val="22"/>
          <w:szCs w:val="22"/>
        </w:rPr>
        <w:t xml:space="preserve">Community group mode: a village extension officer or community health worker can manage biosecurity for a group of up to 200 smallholder farms from a single account, with individual farm profiles maintained.</w:t>
      </w:r>
    </w:p>
    <w:p>
      <w:pPr>
        <w:pStyle w:val="ListParagraph"/>
        <w:numPr>
          <w:ilvl w:val="0"/>
          <w:numId w:val="2"/>
        </w:numPr>
        <w:spacing w:after="40" w:before="40"/>
      </w:pPr>
      <w:r>
        <w:rPr>
          <w:rFonts w:ascii="Arial" w:cs="Arial" w:eastAsia="Arial" w:hAnsi="Arial"/>
          <w:color w:val="111827"/>
          <w:sz w:val="22"/>
          <w:szCs w:val="22"/>
        </w:rPr>
        <w:t xml:space="preserve">Offline-first architecture: the full app must function without connectivity; sync occurs automatically when any connection is available.</w:t>
      </w:r>
    </w:p>
    <w:p>
      <w:pPr>
        <w:pStyle w:val="ListParagraph"/>
        <w:numPr>
          <w:ilvl w:val="0"/>
          <w:numId w:val="2"/>
        </w:numPr>
        <w:spacing w:after="40" w:before="40"/>
      </w:pPr>
      <w:r>
        <w:rPr>
          <w:rFonts w:ascii="Arial" w:cs="Arial" w:eastAsia="Arial" w:hAnsi="Arial"/>
          <w:color w:val="111827"/>
          <w:sz w:val="22"/>
          <w:szCs w:val="22"/>
        </w:rPr>
        <w:t xml:space="preserve">Data-light mode: the app must operate within a 50MB monthly data budget for all core functions, enabling use on low-cost data plans.</w:t>
      </w:r>
    </w:p>
    <w:p>
      <w:pPr>
        <w:pStyle w:val="ListParagraph"/>
        <w:numPr>
          <w:ilvl w:val="0"/>
          <w:numId w:val="2"/>
        </w:numPr>
        <w:spacing w:after="40" w:before="40"/>
      </w:pPr>
      <w:r>
        <w:rPr>
          <w:rFonts w:ascii="Arial" w:cs="Arial" w:eastAsia="Arial" w:hAnsi="Arial"/>
          <w:color w:val="111827"/>
          <w:sz w:val="22"/>
          <w:szCs w:val="22"/>
        </w:rPr>
        <w:t xml:space="preserve">Language and dialect support: 40 languages at launch; additional community languages supported via crowd-sourced translation tool.</w:t>
      </w:r>
    </w:p>
    <w:p>
      <w:pPr>
        <w:pStyle w:val="ListParagraph"/>
        <w:numPr>
          <w:ilvl w:val="0"/>
          <w:numId w:val="2"/>
        </w:numPr>
        <w:spacing w:after="40" w:before="40"/>
      </w:pPr>
      <w:r>
        <w:rPr>
          <w:rFonts w:ascii="Arial" w:cs="Arial" w:eastAsia="Arial" w:hAnsi="Arial"/>
          <w:color w:val="111827"/>
          <w:sz w:val="22"/>
          <w:szCs w:val="22"/>
        </w:rPr>
        <w:t xml:space="preserve">Hardware-agnostic: core functionality must work on Android 8+ devices with 1GB RAM. iOS support required for extension officers and authorities.</w:t>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6. South Africa Regulatory Compliance Requirements</w:t>
      </w:r>
    </w:p>
    <w:p>
      <w:pPr>
        <w:spacing w:after="100" w:before="60"/>
      </w:pPr>
      <w:r>
        <w:rPr>
          <w:rFonts w:ascii="Arial" w:cs="Arial" w:eastAsia="Arial" w:hAnsi="Arial"/>
          <w:color w:val="111827"/>
          <w:sz w:val="22"/>
          <w:szCs w:val="22"/>
        </w:rPr>
        <w:t xml:space="preserve">VaxWise operates within a defined South African legal and regulatory framework governing animal health, biosecurity, personal data protection, and livestock traceability. This section specifies the compliance obligations that must be satisfied by the platform to lawfully operate in South Africa and to be accepted as a compliant reporting channel by DALRRD Veterinary Services.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6.1 Legislative Framework</w:t>
      </w:r>
    </w:p>
    <w:p>
      <w:pPr>
        <w:spacing w:after="100" w:before="60"/>
      </w:pPr>
      <w:r>
        <w:rPr>
          <w:rFonts w:ascii="Arial" w:cs="Arial" w:eastAsia="Arial" w:hAnsi="Arial"/>
          <w:color w:val="111827"/>
          <w:sz w:val="22"/>
          <w:szCs w:val="22"/>
        </w:rPr>
        <w:t xml:space="preserve">VaxWise must comply with the following South African statutes and their subordinate regulations. Compliance is not optional and constitutes a precondition for platform operation in South Africa.</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The platform must comply with the Animal Diseases Act, Act 35 of 1984, and its associated regulations governing the notification, control, and eradication of animal diseases in South Africa.</w:t>
      </w:r>
    </w:p>
    <w:p>
      <w:pPr>
        <w:pStyle w:val="ListParagraph"/>
        <w:numPr>
          <w:ilvl w:val="0"/>
          <w:numId w:val="2"/>
        </w:numPr>
        <w:spacing w:after="40" w:before="40"/>
      </w:pPr>
      <w:r>
        <w:rPr>
          <w:rFonts w:ascii="Arial" w:cs="Arial" w:eastAsia="Arial" w:hAnsi="Arial"/>
          <w:color w:val="111827"/>
          <w:sz w:val="22"/>
          <w:szCs w:val="22"/>
        </w:rPr>
        <w:t xml:space="preserve">All vaccination records generated on the platform must satisfy the record-keeping obligations under Section 14 of Act 35 of 1984 for premises where vaccinations are administered.</w:t>
      </w:r>
    </w:p>
    <w:p>
      <w:pPr>
        <w:pStyle w:val="ListParagraph"/>
        <w:numPr>
          <w:ilvl w:val="0"/>
          <w:numId w:val="2"/>
        </w:numPr>
        <w:spacing w:after="40" w:before="40"/>
      </w:pPr>
      <w:r>
        <w:rPr>
          <w:rFonts w:ascii="Arial" w:cs="Arial" w:eastAsia="Arial" w:hAnsi="Arial"/>
          <w:color w:val="111827"/>
          <w:sz w:val="22"/>
          <w:szCs w:val="22"/>
        </w:rPr>
        <w:t xml:space="preserve">The platform must enforce mandatory reporting of all notifiable animal diseases gazetted under Act 35 of 1984 within the timeframes prescribed by the Director of Animal Health.</w:t>
      </w:r>
    </w:p>
    <w:p>
      <w:pPr>
        <w:pStyle w:val="ListParagraph"/>
        <w:numPr>
          <w:ilvl w:val="0"/>
          <w:numId w:val="2"/>
        </w:numPr>
        <w:spacing w:after="40" w:before="40"/>
      </w:pPr>
      <w:r>
        <w:rPr>
          <w:rFonts w:ascii="Arial" w:cs="Arial" w:eastAsia="Arial" w:hAnsi="Arial"/>
          <w:color w:val="111827"/>
          <w:sz w:val="22"/>
          <w:szCs w:val="22"/>
        </w:rPr>
        <w:t xml:space="preserve">Platform data handling must comply with the Protection of Personal Information Act (POPIA, Act 4 of 2013), including lawful basis for processing, data subject rights, and breach notification obligations within 72 hours.</w:t>
      </w:r>
    </w:p>
    <w:p>
      <w:pPr>
        <w:pStyle w:val="ListParagraph"/>
        <w:numPr>
          <w:ilvl w:val="0"/>
          <w:numId w:val="2"/>
        </w:numPr>
        <w:spacing w:after="40" w:before="40"/>
      </w:pPr>
      <w:r>
        <w:rPr>
          <w:rFonts w:ascii="Arial" w:cs="Arial" w:eastAsia="Arial" w:hAnsi="Arial"/>
          <w:color w:val="111827"/>
          <w:sz w:val="22"/>
          <w:szCs w:val="22"/>
        </w:rPr>
        <w:t xml:space="preserve">All digital records must carry a tamper-evident audit trail to satisfy evidentiary requirements in the event of enforcement action or legal dispute under Act 35 of 1984.</w:t>
      </w:r>
    </w:p>
    <w:p>
      <w:pPr>
        <w:pStyle w:val="ListParagraph"/>
        <w:numPr>
          <w:ilvl w:val="0"/>
          <w:numId w:val="2"/>
        </w:numPr>
        <w:spacing w:after="40" w:before="40"/>
      </w:pPr>
      <w:r>
        <w:rPr>
          <w:rFonts w:ascii="Arial" w:cs="Arial" w:eastAsia="Arial" w:hAnsi="Arial"/>
          <w:color w:val="111827"/>
          <w:sz w:val="22"/>
          <w:szCs w:val="22"/>
        </w:rPr>
        <w:t xml:space="preserve">The platform must support DALRRD Veterinary Services’ prescribed Form 1 (Notifiable Disease Report) format for statutory disease notifications, auto-populating it from incident report data.</w:t>
      </w:r>
    </w:p>
    <w:p>
      <w:pPr>
        <w:pStyle w:val="ListParagraph"/>
        <w:numPr>
          <w:ilvl w:val="0"/>
          <w:numId w:val="2"/>
        </w:numPr>
        <w:spacing w:after="40" w:before="40"/>
      </w:pPr>
      <w:r>
        <w:rPr>
          <w:rFonts w:ascii="Arial" w:cs="Arial" w:eastAsia="Arial" w:hAnsi="Arial"/>
          <w:color w:val="111827"/>
          <w:sz w:val="22"/>
          <w:szCs w:val="22"/>
        </w:rPr>
        <w:t xml:space="preserve">The system must align vaccination return formats with the prescribed annual vaccination return submission required under the Animal Diseases Act Regulations.</w:t>
      </w:r>
    </w:p>
    <w:p>
      <w:pPr>
        <w:spacing w:after="0" w:before="0"/>
      </w:pPr>
      <w:r>
        <w:t xml:space="preserve"/>
      </w:r>
    </w:p>
    <w:p>
      <w:pPr>
        <w:pStyle w:val="Heading3"/>
        <w:spacing w:after="80" w:before="200"/>
      </w:pPr>
      <w:r>
        <w:rPr>
          <w:rFonts w:ascii="Arial" w:cs="Arial" w:eastAsia="Arial" w:hAnsi="Arial"/>
          <w:b/>
          <w:bCs/>
          <w:color w:val="111827"/>
          <w:sz w:val="22"/>
          <w:szCs w:val="22"/>
        </w:rPr>
        <w:t xml:space="preserve">Acceptance Criteria</w:t>
      </w:r>
    </w:p>
    <w:p>
      <w:pPr>
        <w:pStyle w:val="ListParagraph"/>
        <w:numPr>
          <w:ilvl w:val="0"/>
          <w:numId w:val="2"/>
        </w:numPr>
        <w:spacing w:after="40" w:before="40"/>
      </w:pPr>
      <w:r>
        <w:rPr>
          <w:rFonts w:ascii="Arial" w:cs="Arial" w:eastAsia="Arial" w:hAnsi="Arial"/>
          <w:color w:val="111827"/>
          <w:sz w:val="22"/>
          <w:szCs w:val="22"/>
        </w:rPr>
        <w:t xml:space="preserve">Given a notifiable disease event is submitted, when processed, then the system auto-generates a Form 1-compliant report and routes it to the assigned State Veterinarian within 24 hours.</w:t>
      </w:r>
    </w:p>
    <w:p>
      <w:pPr>
        <w:pStyle w:val="ListParagraph"/>
        <w:numPr>
          <w:ilvl w:val="0"/>
          <w:numId w:val="2"/>
        </w:numPr>
        <w:spacing w:after="40" w:before="40"/>
      </w:pPr>
      <w:r>
        <w:rPr>
          <w:rFonts w:ascii="Arial" w:cs="Arial" w:eastAsia="Arial" w:hAnsi="Arial"/>
          <w:color w:val="111827"/>
          <w:sz w:val="22"/>
          <w:szCs w:val="22"/>
        </w:rPr>
        <w:t xml:space="preserve">Given a vaccination record is saved, then it is immutable, timestamped, and carries an audit log entry satisfying Section 14 of Act 35 of 1984.</w:t>
      </w:r>
    </w:p>
    <w:p>
      <w:pPr>
        <w:pStyle w:val="ListParagraph"/>
        <w:numPr>
          <w:ilvl w:val="0"/>
          <w:numId w:val="2"/>
        </w:numPr>
        <w:spacing w:after="40" w:before="40"/>
      </w:pPr>
      <w:r>
        <w:rPr>
          <w:rFonts w:ascii="Arial" w:cs="Arial" w:eastAsia="Arial" w:hAnsi="Arial"/>
          <w:color w:val="111827"/>
          <w:sz w:val="22"/>
          <w:szCs w:val="22"/>
        </w:rPr>
        <w:t xml:space="preserve">Given a POPIA data subject access or deletion request is received, when processed, then the system fulfils the request within 30 days and logs the action.</w:t>
      </w:r>
    </w:p>
    <w:p>
      <w:pPr>
        <w:spacing w:after="0" w:before="0"/>
      </w:pPr>
      <w:r>
        <w:t xml:space="preserve"/>
      </w:r>
    </w:p>
    <w:p>
      <w:pPr>
        <w:spacing w:after="100" w:before="60"/>
      </w:pPr>
      <w:r>
        <w:rPr>
          <w:rFonts w:ascii="Arial" w:cs="Arial" w:eastAsia="Arial" w:hAnsi="Arial"/>
          <w:b/>
          <w:bCs/>
          <w:color w:val="1F6B3A"/>
          <w:sz w:val="22"/>
          <w:szCs w:val="22"/>
        </w:rPr>
        <w:t xml:space="preserve">Priority: P0 — </w:t>
      </w:r>
      <w:r>
        <w:rPr>
          <w:rFonts w:ascii="Arial" w:cs="Arial" w:eastAsia="Arial" w:hAnsi="Arial"/>
          <w:color w:val="111827"/>
          <w:sz w:val="22"/>
          <w:szCs w:val="22"/>
        </w:rPr>
        <w:t xml:space="preserve">Legal obligation. The platform cannot operate commercially in South Africa without satisfying Act 35 of 1984 and POPIA requirements.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6.2 DALRRD Biosecurity Standards Compliance</w:t>
      </w:r>
    </w:p>
    <w:p>
      <w:pPr>
        <w:spacing w:after="100" w:before="60"/>
      </w:pPr>
      <w:r>
        <w:rPr>
          <w:rFonts w:ascii="Arial" w:cs="Arial" w:eastAsia="Arial" w:hAnsi="Arial"/>
          <w:color w:val="111827"/>
          <w:sz w:val="22"/>
          <w:szCs w:val="22"/>
        </w:rPr>
        <w:t xml:space="preserve">The Department of Agriculture, Land Reform and Rural Development (DALRRD) publishes national biosecurity guidelines and conducts official farm inspections. VaxWise SOP templates and audit workflows must align directly with DALRRD’s published standards and inspection protocols.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SOP templates for livestock must reference and align with the DALRRD Biosecurity Guidelines for Livestock Production as the primary authoritative standard, superseding generic WOAH/FAO templates for South African deployments.</w:t>
      </w:r>
    </w:p>
    <w:p>
      <w:pPr>
        <w:pStyle w:val="ListParagraph"/>
        <w:numPr>
          <w:ilvl w:val="0"/>
          <w:numId w:val="2"/>
        </w:numPr>
        <w:spacing w:after="40" w:before="40"/>
      </w:pPr>
      <w:r>
        <w:rPr>
          <w:rFonts w:ascii="Arial" w:cs="Arial" w:eastAsia="Arial" w:hAnsi="Arial"/>
          <w:color w:val="111827"/>
          <w:sz w:val="22"/>
          <w:szCs w:val="22"/>
        </w:rPr>
        <w:t xml:space="preserve">The platform must support DALRRD farm classification tiers — Intensive, Semi-intensive, and Extensive/Communal — and apply the appropriate SOP requirements and compliance thresholds per tier.</w:t>
      </w:r>
    </w:p>
    <w:p>
      <w:pPr>
        <w:pStyle w:val="ListParagraph"/>
        <w:numPr>
          <w:ilvl w:val="0"/>
          <w:numId w:val="2"/>
        </w:numPr>
        <w:spacing w:after="40" w:before="40"/>
      </w:pPr>
      <w:r>
        <w:rPr>
          <w:rFonts w:ascii="Arial" w:cs="Arial" w:eastAsia="Arial" w:hAnsi="Arial"/>
          <w:color w:val="111827"/>
          <w:sz w:val="22"/>
          <w:szCs w:val="22"/>
        </w:rPr>
        <w:t xml:space="preserve">Biosecurity audit checklists must incorporate all mandatory inspection criteria from the DALRRD official farm inspection protocol, enabling export of audit-ready farm reports as signed PDFs.</w:t>
      </w:r>
    </w:p>
    <w:p>
      <w:pPr>
        <w:pStyle w:val="ListParagraph"/>
        <w:numPr>
          <w:ilvl w:val="0"/>
          <w:numId w:val="2"/>
        </w:numPr>
        <w:spacing w:after="40" w:before="40"/>
      </w:pPr>
      <w:r>
        <w:rPr>
          <w:rFonts w:ascii="Arial" w:cs="Arial" w:eastAsia="Arial" w:hAnsi="Arial"/>
          <w:color w:val="111827"/>
          <w:sz w:val="22"/>
          <w:szCs w:val="22"/>
        </w:rPr>
        <w:t xml:space="preserve">The system must flag SOP non-compliance that constitutes a violation of DALRRD biosecurity directives and escalate automatically to the assigned State Veterinarian.</w:t>
      </w:r>
    </w:p>
    <w:p>
      <w:pPr>
        <w:pStyle w:val="ListParagraph"/>
        <w:numPr>
          <w:ilvl w:val="0"/>
          <w:numId w:val="2"/>
        </w:numPr>
        <w:spacing w:after="40" w:before="40"/>
      </w:pPr>
      <w:r>
        <w:rPr>
          <w:rFonts w:ascii="Arial" w:cs="Arial" w:eastAsia="Arial" w:hAnsi="Arial"/>
          <w:color w:val="111827"/>
          <w:sz w:val="22"/>
          <w:szCs w:val="22"/>
        </w:rPr>
        <w:t xml:space="preserve">Extension officer accounts must support DALRRD’s official farm inspection workflow: pre-visit preparation, on-farm checklist completion, and post-visit formal report generation.</w:t>
      </w:r>
    </w:p>
    <w:p>
      <w:pPr>
        <w:pStyle w:val="ListParagraph"/>
        <w:numPr>
          <w:ilvl w:val="0"/>
          <w:numId w:val="2"/>
        </w:numPr>
        <w:spacing w:after="40" w:before="40"/>
      </w:pPr>
      <w:r>
        <w:rPr>
          <w:rFonts w:ascii="Arial" w:cs="Arial" w:eastAsia="Arial" w:hAnsi="Arial"/>
          <w:color w:val="111827"/>
          <w:sz w:val="22"/>
          <w:szCs w:val="22"/>
        </w:rPr>
        <w:t xml:space="preserve">The platform must record DALRRD-issued compliance certificates, their issue dates, and expiry dates, with automated renewal reminders sent to the farm manager and State Veterinarian 60 days before expiry.</w:t>
      </w:r>
    </w:p>
    <w:p>
      <w:pPr>
        <w:spacing w:after="0" w:before="0"/>
      </w:pPr>
      <w:r>
        <w:t xml:space="preserve"/>
      </w:r>
    </w:p>
    <w:p>
      <w:pPr>
        <w:pStyle w:val="Heading3"/>
        <w:spacing w:after="80" w:before="200"/>
      </w:pPr>
      <w:r>
        <w:rPr>
          <w:rFonts w:ascii="Arial" w:cs="Arial" w:eastAsia="Arial" w:hAnsi="Arial"/>
          <w:b/>
          <w:bCs/>
          <w:color w:val="111827"/>
          <w:sz w:val="22"/>
          <w:szCs w:val="22"/>
        </w:rPr>
        <w:t xml:space="preserve">Acceptance Criteria</w:t>
      </w:r>
    </w:p>
    <w:p>
      <w:pPr>
        <w:pStyle w:val="ListParagraph"/>
        <w:numPr>
          <w:ilvl w:val="0"/>
          <w:numId w:val="2"/>
        </w:numPr>
        <w:spacing w:after="40" w:before="40"/>
      </w:pPr>
      <w:r>
        <w:rPr>
          <w:rFonts w:ascii="Arial" w:cs="Arial" w:eastAsia="Arial" w:hAnsi="Arial"/>
          <w:color w:val="111827"/>
          <w:sz w:val="22"/>
          <w:szCs w:val="22"/>
        </w:rPr>
        <w:t xml:space="preserve">Given a farm is classified as Extensive/Communal, when SOPs are generated, then checklist items reflect the DALRRD Communal Livestock Biosecurity Guidelines, not the Intensive standard.</w:t>
      </w:r>
    </w:p>
    <w:p>
      <w:pPr>
        <w:pStyle w:val="ListParagraph"/>
        <w:numPr>
          <w:ilvl w:val="0"/>
          <w:numId w:val="2"/>
        </w:numPr>
        <w:spacing w:after="40" w:before="40"/>
      </w:pPr>
      <w:r>
        <w:rPr>
          <w:rFonts w:ascii="Arial" w:cs="Arial" w:eastAsia="Arial" w:hAnsi="Arial"/>
          <w:color w:val="111827"/>
          <w:sz w:val="22"/>
          <w:szCs w:val="22"/>
        </w:rPr>
        <w:t xml:space="preserve">Given an extension officer completes an on-farm inspection, when the report is finalised, then the system produces a DALRRD-format inspection report bearing the officer’s digital credentials.</w:t>
      </w:r>
    </w:p>
    <w:p>
      <w:pPr>
        <w:pStyle w:val="ListParagraph"/>
        <w:numPr>
          <w:ilvl w:val="0"/>
          <w:numId w:val="2"/>
        </w:numPr>
        <w:spacing w:after="40" w:before="40"/>
      </w:pPr>
      <w:r>
        <w:rPr>
          <w:rFonts w:ascii="Arial" w:cs="Arial" w:eastAsia="Arial" w:hAnsi="Arial"/>
          <w:color w:val="111827"/>
          <w:sz w:val="22"/>
          <w:szCs w:val="22"/>
        </w:rPr>
        <w:t xml:space="preserve">Given a compliance certificate is within 60 days of expiry, when the daily compliance check runs, then both the farm manager and assigned State Veterinarian receive an automated alert.</w:t>
      </w:r>
    </w:p>
    <w:p>
      <w:pPr>
        <w:spacing w:after="0" w:before="0"/>
      </w:pPr>
      <w:r>
        <w:t xml:space="preserve"/>
      </w:r>
    </w:p>
    <w:p>
      <w:pPr>
        <w:spacing w:after="100" w:before="60"/>
      </w:pPr>
      <w:r>
        <w:rPr>
          <w:rFonts w:ascii="Arial" w:cs="Arial" w:eastAsia="Arial" w:hAnsi="Arial"/>
          <w:b/>
          <w:bCs/>
          <w:color w:val="1F6B3A"/>
          <w:sz w:val="22"/>
          <w:szCs w:val="22"/>
        </w:rPr>
        <w:t xml:space="preserve">Priority: P0 — </w:t>
      </w:r>
      <w:r>
        <w:rPr>
          <w:rFonts w:ascii="Arial" w:cs="Arial" w:eastAsia="Arial" w:hAnsi="Arial"/>
          <w:color w:val="111827"/>
          <w:sz w:val="22"/>
          <w:szCs w:val="22"/>
        </w:rPr>
        <w:t xml:space="preserve">Required for DALRRD partnership, regulatory credibility, and government authority dashboard functionality.</w:t>
      </w:r>
    </w:p>
    <w:p>
      <w:pPr>
        <w:spacing w:after="0" w:before="0"/>
      </w:pPr>
      <w:r>
        <w:t xml:space="preserve"/>
      </w:r>
    </w:p>
    <w:p>
      <w:pPr>
        <w:pStyle w:val="Heading2"/>
        <w:spacing w:after="120" w:before="280"/>
      </w:pPr>
      <w:r>
        <w:rPr>
          <w:rFonts w:ascii="Arial" w:cs="Arial" w:eastAsia="Arial" w:hAnsi="Arial"/>
          <w:b/>
          <w:bCs/>
          <w:color w:val="2E8B57"/>
          <w:sz w:val="26"/>
          <w:szCs w:val="26"/>
        </w:rPr>
        <w:t xml:space="preserve">6.3 FMD-Free Zone Compliance</w:t>
      </w:r>
    </w:p>
    <w:p>
      <w:pPr>
        <w:spacing w:after="100" w:before="60"/>
      </w:pPr>
      <w:r>
        <w:rPr>
          <w:rFonts w:ascii="Arial" w:cs="Arial" w:eastAsia="Arial" w:hAnsi="Arial"/>
          <w:color w:val="111827"/>
          <w:sz w:val="22"/>
          <w:szCs w:val="22"/>
        </w:rPr>
        <w:t xml:space="preserve">South Africa holds WOAH recognition as an FMD-free zone without vaccination for the majority of the country. The northern Limpopo buffer region is designated as the FMD Protection Zone (with vaccination). Maintaining this status is a prerequisite for South Africa’s beef and livestock export market access. VaxWise must enforce zone-aware vaccination rules and movement controls that protect this status.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The platform must maintain a geo-referenced dataset of South Africa’s FMD control zones: Free Zone (without vaccination), Protection Zone (with vaccination), and Infected Zone, sourced from DALRRD and updated whenever official zone boundaries change.</w:t>
      </w:r>
    </w:p>
    <w:p>
      <w:pPr>
        <w:pStyle w:val="ListParagraph"/>
        <w:numPr>
          <w:ilvl w:val="0"/>
          <w:numId w:val="2"/>
        </w:numPr>
        <w:spacing w:after="40" w:before="40"/>
      </w:pPr>
      <w:r>
        <w:rPr>
          <w:rFonts w:ascii="Arial" w:cs="Arial" w:eastAsia="Arial" w:hAnsi="Arial"/>
          <w:color w:val="111827"/>
          <w:sz w:val="22"/>
          <w:szCs w:val="22"/>
        </w:rPr>
        <w:t xml:space="preserve">Farm profiles must be automatically assigned an FMD zone classification based on GPS coordinates at registration; any manual override requires explicit authorisation by a State Veterinarian, logged in the audit trail.</w:t>
      </w:r>
    </w:p>
    <w:p>
      <w:pPr>
        <w:pStyle w:val="ListParagraph"/>
        <w:numPr>
          <w:ilvl w:val="0"/>
          <w:numId w:val="2"/>
        </w:numPr>
        <w:spacing w:after="40" w:before="40"/>
      </w:pPr>
      <w:r>
        <w:rPr>
          <w:rFonts w:ascii="Arial" w:cs="Arial" w:eastAsia="Arial" w:hAnsi="Arial"/>
          <w:color w:val="111827"/>
          <w:sz w:val="22"/>
          <w:szCs w:val="22"/>
        </w:rPr>
        <w:t xml:space="preserve">Vaccination scheduling for farms in the FMD Protection Zone must include the mandatory DALRRD FMD vaccination protocol as a locked template: primary course of two doses four weeks apart, followed by a booster every six months.</w:t>
      </w:r>
    </w:p>
    <w:p>
      <w:pPr>
        <w:pStyle w:val="ListParagraph"/>
        <w:numPr>
          <w:ilvl w:val="0"/>
          <w:numId w:val="2"/>
        </w:numPr>
        <w:spacing w:after="40" w:before="40"/>
      </w:pPr>
      <w:r>
        <w:rPr>
          <w:rFonts w:ascii="Arial" w:cs="Arial" w:eastAsia="Arial" w:hAnsi="Arial"/>
          <w:color w:val="111827"/>
          <w:sz w:val="22"/>
          <w:szCs w:val="22"/>
        </w:rPr>
        <w:t xml:space="preserve">The system must block any attempt to log an FMD vaccination on a farm classified as Free Zone (without vaccination), and must immediately alert the assigned State Veterinarian of the attempt.</w:t>
      </w:r>
    </w:p>
    <w:p>
      <w:pPr>
        <w:pStyle w:val="ListParagraph"/>
        <w:numPr>
          <w:ilvl w:val="0"/>
          <w:numId w:val="2"/>
        </w:numPr>
        <w:spacing w:after="40" w:before="40"/>
      </w:pPr>
      <w:r>
        <w:rPr>
          <w:rFonts w:ascii="Arial" w:cs="Arial" w:eastAsia="Arial" w:hAnsi="Arial"/>
          <w:color w:val="111827"/>
          <w:sz w:val="22"/>
          <w:szCs w:val="22"/>
        </w:rPr>
        <w:t xml:space="preserve">Animal movement records crossing FMD zone boundaries must trigger a movement permit validation step; movements from the Protection Zone into the Free Zone are blocked unless a valid DALRRD movement permit number is entered and verified.</w:t>
      </w:r>
    </w:p>
    <w:p>
      <w:pPr>
        <w:pStyle w:val="ListParagraph"/>
        <w:numPr>
          <w:ilvl w:val="0"/>
          <w:numId w:val="2"/>
        </w:numPr>
        <w:spacing w:after="40" w:before="40"/>
      </w:pPr>
      <w:r>
        <w:rPr>
          <w:rFonts w:ascii="Arial" w:cs="Arial" w:eastAsia="Arial" w:hAnsi="Arial"/>
          <w:color w:val="111827"/>
          <w:sz w:val="22"/>
          <w:szCs w:val="22"/>
        </w:rPr>
        <w:t xml:space="preserve">FMD vaccination coverage reports must be exportable in a format compatible with WOAH Chapter 8.8 standards for submission in support of South Africa’s annual FMD-free status maintenance application.</w:t>
      </w:r>
    </w:p>
    <w:p>
      <w:pPr>
        <w:pStyle w:val="ListParagraph"/>
        <w:numPr>
          <w:ilvl w:val="0"/>
          <w:numId w:val="2"/>
        </w:numPr>
        <w:spacing w:after="40" w:before="40"/>
      </w:pPr>
      <w:r>
        <w:rPr>
          <w:rFonts w:ascii="Arial" w:cs="Arial" w:eastAsia="Arial" w:hAnsi="Arial"/>
          <w:color w:val="111827"/>
          <w:sz w:val="22"/>
          <w:szCs w:val="22"/>
        </w:rPr>
        <w:t xml:space="preserve">The system must maintain a 24-month rolling FMD vaccination history per animal or herd, satisfying the minimum record-keeping period required by WOAH for FMD-free with vaccination zones.</w:t>
      </w:r>
    </w:p>
    <w:p>
      <w:pPr>
        <w:spacing w:after="0" w:before="0"/>
      </w:pPr>
      <w:r>
        <w:t xml:space="preserve"/>
      </w:r>
    </w:p>
    <w:p>
      <w:pPr>
        <w:pStyle w:val="Heading3"/>
        <w:spacing w:after="80" w:before="200"/>
      </w:pPr>
      <w:r>
        <w:rPr>
          <w:rFonts w:ascii="Arial" w:cs="Arial" w:eastAsia="Arial" w:hAnsi="Arial"/>
          <w:b/>
          <w:bCs/>
          <w:color w:val="111827"/>
          <w:sz w:val="22"/>
          <w:szCs w:val="22"/>
        </w:rPr>
        <w:t xml:space="preserve">Acceptance Criteria</w:t>
      </w:r>
    </w:p>
    <w:p>
      <w:pPr>
        <w:pStyle w:val="ListParagraph"/>
        <w:numPr>
          <w:ilvl w:val="0"/>
          <w:numId w:val="2"/>
        </w:numPr>
        <w:spacing w:after="40" w:before="40"/>
      </w:pPr>
      <w:r>
        <w:rPr>
          <w:rFonts w:ascii="Arial" w:cs="Arial" w:eastAsia="Arial" w:hAnsi="Arial"/>
          <w:color w:val="111827"/>
          <w:sz w:val="22"/>
          <w:szCs w:val="22"/>
        </w:rPr>
        <w:t xml:space="preserve">Given a farm GPS coordinate is within the FMD Protection Zone, when the farm profile is created, then the mandatory FMD vaccination schedule is applied automatically and cannot be removed without State Veterinarian approval.</w:t>
      </w:r>
    </w:p>
    <w:p>
      <w:pPr>
        <w:pStyle w:val="ListParagraph"/>
        <w:numPr>
          <w:ilvl w:val="0"/>
          <w:numId w:val="2"/>
        </w:numPr>
        <w:spacing w:after="40" w:before="40"/>
      </w:pPr>
      <w:r>
        <w:rPr>
          <w:rFonts w:ascii="Arial" w:cs="Arial" w:eastAsia="Arial" w:hAnsi="Arial"/>
          <w:color w:val="111827"/>
          <w:sz w:val="22"/>
          <w:szCs w:val="22"/>
        </w:rPr>
        <w:t xml:space="preserve">Given a farmer in the FMD Free Zone attempts to log an FMD vaccination record, when submitted, then the system rejects the entry, displays the regulatory reason, and sends an alert to the assigned State Veterinarian within 5 minutes.</w:t>
      </w:r>
    </w:p>
    <w:p>
      <w:pPr>
        <w:pStyle w:val="ListParagraph"/>
        <w:numPr>
          <w:ilvl w:val="0"/>
          <w:numId w:val="2"/>
        </w:numPr>
        <w:spacing w:after="40" w:before="40"/>
      </w:pPr>
      <w:r>
        <w:rPr>
          <w:rFonts w:ascii="Arial" w:cs="Arial" w:eastAsia="Arial" w:hAnsi="Arial"/>
          <w:color w:val="111827"/>
          <w:sz w:val="22"/>
          <w:szCs w:val="22"/>
        </w:rPr>
        <w:t xml:space="preserve">Given an animal movement is logged from the Protection Zone to the Free Zone without a permit number, when submitted, then the system blocks the record and displays the DALRRD movement permit requirement.</w:t>
      </w:r>
    </w:p>
    <w:p>
      <w:pPr>
        <w:pStyle w:val="ListParagraph"/>
        <w:numPr>
          <w:ilvl w:val="0"/>
          <w:numId w:val="2"/>
        </w:numPr>
        <w:spacing w:after="40" w:before="40"/>
      </w:pPr>
      <w:r>
        <w:rPr>
          <w:rFonts w:ascii="Arial" w:cs="Arial" w:eastAsia="Arial" w:hAnsi="Arial"/>
          <w:color w:val="111827"/>
          <w:sz w:val="22"/>
          <w:szCs w:val="22"/>
        </w:rPr>
        <w:t xml:space="preserve">Given an FMD vaccination coverage report is requested, when generated, then the output conforms to WOAH Chapter 8.8 and includes herd size, vaccination dates, vaccine batch number, manufacturer, and coverage percentage by species.</w:t>
      </w:r>
    </w:p>
    <w:p>
      <w:pPr>
        <w:spacing w:after="0" w:before="0"/>
      </w:pPr>
      <w:r>
        <w:t xml:space="preserve"/>
      </w:r>
    </w:p>
    <w:p>
      <w:pPr>
        <w:spacing w:after="100" w:before="60"/>
      </w:pPr>
      <w:r>
        <w:rPr>
          <w:rFonts w:ascii="Arial" w:cs="Arial" w:eastAsia="Arial" w:hAnsi="Arial"/>
          <w:b/>
          <w:bCs/>
          <w:color w:val="1F6B3A"/>
          <w:sz w:val="22"/>
          <w:szCs w:val="22"/>
        </w:rPr>
        <w:t xml:space="preserve">Priority: P0 — </w:t>
      </w:r>
      <w:r>
        <w:rPr>
          <w:rFonts w:ascii="Arial" w:cs="Arial" w:eastAsia="Arial" w:hAnsi="Arial"/>
          <w:color w:val="111827"/>
          <w:sz w:val="22"/>
          <w:szCs w:val="22"/>
        </w:rPr>
        <w:t xml:space="preserve">FMD zone compliance is a direct trade and export obligation. A zone breach triggered by platform misconfiguration could result in trade suspension affecting the South African livestock sector.</w:t>
      </w:r>
    </w:p>
    <w:p>
      <w:pPr>
        <w:spacing w:after="0" w:before="0"/>
      </w:pPr>
      <w:r>
        <w:t xml:space="preserve"/>
      </w:r>
    </w:p>
    <w:p>
      <w:pPr>
        <w:pStyle w:val="Heading2"/>
        <w:spacing w:after="120" w:before="280"/>
      </w:pPr>
      <w:r>
        <w:rPr>
          <w:rFonts w:ascii="Arial" w:cs="Arial" w:eastAsia="Arial" w:hAnsi="Arial"/>
          <w:b/>
          <w:bCs/>
          <w:color w:val="2E8B57"/>
          <w:sz w:val="26"/>
          <w:szCs w:val="26"/>
        </w:rPr>
        <w:t xml:space="preserve">6.4 Notifiable Disease Reporting</w:t>
      </w:r>
    </w:p>
    <w:p>
      <w:pPr>
        <w:spacing w:after="100" w:before="60"/>
      </w:pPr>
      <w:r>
        <w:rPr>
          <w:rFonts w:ascii="Arial" w:cs="Arial" w:eastAsia="Arial" w:hAnsi="Arial"/>
          <w:color w:val="111827"/>
          <w:sz w:val="22"/>
          <w:szCs w:val="22"/>
        </w:rPr>
        <w:t xml:space="preserve">Act 35 of 1984 designates a list of notifiable animal diseases that must be reported to the Director of Animal Health immediately upon suspicion. Failure to report is a criminal offence. VaxWise must serve as a legally compliant reporting channel that satisfies this obligation and routes reports through the correct statutory channels.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The platform must maintain a current list of all notifiable animal diseases under Act 35 of 1984, including but not limited to: Foot-and-Mouth Disease, African Swine Fever, Highly Pathogenic Avian Influenza, Lumpy Skin Disease, Bovine Brucellosis, Rabies, Newcastle Disease, Anthrax, Equine Influenza, and Contagious Bovine Pleuropneumonia.</w:t>
      </w:r>
    </w:p>
    <w:p>
      <w:pPr>
        <w:pStyle w:val="ListParagraph"/>
        <w:numPr>
          <w:ilvl w:val="0"/>
          <w:numId w:val="2"/>
        </w:numPr>
        <w:spacing w:after="40" w:before="40"/>
      </w:pPr>
      <w:r>
        <w:rPr>
          <w:rFonts w:ascii="Arial" w:cs="Arial" w:eastAsia="Arial" w:hAnsi="Arial"/>
          <w:color w:val="111827"/>
          <w:sz w:val="22"/>
          <w:szCs w:val="22"/>
        </w:rPr>
        <w:t xml:space="preserve">When a farmer reports symptoms consistent with a notifiable disease, the system must display a prominent statutory warning that the disease is notifiable under Act 35 of 1984 and that failure to report constitutes a criminal offence punishable under Section 22 of the Act.</w:t>
      </w:r>
    </w:p>
    <w:p>
      <w:pPr>
        <w:pStyle w:val="ListParagraph"/>
        <w:numPr>
          <w:ilvl w:val="0"/>
          <w:numId w:val="2"/>
        </w:numPr>
        <w:spacing w:after="40" w:before="40"/>
      </w:pPr>
      <w:r>
        <w:rPr>
          <w:rFonts w:ascii="Arial" w:cs="Arial" w:eastAsia="Arial" w:hAnsi="Arial"/>
          <w:color w:val="111827"/>
          <w:sz w:val="22"/>
          <w:szCs w:val="22"/>
        </w:rPr>
        <w:t xml:space="preserve">All notifiable disease incident reports must be simultaneously routed to the assigned State Veterinarian, the relevant Provincial Veterinary Services office, and the national DALRRD disease reporting database.</w:t>
      </w:r>
    </w:p>
    <w:p>
      <w:pPr>
        <w:pStyle w:val="ListParagraph"/>
        <w:numPr>
          <w:ilvl w:val="0"/>
          <w:numId w:val="2"/>
        </w:numPr>
        <w:spacing w:after="40" w:before="40"/>
      </w:pPr>
      <w:r>
        <w:rPr>
          <w:rFonts w:ascii="Arial" w:cs="Arial" w:eastAsia="Arial" w:hAnsi="Arial"/>
          <w:color w:val="111827"/>
          <w:sz w:val="22"/>
          <w:szCs w:val="22"/>
        </w:rPr>
        <w:t xml:space="preserve">The system must track a full chain-of-custody log for each notifiable disease report: time of farmer submission, time of State Veterinarian acknowledgement, time of official investigation initiated, preliminary findings, and final outcome recorded.</w:t>
      </w:r>
    </w:p>
    <w:p>
      <w:pPr>
        <w:pStyle w:val="ListParagraph"/>
        <w:numPr>
          <w:ilvl w:val="0"/>
          <w:numId w:val="2"/>
        </w:numPr>
        <w:spacing w:after="40" w:before="40"/>
      </w:pPr>
      <w:r>
        <w:rPr>
          <w:rFonts w:ascii="Arial" w:cs="Arial" w:eastAsia="Arial" w:hAnsi="Arial"/>
          <w:color w:val="111827"/>
          <w:sz w:val="22"/>
          <w:szCs w:val="22"/>
        </w:rPr>
        <w:t xml:space="preserve">A quarantine zone alert must be generated automatically when a notifiable disease is confirmed by a State Veterinarian, notifying all enrolled farms within a configurable radius (default 10km) that the area may be subject to movement restrictions under Act 35 of 1984.</w:t>
      </w:r>
    </w:p>
    <w:p>
      <w:pPr>
        <w:pStyle w:val="ListParagraph"/>
        <w:numPr>
          <w:ilvl w:val="0"/>
          <w:numId w:val="2"/>
        </w:numPr>
        <w:spacing w:after="40" w:before="40"/>
      </w:pPr>
      <w:r>
        <w:rPr>
          <w:rFonts w:ascii="Arial" w:cs="Arial" w:eastAsia="Arial" w:hAnsi="Arial"/>
          <w:color w:val="111827"/>
          <w:sz w:val="22"/>
          <w:szCs w:val="22"/>
        </w:rPr>
        <w:t xml:space="preserve">The system must support anonymous reporting for notifiable diseases; anonymous reports must still carry geographic coordinates and symptom data sufficient for a State Veterinarian to initiate an investigation.</w:t>
      </w:r>
    </w:p>
    <w:p>
      <w:pPr>
        <w:spacing w:after="0" w:before="0"/>
      </w:pPr>
      <w:r>
        <w:t xml:space="preserve"/>
      </w:r>
    </w:p>
    <w:p>
      <w:pPr>
        <w:pStyle w:val="Heading3"/>
        <w:spacing w:after="80" w:before="200"/>
      </w:pPr>
      <w:r>
        <w:rPr>
          <w:rFonts w:ascii="Arial" w:cs="Arial" w:eastAsia="Arial" w:hAnsi="Arial"/>
          <w:b/>
          <w:bCs/>
          <w:color w:val="111827"/>
          <w:sz w:val="22"/>
          <w:szCs w:val="22"/>
        </w:rPr>
        <w:t xml:space="preserve">Acceptance Criteria</w:t>
      </w:r>
    </w:p>
    <w:p>
      <w:pPr>
        <w:pStyle w:val="ListParagraph"/>
        <w:numPr>
          <w:ilvl w:val="0"/>
          <w:numId w:val="2"/>
        </w:numPr>
        <w:spacing w:after="40" w:before="40"/>
      </w:pPr>
      <w:r>
        <w:rPr>
          <w:rFonts w:ascii="Arial" w:cs="Arial" w:eastAsia="Arial" w:hAnsi="Arial"/>
          <w:color w:val="111827"/>
          <w:sz w:val="22"/>
          <w:szCs w:val="22"/>
        </w:rPr>
        <w:t xml:space="preserve">Given a farmer logs symptoms matching FMD, when the report is submitted, then the State Veterinarian receives an alert within 5 minutes and a statutory Form 1 notification is transmitted to DALRRD within 24 hours.</w:t>
      </w:r>
    </w:p>
    <w:p>
      <w:pPr>
        <w:pStyle w:val="ListParagraph"/>
        <w:numPr>
          <w:ilvl w:val="0"/>
          <w:numId w:val="2"/>
        </w:numPr>
        <w:spacing w:after="40" w:before="40"/>
      </w:pPr>
      <w:r>
        <w:rPr>
          <w:rFonts w:ascii="Arial" w:cs="Arial" w:eastAsia="Arial" w:hAnsi="Arial"/>
          <w:color w:val="111827"/>
          <w:sz w:val="22"/>
          <w:szCs w:val="22"/>
        </w:rPr>
        <w:t xml:space="preserve">Given a notifiable disease report is confirmed by a State Veterinarian, when the quarantine radius alert is triggered, then all enrolled farms within 10km receive a push notification and SMS fallback within 15 minutes.</w:t>
      </w:r>
    </w:p>
    <w:p>
      <w:pPr>
        <w:pStyle w:val="ListParagraph"/>
        <w:numPr>
          <w:ilvl w:val="0"/>
          <w:numId w:val="2"/>
        </w:numPr>
        <w:spacing w:after="40" w:before="40"/>
      </w:pPr>
      <w:r>
        <w:rPr>
          <w:rFonts w:ascii="Arial" w:cs="Arial" w:eastAsia="Arial" w:hAnsi="Arial"/>
          <w:color w:val="111827"/>
          <w:sz w:val="22"/>
          <w:szCs w:val="22"/>
        </w:rPr>
        <w:t xml:space="preserve">Given a chain-of-custody audit is requested by DALRRD, when the report is exported, then it includes timestamped records of every state action from initial submission to final outcome.</w:t>
      </w:r>
    </w:p>
    <w:p>
      <w:pPr>
        <w:spacing w:after="0" w:before="0"/>
      </w:pPr>
      <w:r>
        <w:t xml:space="preserve"/>
      </w:r>
    </w:p>
    <w:p>
      <w:pPr>
        <w:spacing w:after="100" w:before="60"/>
      </w:pPr>
      <w:r>
        <w:rPr>
          <w:rFonts w:ascii="Arial" w:cs="Arial" w:eastAsia="Arial" w:hAnsi="Arial"/>
          <w:b/>
          <w:bCs/>
          <w:color w:val="1F6B3A"/>
          <w:sz w:val="22"/>
          <w:szCs w:val="22"/>
        </w:rPr>
        <w:t xml:space="preserve">Priority: P0 — </w:t>
      </w:r>
      <w:r>
        <w:rPr>
          <w:rFonts w:ascii="Arial" w:cs="Arial" w:eastAsia="Arial" w:hAnsi="Arial"/>
          <w:color w:val="111827"/>
          <w:sz w:val="22"/>
          <w:szCs w:val="22"/>
        </w:rPr>
        <w:t xml:space="preserve">Statutory obligation under Act 35 of 1984. Criminal liability attaches to both the farmer and potentially the platform operator if reporting obligations are not met.</w:t>
      </w:r>
    </w:p>
    <w:p>
      <w:pPr>
        <w:spacing w:after="0" w:before="0"/>
      </w:pPr>
      <w:r>
        <w:t xml:space="preserve"/>
      </w:r>
    </w:p>
    <w:p>
      <w:pPr>
        <w:pStyle w:val="Heading2"/>
        <w:spacing w:after="120" w:before="280"/>
      </w:pPr>
      <w:r>
        <w:rPr>
          <w:rFonts w:ascii="Arial" w:cs="Arial" w:eastAsia="Arial" w:hAnsi="Arial"/>
          <w:b/>
          <w:bCs/>
          <w:color w:val="2E8B57"/>
          <w:sz w:val="26"/>
          <w:szCs w:val="26"/>
        </w:rPr>
        <w:t xml:space="preserve">6.5 National Livestock Identification System (NLIS) Compliance</w:t>
      </w:r>
    </w:p>
    <w:p>
      <w:pPr>
        <w:spacing w:after="100" w:before="60"/>
      </w:pPr>
      <w:r>
        <w:rPr>
          <w:rFonts w:ascii="Arial" w:cs="Arial" w:eastAsia="Arial" w:hAnsi="Arial"/>
          <w:color w:val="111827"/>
          <w:sz w:val="22"/>
          <w:szCs w:val="22"/>
        </w:rPr>
        <w:t xml:space="preserve">DALRRD’s National Livestock Identification System (NLIS) provides the official traceability framework for cattle and small stock in South Africa. VaxWise vaccination and movement records must integrate with NLIS to ensure that animals recorded on the platform are traceable to their official registered identifiers and that platform-generated records are acceptable to DALRRD.</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Animal profiles must support NLIS-compatible identification fields: official DALRRD ear tag number, RFID transponder number where applicable, species, breed, sex, date of birth, and the registered owner’s DALRRD farmer registration number.</w:t>
      </w:r>
    </w:p>
    <w:p>
      <w:pPr>
        <w:pStyle w:val="ListParagraph"/>
        <w:numPr>
          <w:ilvl w:val="0"/>
          <w:numId w:val="2"/>
        </w:numPr>
        <w:spacing w:after="40" w:before="40"/>
      </w:pPr>
      <w:r>
        <w:rPr>
          <w:rFonts w:ascii="Arial" w:cs="Arial" w:eastAsia="Arial" w:hAnsi="Arial"/>
          <w:color w:val="111827"/>
          <w:sz w:val="22"/>
          <w:szCs w:val="22"/>
        </w:rPr>
        <w:t xml:space="preserve">Vaccination records must be linkable to individual NLIS animal IDs where individual identification is in place; herd-level records are permissible for communal and extensive farming systems where individual ID has not been assigned.</w:t>
      </w:r>
    </w:p>
    <w:p>
      <w:pPr>
        <w:pStyle w:val="ListParagraph"/>
        <w:numPr>
          <w:ilvl w:val="0"/>
          <w:numId w:val="2"/>
        </w:numPr>
        <w:spacing w:after="40" w:before="40"/>
      </w:pPr>
      <w:r>
        <w:rPr>
          <w:rFonts w:ascii="Arial" w:cs="Arial" w:eastAsia="Arial" w:hAnsi="Arial"/>
          <w:color w:val="111827"/>
          <w:sz w:val="22"/>
          <w:szCs w:val="22"/>
        </w:rPr>
        <w:t xml:space="preserve">The platform must provide a batch import mechanism for NLIS animal records via CSV upload or REST API sync, enabling farms already registered in NLIS to populate VaxWise without manual re-entry.</w:t>
      </w:r>
    </w:p>
    <w:p>
      <w:pPr>
        <w:pStyle w:val="ListParagraph"/>
        <w:numPr>
          <w:ilvl w:val="0"/>
          <w:numId w:val="2"/>
        </w:numPr>
        <w:spacing w:after="40" w:before="40"/>
      </w:pPr>
      <w:r>
        <w:rPr>
          <w:rFonts w:ascii="Arial" w:cs="Arial" w:eastAsia="Arial" w:hAnsi="Arial"/>
          <w:color w:val="111827"/>
          <w:sz w:val="22"/>
          <w:szCs w:val="22"/>
        </w:rPr>
        <w:t xml:space="preserve">Movement records must capture DALRRD movement permit numbers and be exportable in NLIS-compatible format for submission to the national livestock traceability system.</w:t>
      </w:r>
    </w:p>
    <w:p>
      <w:pPr>
        <w:pStyle w:val="ListParagraph"/>
        <w:numPr>
          <w:ilvl w:val="0"/>
          <w:numId w:val="2"/>
        </w:numPr>
        <w:spacing w:after="40" w:before="40"/>
      </w:pPr>
      <w:r>
        <w:rPr>
          <w:rFonts w:ascii="Arial" w:cs="Arial" w:eastAsia="Arial" w:hAnsi="Arial"/>
          <w:color w:val="111827"/>
          <w:sz w:val="22"/>
          <w:szCs w:val="22"/>
        </w:rPr>
        <w:t xml:space="preserve">The system must validate animal ear tag numbers against the NLIS format specification when connectivity is available, and flag format non-compliance with a warning before the record is saved.</w:t>
      </w:r>
    </w:p>
    <w:p>
      <w:pPr>
        <w:spacing w:after="0" w:before="0"/>
      </w:pPr>
      <w:r>
        <w:t xml:space="preserve"/>
      </w:r>
    </w:p>
    <w:p>
      <w:pPr>
        <w:pStyle w:val="Heading3"/>
        <w:spacing w:after="80" w:before="200"/>
      </w:pPr>
      <w:r>
        <w:rPr>
          <w:rFonts w:ascii="Arial" w:cs="Arial" w:eastAsia="Arial" w:hAnsi="Arial"/>
          <w:b/>
          <w:bCs/>
          <w:color w:val="111827"/>
          <w:sz w:val="22"/>
          <w:szCs w:val="22"/>
        </w:rPr>
        <w:t xml:space="preserve">Acceptance Criteria</w:t>
      </w:r>
    </w:p>
    <w:p>
      <w:pPr>
        <w:pStyle w:val="ListParagraph"/>
        <w:numPr>
          <w:ilvl w:val="0"/>
          <w:numId w:val="2"/>
        </w:numPr>
        <w:spacing w:after="40" w:before="40"/>
      </w:pPr>
      <w:r>
        <w:rPr>
          <w:rFonts w:ascii="Arial" w:cs="Arial" w:eastAsia="Arial" w:hAnsi="Arial"/>
          <w:color w:val="111827"/>
          <w:sz w:val="22"/>
          <w:szCs w:val="22"/>
        </w:rPr>
        <w:t xml:space="preserve">Given an animal is created with a NLIS ear tag number, when saved with connectivity, then the system validates the format against the NLIS specification and rejects non-conforming entries with a clear error message.</w:t>
      </w:r>
    </w:p>
    <w:p>
      <w:pPr>
        <w:pStyle w:val="ListParagraph"/>
        <w:numPr>
          <w:ilvl w:val="0"/>
          <w:numId w:val="2"/>
        </w:numPr>
        <w:spacing w:after="40" w:before="40"/>
      </w:pPr>
      <w:r>
        <w:rPr>
          <w:rFonts w:ascii="Arial" w:cs="Arial" w:eastAsia="Arial" w:hAnsi="Arial"/>
          <w:color w:val="111827"/>
          <w:sz w:val="22"/>
          <w:szCs w:val="22"/>
        </w:rPr>
        <w:t xml:space="preserve">Given a farm imports 500 animals via CSV, when the import completes, then all records are created with NLIS-compatible field sets and an import summary report lists any validation failures.</w:t>
      </w:r>
    </w:p>
    <w:p>
      <w:pPr>
        <w:pStyle w:val="ListParagraph"/>
        <w:numPr>
          <w:ilvl w:val="0"/>
          <w:numId w:val="2"/>
        </w:numPr>
        <w:spacing w:after="40" w:before="40"/>
      </w:pPr>
      <w:r>
        <w:rPr>
          <w:rFonts w:ascii="Arial" w:cs="Arial" w:eastAsia="Arial" w:hAnsi="Arial"/>
          <w:color w:val="111827"/>
          <w:sz w:val="22"/>
          <w:szCs w:val="22"/>
        </w:rPr>
        <w:t xml:space="preserve">Given a vaccination record references an NLIS animal ID, when the compliance report is generated, then the export includes the NLIS ID in the correct position for DALRRD submission.</w:t>
      </w:r>
    </w:p>
    <w:p>
      <w:pPr>
        <w:spacing w:after="0" w:before="0"/>
      </w:pPr>
      <w:r>
        <w:t xml:space="preserve"/>
      </w:r>
    </w:p>
    <w:p>
      <w:pPr>
        <w:spacing w:after="100" w:before="60"/>
      </w:pPr>
      <w:r>
        <w:rPr>
          <w:rFonts w:ascii="Arial" w:cs="Arial" w:eastAsia="Arial" w:hAnsi="Arial"/>
          <w:b/>
          <w:bCs/>
          <w:color w:val="1F6B3A"/>
          <w:sz w:val="22"/>
          <w:szCs w:val="22"/>
        </w:rPr>
        <w:t xml:space="preserve">Priority: P1 — </w:t>
      </w:r>
      <w:r>
        <w:rPr>
          <w:rFonts w:ascii="Arial" w:cs="Arial" w:eastAsia="Arial" w:hAnsi="Arial"/>
          <w:color w:val="111827"/>
          <w:sz w:val="22"/>
          <w:szCs w:val="22"/>
        </w:rPr>
        <w:t xml:space="preserve">Required for full DALRRD integration and national authority traceability dashboard. Blocks NLIS API integration deliverable in the Beta release.</w:t>
      </w:r>
    </w:p>
    <w:p>
      <w:pPr>
        <w:spacing w:after="0" w:before="0"/>
      </w:pPr>
      <w:r>
        <w:t xml:space="preserve"/>
      </w:r>
    </w:p>
    <w:p>
      <w:pPr>
        <w:pStyle w:val="Heading2"/>
        <w:spacing w:after="120" w:before="280"/>
      </w:pPr>
      <w:r>
        <w:rPr>
          <w:rFonts w:ascii="Arial" w:cs="Arial" w:eastAsia="Arial" w:hAnsi="Arial"/>
          <w:b/>
          <w:bCs/>
          <w:color w:val="2E8B57"/>
          <w:sz w:val="26"/>
          <w:szCs w:val="26"/>
        </w:rPr>
        <w:t xml:space="preserve">6.6 State Veterinarian Interface</w:t>
      </w:r>
    </w:p>
    <w:p>
      <w:pPr>
        <w:spacing w:after="100" w:before="60"/>
      </w:pPr>
      <w:r>
        <w:rPr>
          <w:rFonts w:ascii="Arial" w:cs="Arial" w:eastAsia="Arial" w:hAnsi="Arial"/>
          <w:color w:val="111827"/>
          <w:sz w:val="22"/>
          <w:szCs w:val="22"/>
        </w:rPr>
        <w:t xml:space="preserve">State Veterinarians (StatVets) are designated officials under Act 35 of 1984 with legal authority to issue movement permits, declare infected areas, order quarantines, and direct culling operations within their assigned districts. VaxWise must provide a dedicated StatVet role with permissions and workflow tools that reflect these statutory powers.</w:t>
      </w:r>
    </w:p>
    <w:p>
      <w:pPr>
        <w:spacing w:after="0" w:before="0"/>
      </w:pPr>
      <w:r>
        <w:t xml:space="preserve"/>
      </w:r>
    </w:p>
    <w:p>
      <w:pPr>
        <w:pStyle w:val="Heading3"/>
        <w:spacing w:after="80" w:before="200"/>
      </w:pPr>
      <w:r>
        <w:rPr>
          <w:rFonts w:ascii="Arial" w:cs="Arial" w:eastAsia="Arial" w:hAnsi="Arial"/>
          <w:b/>
          <w:bCs/>
          <w:color w:val="111827"/>
          <w:sz w:val="22"/>
          <w:szCs w:val="22"/>
        </w:rPr>
        <w:t xml:space="preserve">Functional Requirements</w:t>
      </w:r>
    </w:p>
    <w:p>
      <w:pPr>
        <w:pStyle w:val="ListParagraph"/>
        <w:numPr>
          <w:ilvl w:val="0"/>
          <w:numId w:val="2"/>
        </w:numPr>
        <w:spacing w:after="40" w:before="40"/>
      </w:pPr>
      <w:r>
        <w:rPr>
          <w:rFonts w:ascii="Arial" w:cs="Arial" w:eastAsia="Arial" w:hAnsi="Arial"/>
          <w:color w:val="111827"/>
          <w:sz w:val="22"/>
          <w:szCs w:val="22"/>
        </w:rPr>
        <w:t xml:space="preserve">A dedicated StatVet user role must be implemented with the following elevated permissions: view all farms in the assigned DALRRD district; issue and revoke movement permits; declare farms or areas as infected/restricted zones; override FMD zone classifications with logged justification; access unredacted notifiable disease reports; and initiate district-wide quarantine alerts.</w:t>
      </w:r>
    </w:p>
    <w:p>
      <w:pPr>
        <w:pStyle w:val="ListParagraph"/>
        <w:numPr>
          <w:ilvl w:val="0"/>
          <w:numId w:val="2"/>
        </w:numPr>
        <w:spacing w:after="40" w:before="40"/>
      </w:pPr>
      <w:r>
        <w:rPr>
          <w:rFonts w:ascii="Arial" w:cs="Arial" w:eastAsia="Arial" w:hAnsi="Arial"/>
          <w:color w:val="111827"/>
          <w:sz w:val="22"/>
          <w:szCs w:val="22"/>
        </w:rPr>
        <w:t xml:space="preserve">The StatVet interface must provide a district-level dashboard displaying: all active notifiable disease reports and their chain-of-custody status; farms with vaccination records overdue by more than 7 days; farms below the biosecurity BioScore threshold; and currently active quarantine zones with geographic map overlay.</w:t>
      </w:r>
    </w:p>
    <w:p>
      <w:pPr>
        <w:pStyle w:val="ListParagraph"/>
        <w:numPr>
          <w:ilvl w:val="0"/>
          <w:numId w:val="2"/>
        </w:numPr>
        <w:spacing w:after="40" w:before="40"/>
      </w:pPr>
      <w:r>
        <w:rPr>
          <w:rFonts w:ascii="Arial" w:cs="Arial" w:eastAsia="Arial" w:hAnsi="Arial"/>
          <w:color w:val="111827"/>
          <w:sz w:val="22"/>
          <w:szCs w:val="22"/>
        </w:rPr>
        <w:t xml:space="preserve">StatVets must be able to digitally sign and issue movement permits within the platform; each permit must carry a unique system-generated permit number, expiry date, permitted species and quantity, origin and destination farm details, and the StatVet’s digital signature.</w:t>
      </w:r>
    </w:p>
    <w:p>
      <w:pPr>
        <w:pStyle w:val="ListParagraph"/>
        <w:numPr>
          <w:ilvl w:val="0"/>
          <w:numId w:val="2"/>
        </w:numPr>
        <w:spacing w:after="40" w:before="40"/>
      </w:pPr>
      <w:r>
        <w:rPr>
          <w:rFonts w:ascii="Arial" w:cs="Arial" w:eastAsia="Arial" w:hAnsi="Arial"/>
          <w:color w:val="111827"/>
          <w:sz w:val="22"/>
          <w:szCs w:val="22"/>
        </w:rPr>
        <w:t xml:space="preserve">When a StatVet declares an infected area, the system must automatically apply movement restrictions to all farms within the declared zone boundary, blocking movement record approvals until the declaration is formally lifted.</w:t>
      </w:r>
    </w:p>
    <w:p>
      <w:pPr>
        <w:pStyle w:val="ListParagraph"/>
        <w:numPr>
          <w:ilvl w:val="0"/>
          <w:numId w:val="2"/>
        </w:numPr>
        <w:spacing w:after="40" w:before="40"/>
      </w:pPr>
      <w:r>
        <w:rPr>
          <w:rFonts w:ascii="Arial" w:cs="Arial" w:eastAsia="Arial" w:hAnsi="Arial"/>
          <w:color w:val="111827"/>
          <w:sz w:val="22"/>
          <w:szCs w:val="22"/>
        </w:rPr>
        <w:t xml:space="preserve">StatVet account provisioning must require verification of the applicant’s registration number against the DALRRD Veterinary Professionals register before account activation; provisioning must be initiated through DALRRD official channels only.</w:t>
      </w:r>
    </w:p>
    <w:p>
      <w:pPr>
        <w:pStyle w:val="ListParagraph"/>
        <w:numPr>
          <w:ilvl w:val="0"/>
          <w:numId w:val="2"/>
        </w:numPr>
        <w:spacing w:after="40" w:before="40"/>
      </w:pPr>
      <w:r>
        <w:rPr>
          <w:rFonts w:ascii="Arial" w:cs="Arial" w:eastAsia="Arial" w:hAnsi="Arial"/>
          <w:color w:val="111827"/>
          <w:sz w:val="22"/>
          <w:szCs w:val="22"/>
        </w:rPr>
        <w:t xml:space="preserve">All StatVet actions — permit issuance, zone declarations, record access, override authorisations — must be logged in an immutable audit trail accessible to DALRRD supervisors and exportable for regulatory review.</w:t>
      </w:r>
    </w:p>
    <w:p>
      <w:pPr>
        <w:spacing w:after="0" w:before="0"/>
      </w:pPr>
      <w:r>
        <w:t xml:space="preserve"/>
      </w:r>
    </w:p>
    <w:p>
      <w:pPr>
        <w:pStyle w:val="Heading3"/>
        <w:spacing w:after="80" w:before="200"/>
      </w:pPr>
      <w:r>
        <w:rPr>
          <w:rFonts w:ascii="Arial" w:cs="Arial" w:eastAsia="Arial" w:hAnsi="Arial"/>
          <w:b/>
          <w:bCs/>
          <w:color w:val="111827"/>
          <w:sz w:val="22"/>
          <w:szCs w:val="22"/>
        </w:rPr>
        <w:t xml:space="preserve">Acceptance Criteria</w:t>
      </w:r>
    </w:p>
    <w:p>
      <w:pPr>
        <w:pStyle w:val="ListParagraph"/>
        <w:numPr>
          <w:ilvl w:val="0"/>
          <w:numId w:val="2"/>
        </w:numPr>
        <w:spacing w:after="40" w:before="40"/>
      </w:pPr>
      <w:r>
        <w:rPr>
          <w:rFonts w:ascii="Arial" w:cs="Arial" w:eastAsia="Arial" w:hAnsi="Arial"/>
          <w:color w:val="111827"/>
          <w:sz w:val="22"/>
          <w:szCs w:val="22"/>
        </w:rPr>
        <w:t xml:space="preserve">Given a StatVet issues a movement permit, when saved, then the permit carries a unique system-generated number, the StatVet’s digital signature, and is immediately visible to the originating farm manager.</w:t>
      </w:r>
    </w:p>
    <w:p>
      <w:pPr>
        <w:pStyle w:val="ListParagraph"/>
        <w:numPr>
          <w:ilvl w:val="0"/>
          <w:numId w:val="2"/>
        </w:numPr>
        <w:spacing w:after="40" w:before="40"/>
      </w:pPr>
      <w:r>
        <w:rPr>
          <w:rFonts w:ascii="Arial" w:cs="Arial" w:eastAsia="Arial" w:hAnsi="Arial"/>
          <w:color w:val="111827"/>
          <w:sz w:val="22"/>
          <w:szCs w:val="22"/>
        </w:rPr>
        <w:t xml:space="preserve">Given a StatVet declares an infected area with a 20km radius, when the declaration is saved, then all farms within that radius have movement records blocked and receive automated notification within 5 minutes.</w:t>
      </w:r>
    </w:p>
    <w:p>
      <w:pPr>
        <w:pStyle w:val="ListParagraph"/>
        <w:numPr>
          <w:ilvl w:val="0"/>
          <w:numId w:val="2"/>
        </w:numPr>
        <w:spacing w:after="40" w:before="40"/>
      </w:pPr>
      <w:r>
        <w:rPr>
          <w:rFonts w:ascii="Arial" w:cs="Arial" w:eastAsia="Arial" w:hAnsi="Arial"/>
          <w:color w:val="111827"/>
          <w:sz w:val="22"/>
          <w:szCs w:val="22"/>
        </w:rPr>
        <w:t xml:space="preserve">Given a StatVet account creation is requested, when submitted, then the system requires DALRRD registration number verification and blocks account activation until verification is confirmed.</w:t>
      </w:r>
    </w:p>
    <w:p>
      <w:pPr>
        <w:pStyle w:val="ListParagraph"/>
        <w:numPr>
          <w:ilvl w:val="0"/>
          <w:numId w:val="2"/>
        </w:numPr>
        <w:spacing w:after="40" w:before="40"/>
      </w:pPr>
      <w:r>
        <w:rPr>
          <w:rFonts w:ascii="Arial" w:cs="Arial" w:eastAsia="Arial" w:hAnsi="Arial"/>
          <w:color w:val="111827"/>
          <w:sz w:val="22"/>
          <w:szCs w:val="22"/>
        </w:rPr>
        <w:t xml:space="preserve">Given a DALRRD supervisor requests an audit log export for a StatVet, when generated, then the export includes every action taken by that StatVet with timestamps, affected farm IDs, and action detail.</w:t>
      </w:r>
    </w:p>
    <w:p>
      <w:pPr>
        <w:spacing w:after="0" w:before="0"/>
      </w:pPr>
      <w:r>
        <w:t xml:space="preserve"/>
      </w:r>
    </w:p>
    <w:p>
      <w:pPr>
        <w:spacing w:after="100" w:before="60"/>
      </w:pPr>
      <w:r>
        <w:rPr>
          <w:rFonts w:ascii="Arial" w:cs="Arial" w:eastAsia="Arial" w:hAnsi="Arial"/>
          <w:b/>
          <w:bCs/>
          <w:color w:val="1F6B3A"/>
          <w:sz w:val="22"/>
          <w:szCs w:val="22"/>
        </w:rPr>
        <w:t xml:space="preserve">Priority: P0 — </w:t>
      </w:r>
      <w:r>
        <w:rPr>
          <w:rFonts w:ascii="Arial" w:cs="Arial" w:eastAsia="Arial" w:hAnsi="Arial"/>
          <w:color w:val="111827"/>
          <w:sz w:val="22"/>
          <w:szCs w:val="22"/>
        </w:rPr>
        <w:t xml:space="preserve">Act 35 of 1984 compliance requires StatVet integration for platform-generated records to carry legal enforceability. Without this role, VaxWise cannot serve as a legally compliant reporting channel.</w:t>
      </w:r>
    </w:p>
    <w:p>
      <w:pPr>
        <w:spacing w:after="0" w:before="0"/>
      </w:pPr>
      <w:r>
        <w:t xml:space="preserve"/>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7. Integration Requirements</w:t>
      </w:r>
    </w:p>
    <w:p>
      <w:pPr>
        <w:spacing w:after="100" w:before="60"/>
      </w:pPr>
      <w:r>
        <w:rPr>
          <w:rFonts w:ascii="Arial" w:cs="Arial" w:eastAsia="Arial" w:hAnsi="Arial"/>
          <w:color w:val="111827"/>
          <w:sz w:val="22"/>
          <w:szCs w:val="22"/>
        </w:rPr>
        <w:t xml:space="preserve">VaxWise is a component of the AgriShield biosecurity platform and must integrate with the following internal and external systems: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w:t>
            </w:r>
          </w:p>
        </w:tc>
        <w:tc>
          <w:tcPr>
            <w:tcW w:type="dxa" w:w="22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Direction</w:t>
            </w:r>
          </w:p>
        </w:tc>
        <w:tc>
          <w:tcPr>
            <w:tcW w:type="dxa" w:w="436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Integration Purpose</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AgriShield SentinelNet</w:t>
            </w:r>
          </w:p>
        </w:tc>
        <w:tc>
          <w:tcPr>
            <w:tcW w:type="dxa" w:w="2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Bidirectional</w:t>
            </w:r>
          </w:p>
        </w:tc>
        <w:tc>
          <w:tcPr>
            <w:tcW w:type="dxa" w:w="436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Receive regional disease risk maps for vaccination scheduling; push farm-level incident reports into surveillance feed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AgriShield ChainTrace</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Bidirectional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Link vaccination batch records and access logs to supply chain provenance; receive input supplier biosecurity status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AgriShield BorderScan</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Receive</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Import alerts for new pest/pathogen detections at borders that affect enrolled farm regions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AgriShield OneHealth Hub</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Push</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Feed farm compliance scores and incident reports into the multi-agency coordination dashboard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WOAH WAHIS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Push</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Automated formatting and submission of notifiable disease reports in WAHIS-compatible format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National Vet/Plant Health Databases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Bidirectional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Sync farm registration, vaccination records, and inspection history with government systems via REST API</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Insurance &amp; Subsidy Platforms</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Push</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Submit BioScore and compliance records to partner insurance and government subsidy systems for benefit unlocking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SMS Gateway (Twilio / Africa's Talking)</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Bidirectional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Deliver reminders and receive structured SMS responses from feature phone users</w:t>
            </w:r>
          </w:p>
        </w:tc>
      </w:tr>
    </w:tbl>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8. Non-Functional Requirements</w:t>
      </w:r>
    </w:p>
    <w:p>
      <w:pPr>
        <w:pStyle w:val="Heading2"/>
        <w:spacing w:after="120" w:before="280"/>
      </w:pPr>
      <w:r>
        <w:rPr>
          <w:rFonts w:ascii="Arial" w:cs="Arial" w:eastAsia="Arial" w:hAnsi="Arial"/>
          <w:b/>
          <w:bCs/>
          <w:color w:val="2E8B57"/>
          <w:sz w:val="26"/>
          <w:szCs w:val="26"/>
        </w:rPr>
        <w:t xml:space="preserve">8.1 Performance</w:t>
      </w:r>
    </w:p>
    <w:p>
      <w:pPr>
        <w:pStyle w:val="ListParagraph"/>
        <w:numPr>
          <w:ilvl w:val="0"/>
          <w:numId w:val="2"/>
        </w:numPr>
        <w:spacing w:after="40" w:before="40"/>
      </w:pPr>
      <w:r>
        <w:rPr>
          <w:rFonts w:ascii="Arial" w:cs="Arial" w:eastAsia="Arial" w:hAnsi="Arial"/>
          <w:color w:val="111827"/>
          <w:sz w:val="22"/>
          <w:szCs w:val="22"/>
        </w:rPr>
        <w:t xml:space="preserve">App launch time: under 2 seconds on target hardware (Android 8+, 1GB RAM).</w:t>
      </w:r>
    </w:p>
    <w:p>
      <w:pPr>
        <w:pStyle w:val="ListParagraph"/>
        <w:numPr>
          <w:ilvl w:val="0"/>
          <w:numId w:val="2"/>
        </w:numPr>
        <w:spacing w:after="40" w:before="40"/>
      </w:pPr>
      <w:r>
        <w:rPr>
          <w:rFonts w:ascii="Arial" w:cs="Arial" w:eastAsia="Arial" w:hAnsi="Arial"/>
          <w:color w:val="111827"/>
          <w:sz w:val="22"/>
          <w:szCs w:val="22"/>
        </w:rPr>
        <w:t xml:space="preserve">All core user actions (logging a vaccination, submitting an incident report) must complete within 1 second on-device; server response within 3 seconds when online.</w:t>
      </w:r>
    </w:p>
    <w:p>
      <w:pPr>
        <w:pStyle w:val="ListParagraph"/>
        <w:numPr>
          <w:ilvl w:val="0"/>
          <w:numId w:val="2"/>
        </w:numPr>
        <w:spacing w:after="40" w:before="40"/>
      </w:pPr>
      <w:r>
        <w:rPr>
          <w:rFonts w:ascii="Arial" w:cs="Arial" w:eastAsia="Arial" w:hAnsi="Arial"/>
          <w:color w:val="111827"/>
          <w:sz w:val="22"/>
          <w:szCs w:val="22"/>
        </w:rPr>
        <w:t xml:space="preserve">Offline data queue must support up to 90 days of farm activity before sync is required.</w:t>
      </w:r>
    </w:p>
    <w:p>
      <w:pPr>
        <w:spacing w:after="0" w:before="0"/>
      </w:pPr>
      <w:r>
        <w:t xml:space="preserve"/>
      </w:r>
    </w:p>
    <w:p>
      <w:pPr>
        <w:pStyle w:val="Heading2"/>
        <w:spacing w:after="120" w:before="280"/>
      </w:pPr>
      <w:r>
        <w:rPr>
          <w:rFonts w:ascii="Arial" w:cs="Arial" w:eastAsia="Arial" w:hAnsi="Arial"/>
          <w:b/>
          <w:bCs/>
          <w:color w:val="2E8B57"/>
          <w:sz w:val="26"/>
          <w:szCs w:val="26"/>
        </w:rPr>
        <w:t xml:space="preserve">8.2 Security and Privacy</w:t>
      </w:r>
    </w:p>
    <w:p>
      <w:pPr>
        <w:pStyle w:val="ListParagraph"/>
        <w:numPr>
          <w:ilvl w:val="0"/>
          <w:numId w:val="2"/>
        </w:numPr>
        <w:spacing w:after="40" w:before="40"/>
      </w:pPr>
      <w:r>
        <w:rPr>
          <w:rFonts w:ascii="Arial" w:cs="Arial" w:eastAsia="Arial" w:hAnsi="Arial"/>
          <w:color w:val="111827"/>
          <w:sz w:val="22"/>
          <w:szCs w:val="22"/>
        </w:rPr>
        <w:t xml:space="preserve">All data encrypted in transit (TLS 1.3) and at rest (AES-256).</w:t>
      </w:r>
    </w:p>
    <w:p>
      <w:pPr>
        <w:pStyle w:val="ListParagraph"/>
        <w:numPr>
          <w:ilvl w:val="0"/>
          <w:numId w:val="2"/>
        </w:numPr>
        <w:spacing w:after="40" w:before="40"/>
      </w:pPr>
      <w:r>
        <w:rPr>
          <w:rFonts w:ascii="Arial" w:cs="Arial" w:eastAsia="Arial" w:hAnsi="Arial"/>
          <w:color w:val="111827"/>
          <w:sz w:val="22"/>
          <w:szCs w:val="22"/>
        </w:rPr>
        <w:t xml:space="preserve">Farm and farmer data governed by GDPR-equivalent data minimisation and consent principles; national data residency requirements supported.</w:t>
      </w:r>
    </w:p>
    <w:p>
      <w:pPr>
        <w:pStyle w:val="ListParagraph"/>
        <w:numPr>
          <w:ilvl w:val="0"/>
          <w:numId w:val="2"/>
        </w:numPr>
        <w:spacing w:after="40" w:before="40"/>
      </w:pPr>
      <w:r>
        <w:rPr>
          <w:rFonts w:ascii="Arial" w:cs="Arial" w:eastAsia="Arial" w:hAnsi="Arial"/>
          <w:color w:val="111827"/>
          <w:sz w:val="22"/>
          <w:szCs w:val="22"/>
        </w:rPr>
        <w:t xml:space="preserve">Visitor access log personal data must be automatically purged after 12 months unless retained as part of an active outbreak investigation.</w:t>
      </w:r>
    </w:p>
    <w:p>
      <w:pPr>
        <w:pStyle w:val="ListParagraph"/>
        <w:numPr>
          <w:ilvl w:val="0"/>
          <w:numId w:val="2"/>
        </w:numPr>
        <w:spacing w:after="40" w:before="40"/>
      </w:pPr>
      <w:r>
        <w:rPr>
          <w:rFonts w:ascii="Arial" w:cs="Arial" w:eastAsia="Arial" w:hAnsi="Arial"/>
          <w:color w:val="111827"/>
          <w:sz w:val="22"/>
          <w:szCs w:val="22"/>
        </w:rPr>
        <w:t xml:space="preserve">Role-based access control: farmers see only their own farm; extension officers see assigned farms; authorities see aggregate regional data.</w:t>
      </w:r>
    </w:p>
    <w:p>
      <w:pPr>
        <w:pStyle w:val="ListParagraph"/>
        <w:numPr>
          <w:ilvl w:val="0"/>
          <w:numId w:val="2"/>
        </w:numPr>
        <w:spacing w:after="40" w:before="40"/>
      </w:pPr>
      <w:r>
        <w:rPr>
          <w:rFonts w:ascii="Arial" w:cs="Arial" w:eastAsia="Arial" w:hAnsi="Arial"/>
          <w:color w:val="111827"/>
          <w:sz w:val="22"/>
          <w:szCs w:val="22"/>
        </w:rPr>
        <w:t xml:space="preserve">Anonymous incident reporting must be technically enforced — no metadata linkable to the reporting farm is stored.</w:t>
      </w:r>
    </w:p>
    <w:p>
      <w:pPr>
        <w:spacing w:after="0" w:before="0"/>
      </w:pPr>
      <w:r>
        <w:t xml:space="preserve"/>
      </w:r>
    </w:p>
    <w:p>
      <w:pPr>
        <w:pStyle w:val="Heading2"/>
        <w:spacing w:after="120" w:before="280"/>
      </w:pPr>
      <w:r>
        <w:rPr>
          <w:rFonts w:ascii="Arial" w:cs="Arial" w:eastAsia="Arial" w:hAnsi="Arial"/>
          <w:b/>
          <w:bCs/>
          <w:color w:val="2E8B57"/>
          <w:sz w:val="26"/>
          <w:szCs w:val="26"/>
        </w:rPr>
        <w:t xml:space="preserve">8.3 Accessibility and Localisation</w:t>
      </w:r>
    </w:p>
    <w:p>
      <w:pPr>
        <w:pStyle w:val="ListParagraph"/>
        <w:numPr>
          <w:ilvl w:val="0"/>
          <w:numId w:val="2"/>
        </w:numPr>
        <w:spacing w:after="40" w:before="40"/>
      </w:pPr>
      <w:r>
        <w:rPr>
          <w:rFonts w:ascii="Arial" w:cs="Arial" w:eastAsia="Arial" w:hAnsi="Arial"/>
          <w:color w:val="111827"/>
          <w:sz w:val="22"/>
          <w:szCs w:val="22"/>
        </w:rPr>
        <w:t xml:space="preserve">WCAG 2.1 AA compliance for screen reader and high-contrast mode support.</w:t>
      </w:r>
    </w:p>
    <w:p>
      <w:pPr>
        <w:pStyle w:val="ListParagraph"/>
        <w:numPr>
          <w:ilvl w:val="0"/>
          <w:numId w:val="2"/>
        </w:numPr>
        <w:spacing w:after="40" w:before="40"/>
      </w:pPr>
      <w:r>
        <w:rPr>
          <w:rFonts w:ascii="Arial" w:cs="Arial" w:eastAsia="Arial" w:hAnsi="Arial"/>
          <w:color w:val="111827"/>
          <w:sz w:val="22"/>
          <w:szCs w:val="22"/>
        </w:rPr>
        <w:t xml:space="preserve">All user-facing text available in 40+ languages; audio playback for all instructional content.</w:t>
      </w:r>
    </w:p>
    <w:p>
      <w:pPr>
        <w:pStyle w:val="ListParagraph"/>
        <w:numPr>
          <w:ilvl w:val="0"/>
          <w:numId w:val="2"/>
        </w:numPr>
        <w:spacing w:after="40" w:before="40"/>
      </w:pPr>
      <w:r>
        <w:rPr>
          <w:rFonts w:ascii="Arial" w:cs="Arial" w:eastAsia="Arial" w:hAnsi="Arial"/>
          <w:color w:val="111827"/>
          <w:sz w:val="22"/>
          <w:szCs w:val="22"/>
        </w:rPr>
        <w:t xml:space="preserve">SMS interface must function on networks with 10% packet loss.</w:t>
      </w:r>
    </w:p>
    <w:p>
      <w:pPr>
        <w:spacing w:after="0" w:before="0"/>
      </w:pPr>
      <w:r>
        <w:t xml:space="preserve"/>
      </w:r>
    </w:p>
    <w:p>
      <w:pPr>
        <w:pStyle w:val="Heading2"/>
        <w:spacing w:after="120" w:before="280"/>
      </w:pPr>
      <w:r>
        <w:rPr>
          <w:rFonts w:ascii="Arial" w:cs="Arial" w:eastAsia="Arial" w:hAnsi="Arial"/>
          <w:b/>
          <w:bCs/>
          <w:color w:val="2E8B57"/>
          <w:sz w:val="26"/>
          <w:szCs w:val="26"/>
        </w:rPr>
        <w:t xml:space="preserve">8.4 Scalability</w:t>
      </w:r>
    </w:p>
    <w:p>
      <w:pPr>
        <w:pStyle w:val="ListParagraph"/>
        <w:numPr>
          <w:ilvl w:val="0"/>
          <w:numId w:val="2"/>
        </w:numPr>
        <w:spacing w:after="40" w:before="40"/>
      </w:pPr>
      <w:r>
        <w:rPr>
          <w:rFonts w:ascii="Arial" w:cs="Arial" w:eastAsia="Arial" w:hAnsi="Arial"/>
          <w:color w:val="111827"/>
          <w:sz w:val="22"/>
          <w:szCs w:val="22"/>
        </w:rPr>
        <w:t xml:space="preserve">Architecture must support 10 million enrolled farm profiles without performance degradation.</w:t>
      </w:r>
    </w:p>
    <w:p>
      <w:pPr>
        <w:pStyle w:val="ListParagraph"/>
        <w:numPr>
          <w:ilvl w:val="0"/>
          <w:numId w:val="2"/>
        </w:numPr>
        <w:spacing w:after="40" w:before="40"/>
      </w:pPr>
      <w:r>
        <w:rPr>
          <w:rFonts w:ascii="Arial" w:cs="Arial" w:eastAsia="Arial" w:hAnsi="Arial"/>
          <w:color w:val="111827"/>
          <w:sz w:val="22"/>
          <w:szCs w:val="22"/>
        </w:rPr>
        <w:t xml:space="preserve">Incident reporting system must handle 100,000 simultaneous submissions during a major outbreak event.</w:t>
      </w:r>
    </w:p>
    <w:p>
      <w:pPr>
        <w:pStyle w:val="ListParagraph"/>
        <w:numPr>
          <w:ilvl w:val="0"/>
          <w:numId w:val="2"/>
        </w:numPr>
        <w:spacing w:after="40" w:before="40"/>
      </w:pPr>
      <w:r>
        <w:rPr>
          <w:rFonts w:ascii="Arial" w:cs="Arial" w:eastAsia="Arial" w:hAnsi="Arial"/>
          <w:color w:val="111827"/>
          <w:sz w:val="22"/>
          <w:szCs w:val="22"/>
        </w:rPr>
        <w:t xml:space="preserve">API must support 500 requests per second per national authority integration.</w:t>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9. Risks and Mitigations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rPr>
          <w:tblHeader/>
        </w:trPr>
        <w:tc>
          <w:tcPr>
            <w:tcW w:type="dxa" w:w="32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4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472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Farmer distrust — reporting leads to culling without compensation</w:t>
            </w:r>
          </w:p>
        </w:tc>
        <w:tc>
          <w:tcPr>
            <w:tcW w:type="dxa" w:w="14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B91C1C"/>
                <w:sz w:val="20"/>
                <w:szCs w:val="20"/>
              </w:rPr>
              <w:t xml:space="preserve">HIGH</w:t>
            </w:r>
          </w:p>
        </w:tc>
        <w:tc>
          <w:tcPr>
            <w:tcW w:type="dxa" w:w="472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Compensation scheme integration required at launch in pilot markets. Anonymous reporting option. Transparent communication that VaxWise advocates for farmers, not against them.</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Low smartphone penetration in target markets</w:t>
            </w:r>
          </w:p>
        </w:tc>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91C1C"/>
                <w:sz w:val="20"/>
                <w:szCs w:val="20"/>
              </w:rPr>
              <w:t xml:space="preserve">HIGH</w:t>
            </w:r>
          </w:p>
        </w:tc>
        <w:tc>
          <w:tcPr>
            <w:tcW w:type="dxa" w:w="47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SMS-first interface developed in parallel with app. Community group mode reduces per-farm device requirement. Feature phone support is a launch requirement, not a future roadmap item.</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Connectivity gaps make real-time sync unreliable</w:t>
            </w:r>
          </w:p>
        </w:tc>
        <w:tc>
          <w:tcPr>
            <w:tcW w:type="dxa" w:w="14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B91C1C"/>
                <w:sz w:val="20"/>
                <w:szCs w:val="20"/>
              </w:rPr>
              <w:t xml:space="preserve">HIGH</w:t>
            </w:r>
          </w:p>
        </w:tc>
        <w:tc>
          <w:tcPr>
            <w:tcW w:type="dxa" w:w="472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Offline-first architecture with 90-day local queue. Critical reminders delivered via SMS as fallback. Sync state clearly communicated to users.</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Data quality degradation from bulk manual entry</w:t>
            </w:r>
          </w:p>
        </w:tc>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97706"/>
                <w:sz w:val="20"/>
                <w:szCs w:val="20"/>
              </w:rPr>
              <w:t xml:space="preserve">MED</w:t>
            </w:r>
          </w:p>
        </w:tc>
        <w:tc>
          <w:tcPr>
            <w:tcW w:type="dxa" w:w="47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AI-assisted entry validation flags outliers (e.g., implausibly large herd vaccinated in one day). Extension officer review workflow for suspicious records.</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Government authority data integration complexity</w:t>
            </w:r>
          </w:p>
        </w:tc>
        <w:tc>
          <w:tcPr>
            <w:tcW w:type="dxa" w:w="14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D97706"/>
                <w:sz w:val="20"/>
                <w:szCs w:val="20"/>
              </w:rPr>
              <w:t xml:space="preserve">MED</w:t>
            </w:r>
          </w:p>
        </w:tc>
        <w:tc>
          <w:tcPr>
            <w:tcW w:type="dxa" w:w="472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Pre-built connectors for 15 priority country systems at launch. Standardised REST API published for remaining countries. Dedicated integration engineering resource per national rollout.</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BioScore gaming — farms artificially inflate scores</w:t>
            </w:r>
          </w:p>
        </w:tc>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97706"/>
                <w:sz w:val="20"/>
                <w:szCs w:val="20"/>
              </w:rPr>
              <w:t xml:space="preserve">MED</w:t>
            </w:r>
          </w:p>
        </w:tc>
        <w:tc>
          <w:tcPr>
            <w:tcW w:type="dxa" w:w="47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Extension officer audit component (10% of score) provides human verification. Anomaly detection flags statistically implausible score improvements for review.</w:t>
            </w:r>
          </w:p>
        </w:tc>
      </w:tr>
      <w:tr>
        <w:tc>
          <w:tcPr>
            <w:tcW w:type="dxa" w:w="32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11827"/>
                <w:sz w:val="20"/>
                <w:szCs w:val="20"/>
              </w:rPr>
              <w:t xml:space="preserve">Geopolitical resistance to cross-border data sharing</w:t>
            </w:r>
          </w:p>
        </w:tc>
        <w:tc>
          <w:tcPr>
            <w:tcW w:type="dxa" w:w="14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2E8B57"/>
                <w:sz w:val="20"/>
                <w:szCs w:val="20"/>
              </w:rPr>
              <w:t xml:space="preserve">LOW</w:t>
            </w:r>
          </w:p>
        </w:tc>
        <w:tc>
          <w:tcPr>
            <w:tcW w:type="dxa" w:w="472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Aggregated, anonymised data only shared across borders by default. Full incident data shared only with explicit national authority consent via OneHealth Hub.</w:t>
            </w:r>
          </w:p>
        </w:tc>
      </w:tr>
    </w:tbl>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10. Release Roadmap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Timeline</w:t>
            </w:r>
          </w:p>
        </w:tc>
        <w:tc>
          <w:tcPr>
            <w:tcW w:type="dxa" w:w="592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Deliverables</w:t>
            </w:r>
          </w:p>
        </w:tc>
      </w:tr>
      <w:tr>
        <w:tc>
          <w:tcPr>
            <w:tcW w:type="dxa" w:w="14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F6B3A"/>
                <w:sz w:val="20"/>
                <w:szCs w:val="20"/>
              </w:rPr>
              <w:t xml:space="preserve">Alpha</w:t>
            </w:r>
          </w:p>
        </w:tc>
        <w:tc>
          <w:tcPr>
            <w:tcW w:type="dxa" w:w="20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Q3 2026</w:t>
            </w:r>
          </w:p>
        </w:tc>
        <w:tc>
          <w:tcPr>
            <w:tcW w:type="dxa" w:w="592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Core app (iOS + Android). SOP checklists, vaccination calendar, basic incident reporting. Pilot with 500 commercial farms in Kenya and Vietnam. Extension officer dashboard v1.</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2E8B57"/>
                <w:sz w:val="20"/>
                <w:szCs w:val="20"/>
              </w:rPr>
              <w:t xml:space="preserve">Beta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Q1 2027</w:t>
            </w:r>
          </w:p>
        </w:tc>
        <w:tc>
          <w:tcPr>
            <w:tcW w:type="dxa" w:w="59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BioScore engine. Visitor/vehicle access logs. SMS interface for feature phones. SentinelNet and ChainTrace integrations. Government authority dashboards. 3 language packs.</w:t>
            </w:r>
          </w:p>
        </w:tc>
      </w:tr>
      <w:tr>
        <w:tc>
          <w:tcPr>
            <w:tcW w:type="dxa" w:w="144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bCs/>
                <w:color w:val="1F6B3A"/>
                <w:sz w:val="20"/>
                <w:szCs w:val="20"/>
              </w:rPr>
              <w:t xml:space="preserve">v1.0</w:t>
            </w:r>
          </w:p>
        </w:tc>
        <w:tc>
          <w:tcPr>
            <w:tcW w:type="dxa" w:w="20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Q3 2027</w:t>
            </w:r>
          </w:p>
        </w:tc>
        <w:tc>
          <w:tcPr>
            <w:tcW w:type="dxa" w:w="592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smallholder community mode. 40 language packs + audio. Compensation scheme integrations (5 countries). WOAH WAHIS automated reporting. National database connectors (15 countries). Insurance/subsidy API.</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2E8B57"/>
                <w:sz w:val="20"/>
                <w:szCs w:val="20"/>
              </w:rPr>
              <w:t xml:space="preserve">v2.0</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Q1 2028</w:t>
            </w:r>
          </w:p>
        </w:tc>
        <w:tc>
          <w:tcPr>
            <w:tcW w:type="dxa" w:w="59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diagnostic triage in incident reporting (DiagnostiQ integration). Predictive vaccination scheduling from SentinelNet ML models. Blockchain-anchored vaccination records (ChainTrace deep integration). Crop and aquaculture SOP libraries.</w:t>
            </w:r>
          </w:p>
        </w:tc>
      </w:tr>
    </w:tbl>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11. Assumptions and Dependencies</w:t>
      </w:r>
    </w:p>
    <w:p>
      <w:pPr>
        <w:pStyle w:val="Heading2"/>
        <w:spacing w:after="120" w:before="280"/>
      </w:pPr>
      <w:r>
        <w:rPr>
          <w:rFonts w:ascii="Arial" w:cs="Arial" w:eastAsia="Arial" w:hAnsi="Arial"/>
          <w:b/>
          <w:bCs/>
          <w:color w:val="2E8B57"/>
          <w:sz w:val="26"/>
          <w:szCs w:val="26"/>
        </w:rPr>
        <w:t xml:space="preserve">11.1 Assumptions</w:t>
      </w:r>
    </w:p>
    <w:p>
      <w:pPr>
        <w:pStyle w:val="ListParagraph"/>
        <w:numPr>
          <w:ilvl w:val="0"/>
          <w:numId w:val="2"/>
        </w:numPr>
        <w:spacing w:after="40" w:before="40"/>
      </w:pPr>
      <w:r>
        <w:rPr>
          <w:rFonts w:ascii="Arial" w:cs="Arial" w:eastAsia="Arial" w:hAnsi="Arial"/>
          <w:color w:val="111827"/>
          <w:sz w:val="22"/>
          <w:szCs w:val="22"/>
        </w:rPr>
        <w:t xml:space="preserve">National veterinary and plant health authorities in pilot markets will partner with VaxWise and provide access to existing farm registration databases.</w:t>
      </w:r>
    </w:p>
    <w:p>
      <w:pPr>
        <w:pStyle w:val="ListParagraph"/>
        <w:numPr>
          <w:ilvl w:val="0"/>
          <w:numId w:val="2"/>
        </w:numPr>
        <w:spacing w:after="40" w:before="40"/>
      </w:pPr>
      <w:r>
        <w:rPr>
          <w:rFonts w:ascii="Arial" w:cs="Arial" w:eastAsia="Arial" w:hAnsi="Arial"/>
          <w:color w:val="111827"/>
          <w:sz w:val="22"/>
          <w:szCs w:val="22"/>
        </w:rPr>
        <w:t xml:space="preserve">AgriShield SentinelNet provides regional disease risk maps via API with no more than 6-hour update latency.</w:t>
      </w:r>
    </w:p>
    <w:p>
      <w:pPr>
        <w:pStyle w:val="ListParagraph"/>
        <w:numPr>
          <w:ilvl w:val="0"/>
          <w:numId w:val="2"/>
        </w:numPr>
        <w:spacing w:after="40" w:before="40"/>
      </w:pPr>
      <w:r>
        <w:rPr>
          <w:rFonts w:ascii="Arial" w:cs="Arial" w:eastAsia="Arial" w:hAnsi="Arial"/>
          <w:color w:val="111827"/>
          <w:sz w:val="22"/>
          <w:szCs w:val="22"/>
        </w:rPr>
        <w:t xml:space="preserve">At least one mobile network operator in each pilot market offers an SMS aggregation API compatible with VaxWise.</w:t>
      </w:r>
    </w:p>
    <w:p>
      <w:pPr>
        <w:pStyle w:val="ListParagraph"/>
        <w:numPr>
          <w:ilvl w:val="0"/>
          <w:numId w:val="2"/>
        </w:numPr>
        <w:spacing w:after="40" w:before="40"/>
      </w:pPr>
      <w:r>
        <w:rPr>
          <w:rFonts w:ascii="Arial" w:cs="Arial" w:eastAsia="Arial" w:hAnsi="Arial"/>
          <w:color w:val="111827"/>
          <w:sz w:val="22"/>
          <w:szCs w:val="22"/>
        </w:rPr>
        <w:t xml:space="preserve">Compensation scheme frameworks exist or are being developed in pilot markets; VaxWise does not fund compensation directly.</w:t>
      </w:r>
    </w:p>
    <w:p>
      <w:pPr>
        <w:pStyle w:val="ListParagraph"/>
        <w:numPr>
          <w:ilvl w:val="0"/>
          <w:numId w:val="2"/>
        </w:numPr>
        <w:spacing w:after="40" w:before="40"/>
      </w:pPr>
      <w:r>
        <w:rPr>
          <w:rFonts w:ascii="Arial" w:cs="Arial" w:eastAsia="Arial" w:hAnsi="Arial"/>
          <w:color w:val="111827"/>
          <w:sz w:val="22"/>
          <w:szCs w:val="22"/>
        </w:rPr>
        <w:t xml:space="preserve">WOAH will maintain the WAHIS data submission API with backwards compatibility for the duration of the v1.0 support window.</w:t>
      </w:r>
    </w:p>
    <w:p>
      <w:pPr>
        <w:spacing w:after="0" w:before="0"/>
      </w:pPr>
      <w:r>
        <w:t xml:space="preserve"/>
      </w:r>
    </w:p>
    <w:p>
      <w:pPr>
        <w:pStyle w:val="Heading2"/>
        <w:spacing w:after="120" w:before="280"/>
      </w:pPr>
      <w:r>
        <w:rPr>
          <w:rFonts w:ascii="Arial" w:cs="Arial" w:eastAsia="Arial" w:hAnsi="Arial"/>
          <w:b/>
          <w:bCs/>
          <w:color w:val="2E8B57"/>
          <w:sz w:val="26"/>
          <w:szCs w:val="26"/>
        </w:rPr>
        <w:t xml:space="preserve">11.2 Dependencies</w:t>
      </w:r>
    </w:p>
    <w:p>
      <w:pPr>
        <w:pStyle w:val="ListParagraph"/>
        <w:numPr>
          <w:ilvl w:val="0"/>
          <w:numId w:val="2"/>
        </w:numPr>
        <w:spacing w:after="40" w:before="40"/>
      </w:pPr>
      <w:r>
        <w:rPr>
          <w:rFonts w:ascii="Arial" w:cs="Arial" w:eastAsia="Arial" w:hAnsi="Arial"/>
          <w:color w:val="111827"/>
          <w:sz w:val="22"/>
          <w:szCs w:val="22"/>
        </w:rPr>
        <w:t xml:space="preserve">AgriShield platform: SentinelNet (disease risk data), ChainTrace (supply chain linking), OneHealth Hub (authority reporting)</w:t>
      </w:r>
    </w:p>
    <w:p>
      <w:pPr>
        <w:pStyle w:val="ListParagraph"/>
        <w:numPr>
          <w:ilvl w:val="0"/>
          <w:numId w:val="2"/>
        </w:numPr>
        <w:spacing w:after="40" w:before="40"/>
      </w:pPr>
      <w:r>
        <w:rPr>
          <w:rFonts w:ascii="Arial" w:cs="Arial" w:eastAsia="Arial" w:hAnsi="Arial"/>
          <w:color w:val="111827"/>
          <w:sz w:val="22"/>
          <w:szCs w:val="22"/>
        </w:rPr>
        <w:t xml:space="preserve">Third-party: SMS gateway provider (Twilio or Africa's Talking); cloud infrastructure (AWS or Azure with in-country data residency nodes)</w:t>
      </w:r>
    </w:p>
    <w:p>
      <w:pPr>
        <w:pStyle w:val="ListParagraph"/>
        <w:numPr>
          <w:ilvl w:val="0"/>
          <w:numId w:val="2"/>
        </w:numPr>
        <w:spacing w:after="40" w:before="40"/>
      </w:pPr>
      <w:r>
        <w:rPr>
          <w:rFonts w:ascii="Arial" w:cs="Arial" w:eastAsia="Arial" w:hAnsi="Arial"/>
          <w:color w:val="111827"/>
          <w:sz w:val="22"/>
          <w:szCs w:val="22"/>
        </w:rPr>
        <w:t xml:space="preserve">Government: national farm registration data; authority API access; regulatory approval for automated WAHIS submission</w:t>
      </w:r>
    </w:p>
    <w:p>
      <w:pPr>
        <w:pStyle w:val="ListParagraph"/>
        <w:numPr>
          <w:ilvl w:val="0"/>
          <w:numId w:val="2"/>
        </w:numPr>
        <w:spacing w:after="40" w:before="40"/>
      </w:pPr>
      <w:r>
        <w:rPr>
          <w:rFonts w:ascii="Arial" w:cs="Arial" w:eastAsia="Arial" w:hAnsi="Arial"/>
          <w:color w:val="111827"/>
          <w:sz w:val="22"/>
          <w:szCs w:val="22"/>
        </w:rPr>
        <w:t xml:space="preserve">Research: FAO/WOAH SOP libraries licensed for adaptation and distribution within the platform</w:t>
      </w:r>
    </w:p>
    <w:p>
      <w:pPr>
        <w:pStyle w:val="Heading1"/>
        <w:pBdr>
          <w:bottom w:val="single" w:color="1F6B3A" w:sz="8" w:space="6"/>
        </w:pBdr>
        <w:spacing w:after="160" w:before="360"/>
      </w:pPr>
      <w:r>
        <w:rPr>
          <w:rFonts w:ascii="Arial" w:cs="Arial" w:eastAsia="Arial" w:hAnsi="Arial"/>
          <w:b/>
          <w:bCs/>
          <w:color w:val="1F6B3A"/>
          <w:sz w:val="32"/>
          <w:szCs w:val="32"/>
        </w:rPr>
        <w:t xml:space="preserve">12. Open Questions</w:t>
      </w:r>
    </w:p>
    <w:p>
      <w:pPr>
        <w:pStyle w:val="ListParagraph"/>
        <w:numPr>
          <w:ilvl w:val="0"/>
          <w:numId w:val="2"/>
        </w:numPr>
        <w:spacing w:after="40" w:before="40"/>
      </w:pPr>
      <w:r>
        <w:rPr>
          <w:rFonts w:ascii="Arial" w:cs="Arial" w:eastAsia="Arial" w:hAnsi="Arial"/>
          <w:color w:val="111827"/>
          <w:sz w:val="22"/>
          <w:szCs w:val="22"/>
        </w:rPr>
        <w:t xml:space="preserve">How should BioScore incentive thresholds be calibrated per country, given variation in national biosecurity standards and available subsidy schemes?</w:t>
      </w:r>
    </w:p>
    <w:p>
      <w:pPr>
        <w:pStyle w:val="ListParagraph"/>
        <w:numPr>
          <w:ilvl w:val="0"/>
          <w:numId w:val="2"/>
        </w:numPr>
        <w:spacing w:after="40" w:before="40"/>
      </w:pPr>
      <w:r>
        <w:rPr>
          <w:rFonts w:ascii="Arial" w:cs="Arial" w:eastAsia="Arial" w:hAnsi="Arial"/>
          <w:color w:val="111827"/>
          <w:sz w:val="22"/>
          <w:szCs w:val="22"/>
        </w:rPr>
        <w:t xml:space="preserve">What is the minimum viable compensation scheme commitment required from a national authority before VaxWise incident reporting can be credibly promoted to farmers?</w:t>
      </w:r>
    </w:p>
    <w:p>
      <w:pPr>
        <w:pStyle w:val="ListParagraph"/>
        <w:numPr>
          <w:ilvl w:val="0"/>
          <w:numId w:val="2"/>
        </w:numPr>
        <w:spacing w:after="40" w:before="40"/>
      </w:pPr>
      <w:r>
        <w:rPr>
          <w:rFonts w:ascii="Arial" w:cs="Arial" w:eastAsia="Arial" w:hAnsi="Arial"/>
          <w:color w:val="111827"/>
          <w:sz w:val="22"/>
          <w:szCs w:val="22"/>
        </w:rPr>
        <w:t xml:space="preserve">Should anonymous incident reports be visible to national authorities in aggregate-only form, or should there be a mechanism for follow-up with anonymous reporters who opt in?</w:t>
      </w:r>
    </w:p>
    <w:p>
      <w:pPr>
        <w:pStyle w:val="ListParagraph"/>
        <w:numPr>
          <w:ilvl w:val="0"/>
          <w:numId w:val="2"/>
        </w:numPr>
        <w:spacing w:after="40" w:before="40"/>
      </w:pPr>
      <w:r>
        <w:rPr>
          <w:rFonts w:ascii="Arial" w:cs="Arial" w:eastAsia="Arial" w:hAnsi="Arial"/>
          <w:color w:val="111827"/>
          <w:sz w:val="22"/>
          <w:szCs w:val="22"/>
        </w:rPr>
        <w:t xml:space="preserve">What verification mechanism is acceptable to WOAH for automated WAHIS submissions — digital signature from national authority, AI-reviewed human confirmation, or both?</w:t>
      </w:r>
    </w:p>
    <w:p>
      <w:pPr>
        <w:pStyle w:val="ListParagraph"/>
        <w:numPr>
          <w:ilvl w:val="0"/>
          <w:numId w:val="2"/>
        </w:numPr>
        <w:spacing w:after="40" w:before="40"/>
      </w:pPr>
      <w:r>
        <w:rPr>
          <w:rFonts w:ascii="Arial" w:cs="Arial" w:eastAsia="Arial" w:hAnsi="Arial"/>
          <w:color w:val="111827"/>
          <w:sz w:val="22"/>
          <w:szCs w:val="22"/>
        </w:rPr>
        <w:t xml:space="preserve">How will BioScore be treated legally in countries where it influences subsidy allocation — is the score subject to administrative appeal?</w:t>
      </w:r>
    </w:p>
    <w:p>
      <w:pPr>
        <w:pStyle w:val="ListParagraph"/>
        <w:numPr>
          <w:ilvl w:val="0"/>
          <w:numId w:val="2"/>
        </w:numPr>
        <w:spacing w:after="40" w:before="40"/>
      </w:pPr>
      <w:r>
        <w:rPr>
          <w:rFonts w:ascii="Arial" w:cs="Arial" w:eastAsia="Arial" w:hAnsi="Arial"/>
          <w:color w:val="111827"/>
          <w:sz w:val="22"/>
          <w:szCs w:val="22"/>
        </w:rPr>
        <w:t xml:space="preserve">Should the platform support crop/plant biosecurity SOPs in v1.0, or limit the initial scope to livestock and aquaculture?</w:t>
      </w:r>
    </w:p>
    <w:p>
      <w:r>
        <w:br w:type="page"/>
      </w:r>
    </w:p>
    <w:p>
      <w:pPr>
        <w:pStyle w:val="Heading1"/>
        <w:pBdr>
          <w:bottom w:val="single" w:color="1F6B3A" w:sz="8" w:space="6"/>
        </w:pBdr>
        <w:spacing w:after="160" w:before="360"/>
      </w:pPr>
      <w:r>
        <w:rPr>
          <w:rFonts w:ascii="Arial" w:cs="Arial" w:eastAsia="Arial" w:hAnsi="Arial"/>
          <w:b/>
          <w:bCs/>
          <w:color w:val="1F6B3A"/>
          <w:sz w:val="32"/>
          <w:szCs w:val="32"/>
        </w:rPr>
        <w:t xml:space="preserve">13. Document Approvals</w:t>
      </w:r>
    </w:p>
    <w:p>
      <w:pPr>
        <w:spacing w:after="100" w:before="60"/>
      </w:pPr>
      <w:r>
        <w:rPr>
          <w:rFonts w:ascii="Arial" w:cs="Arial" w:eastAsia="Arial" w:hAnsi="Arial"/>
          <w:color w:val="111827"/>
          <w:sz w:val="22"/>
          <w:szCs w:val="22"/>
        </w:rPr>
        <w:t xml:space="preserve">The following stakeholders are required to review and approve this PRD before development commences on the Alpha phase.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40"/>
        <w:gridCol w:w="2000"/>
        <w:gridCol w:w="2000"/>
      </w:tblGrid>
      <w:tr>
        <w:trPr>
          <w:tblHeader/>
        </w:trPr>
        <w:tc>
          <w:tcPr>
            <w:tcW w:type="dxa" w:w="312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224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0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000"/>
            <w:tcBorders>
              <w:top w:val="single" w:color="1F6B3A" w:sz="1"/>
              <w:left w:val="single" w:color="1F6B3A" w:sz="1"/>
              <w:bottom w:val="single" w:color="1F6B3A" w:sz="1"/>
              <w:right w:val="single" w:color="1F6B3A" w:sz="1"/>
            </w:tcBorders>
            <w:shd w:fill="1F6B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Signature</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Product Lead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Engineering Lead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Head of Partnerships (FAO/WOAH)</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2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Field Operations Lead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2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Legal / Data Privacy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bl>
    <w:p>
      <w:pPr>
        <w:spacing w:after="0" w:before="0"/>
      </w:pPr>
      <w:r>
        <w:t xml:space="preserve"/>
      </w:r>
    </w:p>
    <w:p>
      <w:pPr>
        <w:spacing w:after="0" w:before="0"/>
      </w:pPr>
      <w:r>
        <w:t xml:space="preserve"/>
      </w:r>
    </w:p>
    <w:p>
      <w:pPr>
        <w:spacing w:after="60" w:before="40"/>
      </w:pPr>
      <w:r>
        <w:rPr>
          <w:rFonts w:ascii="Arial" w:cs="Arial" w:eastAsia="Arial" w:hAnsi="Arial"/>
          <w:i/>
          <w:iCs/>
          <w:color w:val="6B7280"/>
          <w:sz w:val="20"/>
          <w:szCs w:val="20"/>
        </w:rPr>
        <w:t xml:space="preserve">VaxWise PRD v1.0 — Confidential. For internal review and planning purposes only. Not for external distribution without prior written approval from the VaxWise Product Lead.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360"/>
      </w:tabs>
    </w:pPr>
    <w:r>
      <w:rPr>
        <w:rFonts w:ascii="Arial" w:cs="Arial" w:eastAsia="Arial" w:hAnsi="Arial"/>
        <w:color w:val="6B7280"/>
        <w:sz w:val="16"/>
        <w:szCs w:val="16"/>
      </w:rPr>
      <w:t xml:space="preserve">Confidential — VaxWise Product Team</w:t>
    </w:r>
    <w:r>
      <w:t xml:space="preserve">	</w:t>
    </w:r>
    <w:r>
      <w:rPr>
        <w:rFonts w:ascii="Arial" w:cs="Arial" w:eastAsia="Arial" w:hAnsi="Arial"/>
        <w:color w:val="6B72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A" w:sz="4" w:space="6"/>
      </w:pBdr>
      <w:tabs>
        <w:tab w:val="right" w:pos="9360"/>
      </w:tabs>
    </w:pPr>
    <w:r>
      <w:rPr>
        <w:rFonts w:ascii="Arial" w:cs="Arial" w:eastAsia="Arial" w:hAnsi="Arial"/>
        <w:b/>
        <w:bCs/>
        <w:color w:val="1F6B3A"/>
        <w:sz w:val="18"/>
        <w:szCs w:val="18"/>
      </w:rPr>
      <w:t xml:space="preserve">VaxWise — On-Farm Biosecurity Suite</w:t>
    </w:r>
    <w:r>
      <w:t xml:space="preserve">	</w:t>
    </w:r>
    <w:r>
      <w:rPr>
        <w:rFonts w:ascii="Arial" w:cs="Arial" w:eastAsia="Arial" w:hAnsi="Arial"/>
        <w:color w:val="6B7280"/>
        <w:sz w:val="18"/>
        <w:szCs w:val="18"/>
      </w:rPr>
      <w:t xml:space="preserve">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6B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B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2026-05-02T13:45:43.203Z</dcterms:created>
  <dcterms:modified xsi:type="dcterms:W3CDTF">2026-05-02T13:45:43.204Z</dcterms:modified>
</cp:coreProperties>
</file>

<file path=docProps/custom.xml><?xml version="1.0" encoding="utf-8"?>
<Properties xmlns="http://schemas.openxmlformats.org/officeDocument/2006/custom-properties" xmlns:vt="http://schemas.openxmlformats.org/officeDocument/2006/docPropsVTypes"/>
</file>