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02060"/>
          <w:sz w:val="44"/>
        </w:rPr>
        <w:t>Educore AI Framework Implementation Handbook</w:t>
      </w:r>
    </w:p>
    <w:p>
      <w:pPr>
        <w:spacing w:after="320"/>
        <w:jc w:val="center"/>
      </w:pPr>
      <w:r>
        <w:rPr>
          <w:rFonts w:ascii="Arial" w:hAnsi="Arial"/>
          <w:i/>
          <w:color w:val="505050"/>
          <w:sz w:val="24"/>
        </w:rPr>
        <w:t>Master Operating Authority, AIMS Architecture, LTCES Decision Filters &amp; Technical Topology | Version 2.0</w:t>
      </w:r>
    </w:p>
    <w:p>
      <w:pPr>
        <w:keepNext/>
        <w:spacing w:before="280" w:after="120"/>
      </w:pPr>
      <w:r>
        <w:rPr>
          <w:rFonts w:ascii="Arial" w:hAnsi="Arial"/>
          <w:b/>
          <w:color w:val="002060"/>
          <w:sz w:val="30"/>
        </w:rPr>
        <w:t>1. Central Governance Charter &amp; Modular Hub &amp; Spokes Model</w:t>
      </w:r>
    </w:p>
    <w:p>
      <w:r>
        <w:t>This Handbook serves as the master operating authority for the Educore AI Governance Framework. Operating under a modular Hub and Spokes architecture, central governance sets overarching strategy, data protection boundaries, security standards, and AIMS compliance, while individual spokes (Policy, Action Plan, Discovery Audit, Cognitive Bypass Checklist) govern domain-specific execution across Sentinel Kabitaka, Trident College, Frontier, and the Educore Teacher Academies.</w:t>
      </w:r>
    </w:p>
    <w:p>
      <w:pPr>
        <w:keepNext/>
        <w:spacing w:before="280" w:after="120"/>
      </w:pPr>
      <w:r>
        <w:rPr>
          <w:rFonts w:ascii="Arial" w:hAnsi="Arial"/>
          <w:b/>
          <w:color w:val="002060"/>
          <w:sz w:val="30"/>
        </w:rPr>
        <w:t>2. Microsoft Cloud, Identity &amp; Purview Security Topology</w:t>
      </w:r>
    </w:p>
    <w:p>
      <w:r>
        <w:t>Educore's technical architecture leverages a Microsoft-first cloud stack: Microsoft Entra ID (Azure AD) Single Sign-On (SSO) for identity and role-based access control (RBAC); Microsoft Purview Information Protection for data loss prevention (DLP); Azure OpenAI Services for enterprise model endpoints; and Azure AI Search for secure, SharePoint-indexed Retrieval-Augmented Generation (RAG). All enterprise tenants operate under strict zero data retention contracts.</w:t>
      </w:r>
    </w:p>
    <w:p>
      <w:pPr>
        <w:keepNext/>
        <w:spacing w:before="280" w:after="120"/>
      </w:pPr>
      <w:r>
        <w:rPr>
          <w:rFonts w:ascii="Arial" w:hAnsi="Arial"/>
          <w:b/>
          <w:color w:val="002060"/>
          <w:sz w:val="30"/>
        </w:rPr>
        <w:t>3. Progressive Agent Autonomy Spectrum &amp; AI Agent Register</w:t>
      </w:r>
    </w:p>
    <w:p>
      <w:r>
        <w:t>To manage AI agents effectively, Educore establishes an explicit 4-level Progressive Agent Autonomy Spectrum:</w:t>
      </w:r>
    </w:p>
    <w:p>
      <w:pPr>
        <w:pStyle w:val="ListBullet"/>
        <w:spacing w:after="60"/>
      </w:pPr>
      <w:r>
        <w:rPr>
          <w:b/>
          <w:color w:val="002060"/>
        </w:rPr>
        <w:t xml:space="preserve">Level 1 (Read Only): </w:t>
      </w:r>
      <w:r>
        <w:t>Agent queries documents and synthesizes summaries; zero system modification rights.</w:t>
      </w:r>
    </w:p>
    <w:p>
      <w:pPr>
        <w:pStyle w:val="ListBullet"/>
        <w:spacing w:after="60"/>
      </w:pPr>
      <w:r>
        <w:rPr>
          <w:b/>
          <w:color w:val="002060"/>
        </w:rPr>
        <w:t xml:space="preserve">Level 2 (Recommend): </w:t>
      </w:r>
      <w:r>
        <w:t>Agent generates recommendations or draft options for human approval; zero direct execution.</w:t>
      </w:r>
    </w:p>
    <w:p>
      <w:pPr>
        <w:pStyle w:val="ListBullet"/>
        <w:spacing w:after="60"/>
      </w:pPr>
      <w:r>
        <w:rPr>
          <w:b/>
          <w:color w:val="002060"/>
        </w:rPr>
        <w:t xml:space="preserve">Level 3 (Assist): </w:t>
      </w:r>
      <w:r>
        <w:t>Agent executes pre-approved sub-tasks under direct human supervision.</w:t>
      </w:r>
    </w:p>
    <w:p>
      <w:pPr>
        <w:pStyle w:val="ListBullet"/>
        <w:spacing w:after="60"/>
      </w:pPr>
      <w:r>
        <w:rPr>
          <w:b/>
          <w:color w:val="002060"/>
        </w:rPr>
        <w:t xml:space="preserve">Level 4 (Act - Autonomous): </w:t>
      </w:r>
      <w:r>
        <w:t>Agent executes system actions independently. Restricted to low-risk administrative workflows following Steering Committee sign-off.</w:t>
      </w:r>
    </w:p>
    <w:p>
      <w:r>
        <w:t>All deployed AI agents must be logged in the Central AI Agent Register, detailing agent name, business owner, technical scope, autonomy level, and risk tier.</w:t>
      </w:r>
    </w:p>
    <w:p>
      <w:pPr>
        <w:keepNext/>
        <w:spacing w:before="280" w:after="120"/>
      </w:pPr>
      <w:r>
        <w:rPr>
          <w:rFonts w:ascii="Arial" w:hAnsi="Arial"/>
          <w:b/>
          <w:color w:val="002060"/>
          <w:sz w:val="30"/>
        </w:rPr>
        <w:t>4. ISO/IEC 42001:2023 AIMS Control Framework &amp; 6-Step AIIA SOP</w:t>
      </w:r>
    </w:p>
    <w:p>
      <w:r>
        <w:t>Educore aligns its Artificial Intelligence Management System (AIMS) with ISO/IEC 42001:2023 across 38 Annex A controls. Before any high-risk AI tool is deployed, it must complete the 6-Step AI Impact Assessment (AIIA) Workflow: (1) System Scoping &amp; Intent; (2) Data &amp; Privacy Impact Analysis; (3) Algorithmic Risk Identification; (4) Non-Software Guardrail Mapping; (5) Stakeholder Impact Review; and (6) Steering Committee Authorization.</w:t>
      </w:r>
    </w:p>
    <w:p>
      <w:pPr>
        <w:keepNext/>
        <w:spacing w:before="280" w:after="120"/>
      </w:pPr>
      <w:r>
        <w:rPr>
          <w:rFonts w:ascii="Arial" w:hAnsi="Arial"/>
          <w:b/>
          <w:color w:val="002060"/>
          <w:sz w:val="30"/>
        </w:rPr>
        <w:t>5. Trident LTCES Evaluation &amp; 7-Question Business Case Review</w:t>
      </w:r>
    </w:p>
    <w:p>
      <w:r>
        <w:t>Every proposed AI tool must pass the Trident LTCES Framework (Learning Purpose, Teacher Empowerment, Community Alignment, Ethical Safety, Sustainability) and the 7-Question Business Case Test to verify ROI, technical feasibility, and alignment before entering pilot testing.</w:t>
      </w:r>
    </w:p>
    <w:p>
      <w:pPr>
        <w:keepNext/>
        <w:spacing w:before="280" w:after="120"/>
      </w:pPr>
      <w:r>
        <w:rPr>
          <w:rFonts w:ascii="Arial" w:hAnsi="Arial"/>
          <w:b/>
          <w:color w:val="002060"/>
          <w:sz w:val="30"/>
        </w:rPr>
        <w:t>6. Statutory Alignment &amp; Regulatory Frameworks</w:t>
      </w:r>
    </w:p>
    <w:p>
      <w:r>
        <w:t>The framework satisfies international and national legal standards, including the Zambian Data Protection Act (No. 3 of 2021) for statutory data controller obligations, EU AI Act risk categorizations (Annex III high-risk compliance and Article 5 prohibited red lines), OECD AI Principles, NIST AI RMF, and the Council of Europe Framework Convention on Artificial Intelligence.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8"/>
      </w:rPr>
      <w:t xml:space="preserve">Educore Services AI Governance Framework v2.0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196E0EA18B8A34D99B89ED863885C4B" ma:contentTypeVersion="18" ma:contentTypeDescription="Create a new document." ma:contentTypeScope="" ma:versionID="a84182f585645347cf84030d44d059c5">
  <xsd:schema xmlns:xsd="http://www.w3.org/2001/XMLSchema" xmlns:xs="http://www.w3.org/2001/XMLSchema" xmlns:p="http://schemas.microsoft.com/office/2006/metadata/properties" xmlns:ns2="771bb060-2b79-46f9-852d-fb659998ccea" xmlns:ns3="a783dab6-1ccd-495d-8d36-75f7e2558d6c" targetNamespace="http://schemas.microsoft.com/office/2006/metadata/properties" ma:root="true" ma:fieldsID="77b8c9e6baa74e5fa98c358e5e39cb03" ns2:_="" ns3:_="">
    <xsd:import namespace="771bb060-2b79-46f9-852d-fb659998ccea"/>
    <xsd:import namespace="a783dab6-1ccd-495d-8d36-75f7e2558d6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1bb060-2b79-46f9-852d-fb659998cc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67af5c4-7bb6-42f4-b499-9fec583fe8c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83dab6-1ccd-495d-8d36-75f7e2558d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768dda4-b66b-486e-bb38-f024d881c4b1}" ma:internalName="TaxCatchAll" ma:showField="CatchAllData" ma:web="a783dab6-1ccd-495d-8d36-75f7e2558d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71bb060-2b79-46f9-852d-fb659998ccea">
      <Terms xmlns="http://schemas.microsoft.com/office/infopath/2007/PartnerControls"/>
    </lcf76f155ced4ddcb4097134ff3c332f>
    <TaxCatchAll xmlns="a783dab6-1ccd-495d-8d36-75f7e2558d6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DEB3EA-31D0-420A-B0D5-085D331390D8}"/>
</file>

<file path=customXml/itemProps3.xml><?xml version="1.0" encoding="utf-8"?>
<ds:datastoreItem xmlns:ds="http://schemas.openxmlformats.org/officeDocument/2006/customXml" ds:itemID="{A36138B6-69FC-4647-8A0D-6E57ACFA3608}"/>
</file>

<file path=customXml/itemProps4.xml><?xml version="1.0" encoding="utf-8"?>
<ds:datastoreItem xmlns:ds="http://schemas.openxmlformats.org/officeDocument/2006/customXml" ds:itemID="{0F2702DA-D4F3-4F37-B9BD-2CAF456228B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0x0101007196E0EA18B8A34D99B89ED863885C4B</vt:lpwstr>
  </property>
</Properties>
</file>