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color w:val="003366"/>
          <w:sz w:val="44"/>
        </w:rPr>
        <w:t>EDUCORE SERVICES ORGANIZATIONAL AI GOVERNANCE POLICY</w:t>
      </w:r>
    </w:p>
    <w:p>
      <w:pPr>
        <w:spacing w:before="0" w:after="320"/>
        <w:jc w:val="left"/>
      </w:pPr>
      <w:r>
        <w:rPr>
          <w:rFonts w:ascii="Arial" w:hAnsi="Arial"/>
          <w:i/>
          <w:color w:val="505050"/>
          <w:sz w:val="24"/>
        </w:rPr>
        <w:t>DOC-01: Daily Operational Rules, Departmental Guardrails &amp; Decision Filters (v3.0)</w:t>
      </w:r>
    </w:p>
    <w:tbl>
      <w:tblPr>
        <w:tblW w:type="auto" w:w="0"/>
        <w:jc w:val="center"/>
        <w:tblLayout w:type="fixed"/>
        <w:tblLook w:firstColumn="1" w:firstRow="1" w:lastColumn="0" w:lastRow="0" w:noHBand="0" w:noVBand="1" w:val="04A0"/>
      </w:tblPr>
      <w:tblGrid>
        <w:gridCol w:w="9936"/>
      </w:tblGrid>
      <w:tr>
        <w:tc>
          <w:tcPr>
            <w:tcW w:type="dxa" w:w="9792"/>
            <w:shd w:fill="F2F5F9" w:val="clear"/>
            <w:tcMar>
              <w:top w:w="140" w:type="dxa"/>
              <w:bottom w:w="140" w:type="dxa"/>
              <w:left w:w="180" w:type="dxa"/>
              <w:right w:w="180" w:type="dxa"/>
            </w:tcMar>
            <w:tcBorders>
              <w:left w:val="single" w:sz="24" w:space="0" w:color="003366"/>
              <w:top w:val="none"/>
              <w:bottom w:val="none"/>
              <w:right w:val="none"/>
            </w:tcBorders>
          </w:tcPr>
          <w:p>
            <w:pPr>
              <w:spacing w:before="0" w:after="60"/>
            </w:pPr>
            <w:r>
              <w:rPr>
                <w:rFonts w:ascii="Arial" w:hAnsi="Arial"/>
                <w:b/>
                <w:color w:val="003366"/>
                <w:sz w:val="21"/>
              </w:rPr>
              <w:t>AT-A-GLANCE OPERATIONAL SUMMARY (LOOKUP TIME &lt; 10 SECONDS)</w:t>
              <w:br/>
            </w:r>
            <w:r>
              <w:rPr>
                <w:rFonts w:ascii="Arial" w:hAnsi="Arial"/>
                <w:color w:val="282828"/>
                <w:sz w:val="19"/>
              </w:rPr>
              <w:t>• Primary Objective: Establish immediate, enforceable operational boundaries, software tool classifications, departmental Dos &amp; Don'ts, and decision filters across all Educore units.</w:t>
              <w:br/>
              <w:t>• Scope: All Central Administration staff, Trident College, Sentinel Kabitaka, Frontier, Teacher Academies, Educators, and Students.</w:t>
              <w:br/>
              <w:t>• The Golden Rule: AI must make Educore staff and students more capable, not less important. Never input unencrypted student PII, Zambian NRC numbers, payroll, or confidential mining partner agreements (FQM) into unapproved public AI tools.</w:t>
              <w:br/>
              <w:t>• Approved Software: Microsoft 365 Copilot Enterprise, Azure OpenAI Services, M365 Copilot Finance (Authenticated via Entra ID SSO).</w:t>
              <w:br/>
              <w:t>• Prohibited Software: Unsanctioned consumer LLMs (ChatGPT Free/Plus, Gemini Free, Claude Personal, DeepL Free) are STRICTLY BANNED for company work.</w:t>
              <w:br/>
              <w:t>• Incident Contact: ai-governance@educore.ac.zm (24-Hour Acknowledgment SLA).</w:t>
            </w:r>
          </w:p>
        </w:tc>
      </w:tr>
    </w:tbl>
    <w:p>
      <w:pPr>
        <w:spacing w:after="80"/>
      </w:pPr>
    </w:p>
    <w:p>
      <w:pPr>
        <w:keepNext/>
        <w:spacing w:before="320" w:after="120"/>
      </w:pPr>
      <w:r>
        <w:rPr>
          <w:rFonts w:ascii="Arial" w:hAnsi="Arial"/>
          <w:b/>
          <w:color w:val="003366"/>
          <w:sz w:val="30"/>
        </w:rPr>
        <w:t>1. Authority, Scope &amp; Decision Screening Frameworks</w:t>
      </w:r>
    </w:p>
    <w:p>
      <w:pPr>
        <w:spacing w:before="0" w:after="100" w:line="276" w:lineRule="auto"/>
      </w:pPr>
      <w:r>
        <w:rPr>
          <w:rFonts w:ascii="Arial" w:hAnsi="Arial"/>
          <w:color w:val="1E1E1E"/>
          <w:sz w:val="20"/>
        </w:rPr>
        <w:t>This policy establishes the official operational rules governing Artificial Intelligence deployment across Educore Services Limited. It operates under a Dual-Track Governance Architecture to balance corporate operational security with pedagogical excellence:</w:t>
      </w:r>
    </w:p>
    <w:p>
      <w:pPr>
        <w:pStyle w:val="ListBullet"/>
        <w:spacing w:before="0" w:after="60" w:line="276" w:lineRule="auto"/>
      </w:pPr>
      <w:r>
        <w:rPr>
          <w:rFonts w:ascii="Arial" w:hAnsi="Arial"/>
          <w:b/>
          <w:color w:val="141414"/>
          <w:sz w:val="20"/>
        </w:rPr>
        <w:t xml:space="preserve">Track 1: Enterprise Business Operations — </w:t>
      </w:r>
      <w:r>
        <w:rPr>
          <w:rFonts w:ascii="Arial" w:hAnsi="Arial"/>
          <w:color w:val="1E1E1E"/>
          <w:sz w:val="20"/>
        </w:rPr>
        <w:t>Governs Finance, Procurement, IT Infrastructure, HR, Legal, Facilities, and Corporate Operations. Focuses strictly on data security, financial calculation accuracy, vendor contract vetting, PII protection under the Zambian Data Protection Act (No. 3 of 2021), and statutory legal compliance.</w:t>
      </w:r>
    </w:p>
    <w:p>
      <w:pPr>
        <w:pStyle w:val="ListBullet"/>
        <w:spacing w:before="0" w:after="60" w:line="276" w:lineRule="auto"/>
      </w:pPr>
      <w:r>
        <w:rPr>
          <w:rFonts w:ascii="Arial" w:hAnsi="Arial"/>
          <w:b/>
          <w:color w:val="141414"/>
          <w:sz w:val="20"/>
        </w:rPr>
        <w:t xml:space="preserve">Track 2: Academic &amp; Pedagogical Learning — </w:t>
      </w:r>
      <w:r>
        <w:rPr>
          <w:rFonts w:ascii="Arial" w:hAnsi="Arial"/>
          <w:color w:val="1E1E1E"/>
          <w:sz w:val="20"/>
        </w:rPr>
        <w:t>Governs Teaching Faculty, Curriculum Leads, Academy Instructors, and Students. Focuses on process-based learning, human-in-the-loop verification, Adelaide-style intellectual ownership declarations, and 4-Level Assessment Use Modes.</w:t>
      </w:r>
    </w:p>
    <w:p>
      <w:pPr>
        <w:keepNext/>
        <w:spacing w:before="240" w:after="80"/>
      </w:pPr>
      <w:r>
        <w:rPr>
          <w:rFonts w:ascii="Arial" w:hAnsi="Arial"/>
          <w:b/>
          <w:color w:val="2F5496"/>
          <w:sz w:val="25"/>
        </w:rPr>
        <w:t>1.1 The Trident LTCES Pre-Pilot Decision Filter</w:t>
      </w:r>
    </w:p>
    <w:p>
      <w:pPr>
        <w:spacing w:before="0" w:after="100" w:line="276" w:lineRule="auto"/>
      </w:pPr>
      <w:r>
        <w:rPr>
          <w:rFonts w:ascii="Arial" w:hAnsi="Arial"/>
          <w:color w:val="1E1E1E"/>
          <w:sz w:val="20"/>
        </w:rPr>
        <w:t>Before any new AI software, tool, or workflow is submitted for pilot testing or departmental adoption, it must pass the 5-dimension LTCES evaluation framework:</w:t>
      </w:r>
    </w:p>
    <w:p>
      <w:pPr>
        <w:pStyle w:val="ListBullet"/>
        <w:spacing w:before="0" w:after="60" w:line="276" w:lineRule="auto"/>
      </w:pPr>
      <w:r>
        <w:rPr>
          <w:rFonts w:ascii="Arial" w:hAnsi="Arial"/>
          <w:b/>
          <w:color w:val="141414"/>
          <w:sz w:val="20"/>
        </w:rPr>
        <w:t xml:space="preserve">• L – Learning Impact: </w:t>
      </w:r>
      <w:r>
        <w:rPr>
          <w:rFonts w:ascii="Arial" w:hAnsi="Arial"/>
          <w:color w:val="1E1E1E"/>
          <w:sz w:val="20"/>
        </w:rPr>
        <w:t>Does the tool directly enhance educational quality, student engagement, or a defined learning outcome?</w:t>
      </w:r>
    </w:p>
    <w:p>
      <w:pPr>
        <w:pStyle w:val="ListBullet"/>
        <w:spacing w:before="0" w:after="60" w:line="276" w:lineRule="auto"/>
      </w:pPr>
      <w:r>
        <w:rPr>
          <w:rFonts w:ascii="Arial" w:hAnsi="Arial"/>
          <w:b/>
          <w:color w:val="141414"/>
          <w:sz w:val="20"/>
        </w:rPr>
        <w:t xml:space="preserve">• T – Teacher &amp; Staff Empowerment: </w:t>
      </w:r>
      <w:r>
        <w:rPr>
          <w:rFonts w:ascii="Arial" w:hAnsi="Arial"/>
          <w:color w:val="1E1E1E"/>
          <w:sz w:val="20"/>
        </w:rPr>
        <w:t>Does it empower teaching and administrative staff, reduce friction, and save workload without creating technological dependency?</w:t>
      </w:r>
    </w:p>
    <w:p>
      <w:pPr>
        <w:pStyle w:val="ListBullet"/>
        <w:spacing w:before="0" w:after="60" w:line="276" w:lineRule="auto"/>
      </w:pPr>
      <w:r>
        <w:rPr>
          <w:rFonts w:ascii="Arial" w:hAnsi="Arial"/>
          <w:b/>
          <w:color w:val="141414"/>
          <w:sz w:val="20"/>
        </w:rPr>
        <w:t xml:space="preserve">• C – Community &amp; Cultural Alignment: </w:t>
      </w:r>
      <w:r>
        <w:rPr>
          <w:rFonts w:ascii="Arial" w:hAnsi="Arial"/>
          <w:color w:val="1E1E1E"/>
          <w:sz w:val="20"/>
        </w:rPr>
        <w:t>Does it align with community culture, preserve trust, and safeguard stakeholder wellbeing across all campus sites?</w:t>
      </w:r>
    </w:p>
    <w:p>
      <w:pPr>
        <w:pStyle w:val="ListBullet"/>
        <w:spacing w:before="0" w:after="60" w:line="276" w:lineRule="auto"/>
      </w:pPr>
      <w:r>
        <w:rPr>
          <w:rFonts w:ascii="Arial" w:hAnsi="Arial"/>
          <w:b/>
          <w:color w:val="141414"/>
          <w:sz w:val="20"/>
        </w:rPr>
        <w:t xml:space="preserve">• E – Ethical &amp; Privacy Safety: </w:t>
      </w:r>
      <w:r>
        <w:rPr>
          <w:rFonts w:ascii="Arial" w:hAnsi="Arial"/>
          <w:color w:val="1E1E1E"/>
          <w:sz w:val="20"/>
        </w:rPr>
        <w:t>Is the tool safe, transparent, non-discriminatory, age-appropriate, and fully compliant with data privacy laws?</w:t>
      </w:r>
    </w:p>
    <w:p>
      <w:pPr>
        <w:pStyle w:val="ListBullet"/>
        <w:spacing w:before="0" w:after="60" w:line="276" w:lineRule="auto"/>
      </w:pPr>
      <w:r>
        <w:rPr>
          <w:rFonts w:ascii="Arial" w:hAnsi="Arial"/>
          <w:b/>
          <w:color w:val="141414"/>
          <w:sz w:val="20"/>
        </w:rPr>
        <w:t xml:space="preserve">• S – Sustainable Infrastructure: </w:t>
      </w:r>
      <w:r>
        <w:rPr>
          <w:rFonts w:ascii="Arial" w:hAnsi="Arial"/>
          <w:color w:val="1E1E1E"/>
          <w:sz w:val="20"/>
        </w:rPr>
        <w:t>Is the solution technically feasible, financially viable (TCO evaluated), supportable long-term, and cloud-secure?</w:t>
      </w:r>
    </w:p>
    <w:p>
      <w:pPr>
        <w:keepNext/>
        <w:spacing w:before="240" w:after="80"/>
      </w:pPr>
      <w:r>
        <w:rPr>
          <w:rFonts w:ascii="Arial" w:hAnsi="Arial"/>
          <w:b/>
          <w:color w:val="2F5496"/>
          <w:sz w:val="25"/>
        </w:rPr>
        <w:t>1.2 The 7-Question Executive Business Case Test</w:t>
      </w:r>
    </w:p>
    <w:p>
      <w:pPr>
        <w:spacing w:before="0" w:after="100" w:line="276" w:lineRule="auto"/>
      </w:pPr>
      <w:r>
        <w:rPr>
          <w:rFonts w:ascii="Arial" w:hAnsi="Arial"/>
          <w:color w:val="1E1E1E"/>
          <w:sz w:val="20"/>
        </w:rPr>
        <w:t>Every departmental AI initiative requiring budget allocation or software integration must satisfy the Board Draft 7-Question Test: (1) What specific operational problem is being solved? (2) What is the expected measurable benefit? (3) Is implementation operationally feasible? (4) Can privacy risks be controlled? (5) What is the Total Cost of Ownership (TCO)? (6) Would a non-AI solution be more effective? (7) How will success be evaluated?</w:t>
      </w:r>
    </w:p>
    <w:p>
      <w:pPr>
        <w:keepNext/>
        <w:spacing w:before="320" w:after="120"/>
      </w:pPr>
      <w:r>
        <w:rPr>
          <w:rFonts w:ascii="Arial" w:hAnsi="Arial"/>
          <w:b/>
          <w:color w:val="003366"/>
          <w:sz w:val="30"/>
        </w:rPr>
        <w:t>2. Organization-Wide AI Software Classification Registry</w:t>
      </w:r>
    </w:p>
    <w:p>
      <w:pPr>
        <w:spacing w:before="0" w:after="100" w:line="276" w:lineRule="auto"/>
      </w:pPr>
      <w:r>
        <w:rPr>
          <w:rFonts w:ascii="Arial" w:hAnsi="Arial"/>
          <w:color w:val="1E1E1E"/>
          <w:sz w:val="20"/>
        </w:rPr>
        <w:t>All software utilized across Educore Services is categorized into three strict operational tiers. Usage of unsanctioned tools constitutes a security breach.</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03366" w:val="clear"/>
            <w:tcMar>
              <w:top w:w="120" w:type="dxa"/>
              <w:bottom w:w="120" w:type="dxa"/>
              <w:left w:w="140" w:type="dxa"/>
              <w:right w:w="140" w:type="dxa"/>
            </w:tcMar>
          </w:tcPr>
          <w:p>
            <w:pPr>
              <w:spacing w:before="0" w:after="0"/>
              <w:jc w:val="left"/>
            </w:pPr>
            <w:r>
              <w:rPr>
                <w:rFonts w:ascii="Arial" w:hAnsi="Arial"/>
                <w:b/>
                <w:color w:val="FFFFFF"/>
                <w:sz w:val="19"/>
              </w:rPr>
              <w:t>Classification Tier</w:t>
            </w:r>
          </w:p>
        </w:tc>
        <w:tc>
          <w:tcPr>
            <w:tcW w:type="dxa" w:w="3168"/>
            <w:shd w:fill="003366" w:val="clear"/>
            <w:tcMar>
              <w:top w:w="120" w:type="dxa"/>
              <w:bottom w:w="120" w:type="dxa"/>
              <w:left w:w="140" w:type="dxa"/>
              <w:right w:w="140" w:type="dxa"/>
            </w:tcMar>
          </w:tcPr>
          <w:p>
            <w:pPr>
              <w:spacing w:before="0" w:after="0"/>
              <w:jc w:val="left"/>
            </w:pPr>
            <w:r>
              <w:rPr>
                <w:rFonts w:ascii="Arial" w:hAnsi="Arial"/>
                <w:b/>
                <w:color w:val="FFFFFF"/>
                <w:sz w:val="19"/>
              </w:rPr>
              <w:t>Approved Software Platforms</w:t>
            </w:r>
          </w:p>
        </w:tc>
        <w:tc>
          <w:tcPr>
            <w:tcW w:type="dxa" w:w="4032"/>
            <w:shd w:fill="003366" w:val="clear"/>
            <w:tcMar>
              <w:top w:w="120" w:type="dxa"/>
              <w:bottom w:w="120" w:type="dxa"/>
              <w:left w:w="140" w:type="dxa"/>
              <w:right w:w="140" w:type="dxa"/>
            </w:tcMar>
          </w:tcPr>
          <w:p>
            <w:pPr>
              <w:spacing w:before="0" w:after="0"/>
              <w:jc w:val="left"/>
            </w:pPr>
            <w:r>
              <w:rPr>
                <w:rFonts w:ascii="Arial" w:hAnsi="Arial"/>
                <w:b/>
                <w:color w:val="FFFFFF"/>
                <w:sz w:val="19"/>
              </w:rPr>
              <w:t>Operational Boundaries &amp; Access Rules</w:t>
            </w:r>
          </w:p>
        </w:tc>
      </w:tr>
      <w:tr>
        <w:tc>
          <w:tcPr>
            <w:tcW w:type="dxa" w:w="2592"/>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Tier 1: Authorized Enterprise AI</w:t>
            </w:r>
          </w:p>
        </w:tc>
        <w:tc>
          <w:tcPr>
            <w:tcW w:type="dxa" w:w="3168"/>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Microsoft 365 Copilot Enterprise, Azure OpenAI Services, Azure AI Search (SharePoint RAG), M365 Copilot Finance.</w:t>
            </w:r>
          </w:p>
        </w:tc>
        <w:tc>
          <w:tcPr>
            <w:tcW w:type="dxa" w:w="4032"/>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FULL AUTHORIZATION. Operates under Enterprise Data Protection agreements with ZERO model retraining on Educore records. Authenticated strictly via Entra ID SSO.</w:t>
            </w:r>
          </w:p>
        </w:tc>
      </w:tr>
      <w:tr>
        <w:tc>
          <w:tcPr>
            <w:tcW w:type="dxa" w:w="2592"/>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Tier 2: Conditionally Permitted SSO</w:t>
            </w:r>
          </w:p>
        </w:tc>
        <w:tc>
          <w:tcPr>
            <w:tcW w:type="dxa" w:w="3168"/>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Grammarly Business Enterprise, Canva AI Enterprise, Zoom AI Companion Enterprise.</w:t>
            </w:r>
          </w:p>
        </w:tc>
        <w:tc>
          <w:tcPr>
            <w:tcW w:type="dxa" w:w="4032"/>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CONDITIONAL AUTHORIZATION. Permitted exclusively using official Educore M365 SSO logins. Strictly prohibited using personal email logins or for processing unencrypted student PII.</w:t>
            </w:r>
          </w:p>
        </w:tc>
      </w:tr>
      <w:tr>
        <w:tc>
          <w:tcPr>
            <w:tcW w:type="dxa" w:w="2592"/>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Tier 3: Strictly Prohibited Consumer LLMs</w:t>
            </w:r>
          </w:p>
        </w:tc>
        <w:tc>
          <w:tcPr>
            <w:tcW w:type="dxa" w:w="3168"/>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Unsanctioned Public LLMs (ChatGPT Free/Plus personal, Gemini Free personal, Claude Personal, DeepL Free, Midjourney).</w:t>
            </w:r>
          </w:p>
        </w:tc>
        <w:tc>
          <w:tcPr>
            <w:tcW w:type="dxa" w:w="4032"/>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STRICTLY BANNED. Absolutely prohibited for inputting any Educore work data, financial ledgers, payroll, student PII, HR notes, or proprietary code. Zero tolerance.</w:t>
            </w:r>
          </w:p>
        </w:tc>
      </w:tr>
    </w:tbl>
    <w:p>
      <w:pPr>
        <w:keepNext/>
        <w:spacing w:before="320" w:after="120"/>
      </w:pPr>
      <w:r>
        <w:rPr>
          <w:rFonts w:ascii="Arial" w:hAnsi="Arial"/>
          <w:b/>
          <w:color w:val="003366"/>
          <w:sz w:val="30"/>
        </w:rPr>
        <w:t>3. Departmental Use-Cases, Failure Edge Cases &amp; Non-Software Guardrails</w:t>
      </w:r>
    </w:p>
    <w:p>
      <w:pPr>
        <w:spacing w:before="0" w:after="100" w:line="276" w:lineRule="auto"/>
      </w:pPr>
      <w:r>
        <w:rPr>
          <w:rFonts w:ascii="Arial" w:hAnsi="Arial"/>
          <w:color w:val="1E1E1E"/>
          <w:sz w:val="20"/>
        </w:rPr>
        <w:t>Software DLP rules can be bypassed by mobile 4G hotspots. Therefore, Educore enforces mandatory Functional Non-Software Guardrails—procedural rules, dual-key human audits, and process redesigns that mitigate risk regardless of technical setup across all 8 operational domains:</w:t>
      </w:r>
    </w:p>
    <w:p>
      <w:pPr>
        <w:keepNext/>
        <w:spacing w:before="240" w:after="80"/>
      </w:pPr>
      <w:r>
        <w:rPr>
          <w:rFonts w:ascii="Arial" w:hAnsi="Arial"/>
          <w:b/>
          <w:color w:val="2F5496"/>
          <w:sz w:val="25"/>
        </w:rPr>
        <w:t>3.1 Finance, Accounting &amp; Bursar Operations</w:t>
      </w:r>
    </w:p>
    <w:p>
      <w:pPr>
        <w:pStyle w:val="ListBullet"/>
        <w:spacing w:before="0" w:after="60" w:line="276" w:lineRule="auto"/>
      </w:pPr>
      <w:r>
        <w:rPr>
          <w:rFonts w:ascii="Arial" w:hAnsi="Arial"/>
          <w:b/>
          <w:color w:val="141414"/>
          <w:sz w:val="20"/>
        </w:rPr>
        <w:t xml:space="preserve">• Permitted Workflows: </w:t>
      </w:r>
      <w:r>
        <w:rPr>
          <w:rFonts w:ascii="Arial" w:hAnsi="Arial"/>
          <w:color w:val="1E1E1E"/>
          <w:sz w:val="20"/>
        </w:rPr>
        <w:t>Routine spreadsheet formatting, financial variance analysis, and memo summarization using M365 Copilot Finance.</w:t>
      </w:r>
    </w:p>
    <w:p>
      <w:pPr>
        <w:pStyle w:val="ListBullet"/>
        <w:spacing w:before="0" w:after="60" w:line="276" w:lineRule="auto"/>
      </w:pPr>
      <w:r>
        <w:rPr>
          <w:rFonts w:ascii="Arial" w:hAnsi="Arial"/>
          <w:b/>
          <w:color w:val="141414"/>
          <w:sz w:val="20"/>
        </w:rPr>
        <w:t xml:space="preserve">• Failure Edge Scenario: </w:t>
      </w:r>
      <w:r>
        <w:rPr>
          <w:rFonts w:ascii="Arial" w:hAnsi="Arial"/>
          <w:color w:val="1E1E1E"/>
          <w:sz w:val="20"/>
        </w:rPr>
        <w:t>AI models hallucinating formula syntax or rounding numbers, introducing errors into student fee arrear ledgers, cash flow forecasts, or subsidy allocations.</w:t>
      </w:r>
    </w:p>
    <w:p>
      <w:pPr>
        <w:pStyle w:val="ListBullet"/>
        <w:spacing w:before="0" w:after="60" w:line="276" w:lineRule="auto"/>
      </w:pPr>
      <w:r>
        <w:rPr>
          <w:rFonts w:ascii="Arial" w:hAnsi="Arial"/>
          <w:b/>
          <w:color w:val="141414"/>
          <w:sz w:val="20"/>
        </w:rPr>
        <w:t xml:space="preserve">• Strictly Prohibited Use Cases: </w:t>
      </w:r>
      <w:r>
        <w:rPr>
          <w:rFonts w:ascii="Arial" w:hAnsi="Arial"/>
          <w:color w:val="1E1E1E"/>
          <w:sz w:val="20"/>
        </w:rPr>
        <w:t>Inputting unencrypted payroll registers, student NRC numbers, or banking details; executing automated journal entries without manual audit; inputting confidential commercial agreements tied to mining partners (FQM); delegating hardship/bursary relief evaluations to AI scoring models.</w:t>
      </w:r>
    </w:p>
    <w:p>
      <w:pPr>
        <w:pStyle w:val="ListBullet"/>
        <w:spacing w:before="0" w:after="60" w:line="276" w:lineRule="auto"/>
      </w:pPr>
      <w:r>
        <w:rPr>
          <w:rFonts w:ascii="Arial" w:hAnsi="Arial"/>
          <w:b/>
          <w:color w:val="141414"/>
          <w:sz w:val="20"/>
        </w:rPr>
        <w:t xml:space="preserve">✔ Guardrail Fin-01 (Dual-Key Manual Audit): </w:t>
      </w:r>
      <w:r>
        <w:rPr>
          <w:rFonts w:ascii="Arial" w:hAnsi="Arial"/>
          <w:color w:val="1E1E1E"/>
          <w:sz w:val="20"/>
        </w:rPr>
        <w:t>Independent human manual verification required for all AI-assisted financial calculations and balance sheet entries before ledger posting.</w:t>
      </w:r>
    </w:p>
    <w:p>
      <w:pPr>
        <w:pStyle w:val="ListBullet"/>
        <w:spacing w:before="0" w:after="60" w:line="276" w:lineRule="auto"/>
      </w:pPr>
      <w:r>
        <w:rPr>
          <w:rFonts w:ascii="Arial" w:hAnsi="Arial"/>
          <w:b/>
          <w:color w:val="141414"/>
          <w:sz w:val="20"/>
        </w:rPr>
        <w:t xml:space="preserve">✔ Guardrail Fin-02 (PII &amp; Commercial Masking): </w:t>
      </w:r>
      <w:r>
        <w:rPr>
          <w:rFonts w:ascii="Arial" w:hAnsi="Arial"/>
          <w:color w:val="1E1E1E"/>
          <w:sz w:val="20"/>
        </w:rPr>
        <w:t>Mandatory depersonalization of all student NRC numbers, names, and FQM mining partner subsidy data prior to AI prompt submission.</w:t>
      </w:r>
    </w:p>
    <w:p>
      <w:pPr>
        <w:pStyle w:val="ListBullet"/>
        <w:spacing w:before="0" w:after="60" w:line="276" w:lineRule="auto"/>
      </w:pPr>
      <w:r>
        <w:rPr>
          <w:rFonts w:ascii="Arial" w:hAnsi="Arial"/>
          <w:b/>
          <w:color w:val="141414"/>
          <w:sz w:val="20"/>
        </w:rPr>
        <w:t xml:space="preserve">✔ Guardrail Fin-03 (Hardship Committee Rule): </w:t>
      </w:r>
      <w:r>
        <w:rPr>
          <w:rFonts w:ascii="Arial" w:hAnsi="Arial"/>
          <w:color w:val="1E1E1E"/>
          <w:sz w:val="20"/>
        </w:rPr>
        <w:t>Financial hardship or bursary decisions cannot rely on AI scoring and require unanimous human committee sign-off.</w:t>
      </w:r>
    </w:p>
    <w:p>
      <w:pPr>
        <w:keepNext/>
        <w:spacing w:before="240" w:after="80"/>
      </w:pPr>
      <w:r>
        <w:rPr>
          <w:rFonts w:ascii="Arial" w:hAnsi="Arial"/>
          <w:b/>
          <w:color w:val="2F5496"/>
          <w:sz w:val="25"/>
        </w:rPr>
        <w:t>3.2 Procurement &amp; Supply Chain Management</w:t>
      </w:r>
    </w:p>
    <w:p>
      <w:pPr>
        <w:pStyle w:val="ListBullet"/>
        <w:spacing w:before="0" w:after="60" w:line="276" w:lineRule="auto"/>
      </w:pPr>
      <w:r>
        <w:rPr>
          <w:rFonts w:ascii="Arial" w:hAnsi="Arial"/>
          <w:b/>
          <w:color w:val="141414"/>
          <w:sz w:val="20"/>
        </w:rPr>
        <w:t xml:space="preserve">• Permitted Workflows: </w:t>
      </w:r>
      <w:r>
        <w:rPr>
          <w:rFonts w:ascii="Arial" w:hAnsi="Arial"/>
          <w:color w:val="1E1E1E"/>
          <w:sz w:val="20"/>
        </w:rPr>
        <w:t>Summarizing vendor contracts, drafting RFP templates, and performing market research across educational suppliers.</w:t>
      </w:r>
    </w:p>
    <w:p>
      <w:pPr>
        <w:pStyle w:val="ListBullet"/>
        <w:spacing w:before="0" w:after="60" w:line="276" w:lineRule="auto"/>
      </w:pPr>
      <w:r>
        <w:rPr>
          <w:rFonts w:ascii="Arial" w:hAnsi="Arial"/>
          <w:b/>
          <w:color w:val="141414"/>
          <w:sz w:val="20"/>
        </w:rPr>
        <w:t xml:space="preserve">• Failure Edge Scenario: </w:t>
      </w:r>
      <w:r>
        <w:rPr>
          <w:rFonts w:ascii="Arial" w:hAnsi="Arial"/>
          <w:color w:val="1E1E1E"/>
          <w:sz w:val="20"/>
        </w:rPr>
        <w:t>Procuring third-party SaaS applications containing hidden 'Trojan' AI features that ingest company data for public LLM retraining, or leaking tender pricing.</w:t>
      </w:r>
    </w:p>
    <w:p>
      <w:pPr>
        <w:pStyle w:val="ListBullet"/>
        <w:spacing w:before="0" w:after="60" w:line="276" w:lineRule="auto"/>
      </w:pPr>
      <w:r>
        <w:rPr>
          <w:rFonts w:ascii="Arial" w:hAnsi="Arial"/>
          <w:b/>
          <w:color w:val="141414"/>
          <w:sz w:val="20"/>
        </w:rPr>
        <w:t xml:space="preserve">• Strictly Prohibited Use Cases: </w:t>
      </w:r>
      <w:r>
        <w:rPr>
          <w:rFonts w:ascii="Arial" w:hAnsi="Arial"/>
          <w:color w:val="1E1E1E"/>
          <w:sz w:val="20"/>
        </w:rPr>
        <w:t>Inputting unreleased vendor tender bids, sealed RFPs, or pricing matrices; procuring AI-enabled software without Pre-Procurement Vendor Addendum review; executing contracts without Legal Counsel inspection; inputting target negotiation playbooks into prompts.</w:t>
      </w:r>
    </w:p>
    <w:p>
      <w:pPr>
        <w:pStyle w:val="ListBullet"/>
        <w:spacing w:before="0" w:after="60" w:line="276" w:lineRule="auto"/>
      </w:pPr>
      <w:r>
        <w:rPr>
          <w:rFonts w:ascii="Arial" w:hAnsi="Arial"/>
          <w:b/>
          <w:color w:val="141414"/>
          <w:sz w:val="20"/>
        </w:rPr>
        <w:t xml:space="preserve">✔ Guardrail Pro-01 (Pre-Procurement Vendor Addendum): </w:t>
      </w:r>
      <w:r>
        <w:rPr>
          <w:rFonts w:ascii="Arial" w:hAnsi="Arial"/>
          <w:color w:val="1E1E1E"/>
          <w:sz w:val="20"/>
        </w:rPr>
        <w:t>Mandatory vendor sign-off certifying zero data retention, zero model retraining, and IP indemnification before software purchase.</w:t>
      </w:r>
    </w:p>
    <w:p>
      <w:pPr>
        <w:pStyle w:val="ListBullet"/>
        <w:spacing w:before="0" w:after="60" w:line="276" w:lineRule="auto"/>
      </w:pPr>
      <w:r>
        <w:rPr>
          <w:rFonts w:ascii="Arial" w:hAnsi="Arial"/>
          <w:b/>
          <w:color w:val="141414"/>
          <w:sz w:val="20"/>
        </w:rPr>
        <w:t xml:space="preserve">✔ Guardrail Pro-02 (Air-Gapped Tender Reviews): </w:t>
      </w:r>
      <w:r>
        <w:rPr>
          <w:rFonts w:ascii="Arial" w:hAnsi="Arial"/>
          <w:color w:val="1E1E1E"/>
          <w:sz w:val="20"/>
        </w:rPr>
        <w:t>Sealed tender bids, competitive pricing, and supplier proposals must be evaluated on offline, air-gapped spreadsheets.</w:t>
      </w:r>
    </w:p>
    <w:p>
      <w:pPr>
        <w:pStyle w:val="ListBullet"/>
        <w:spacing w:before="0" w:after="60" w:line="276" w:lineRule="auto"/>
      </w:pPr>
      <w:r>
        <w:rPr>
          <w:rFonts w:ascii="Arial" w:hAnsi="Arial"/>
          <w:b/>
          <w:color w:val="141414"/>
          <w:sz w:val="20"/>
        </w:rPr>
        <w:t xml:space="preserve">✔ Guardrail Pro-03 (Legal Counsel Contract Sign-off): </w:t>
      </w:r>
      <w:r>
        <w:rPr>
          <w:rFonts w:ascii="Arial" w:hAnsi="Arial"/>
          <w:color w:val="1E1E1E"/>
          <w:sz w:val="20"/>
        </w:rPr>
        <w:t>Legal Counsel must inspect all AI-assisted procurement contracts for IP liability before execution.</w:t>
      </w:r>
    </w:p>
    <w:p>
      <w:pPr>
        <w:keepNext/>
        <w:spacing w:before="240" w:after="80"/>
      </w:pPr>
      <w:r>
        <w:rPr>
          <w:rFonts w:ascii="Arial" w:hAnsi="Arial"/>
          <w:b/>
          <w:color w:val="2F5496"/>
          <w:sz w:val="25"/>
        </w:rPr>
        <w:t>3.3 IT Infrastructure, Systems &amp; Software Development</w:t>
      </w:r>
    </w:p>
    <w:p>
      <w:pPr>
        <w:pStyle w:val="ListBullet"/>
        <w:spacing w:before="0" w:after="60" w:line="276" w:lineRule="auto"/>
      </w:pPr>
      <w:r>
        <w:rPr>
          <w:rFonts w:ascii="Arial" w:hAnsi="Arial"/>
          <w:b/>
          <w:color w:val="141414"/>
          <w:sz w:val="20"/>
        </w:rPr>
        <w:t xml:space="preserve">• Permitted Workflows: </w:t>
      </w:r>
      <w:r>
        <w:rPr>
          <w:rFonts w:ascii="Arial" w:hAnsi="Arial"/>
          <w:color w:val="1E1E1E"/>
          <w:sz w:val="20"/>
        </w:rPr>
        <w:t>Boilerplate code generation, shell script debugging, and network documentation via GitHub Copilot Enterprise.</w:t>
      </w:r>
    </w:p>
    <w:p>
      <w:pPr>
        <w:pStyle w:val="ListBullet"/>
        <w:spacing w:before="0" w:after="60" w:line="276" w:lineRule="auto"/>
      </w:pPr>
      <w:r>
        <w:rPr>
          <w:rFonts w:ascii="Arial" w:hAnsi="Arial"/>
          <w:b/>
          <w:color w:val="141414"/>
          <w:sz w:val="20"/>
        </w:rPr>
        <w:t xml:space="preserve">• Failure Edge Scenario: </w:t>
      </w:r>
      <w:r>
        <w:rPr>
          <w:rFonts w:ascii="Arial" w:hAnsi="Arial"/>
          <w:color w:val="1E1E1E"/>
          <w:sz w:val="20"/>
        </w:rPr>
        <w:t>Accidental insertion of database connection strings, API keys, passwords, or internal server IP addresses into AI prompts, or deploying buggy AI code.</w:t>
      </w:r>
    </w:p>
    <w:p>
      <w:pPr>
        <w:pStyle w:val="ListBullet"/>
        <w:spacing w:before="0" w:after="60" w:line="276" w:lineRule="auto"/>
      </w:pPr>
      <w:r>
        <w:rPr>
          <w:rFonts w:ascii="Arial" w:hAnsi="Arial"/>
          <w:b/>
          <w:color w:val="141414"/>
          <w:sz w:val="20"/>
        </w:rPr>
        <w:t xml:space="preserve">• Strictly Prohibited Use Cases: </w:t>
      </w:r>
      <w:r>
        <w:rPr>
          <w:rFonts w:ascii="Arial" w:hAnsi="Arial"/>
          <w:color w:val="1E1E1E"/>
          <w:sz w:val="20"/>
        </w:rPr>
        <w:t>Hardcoding database connection strings, API keys, passwords, or IP addresses into prompts; executing AI scripts in production without staging sandbox testing; bypassing automated git secret scanning; deploying autonomous agents capable of altering network permissions without review.</w:t>
      </w:r>
    </w:p>
    <w:p>
      <w:pPr>
        <w:pStyle w:val="ListBullet"/>
        <w:spacing w:before="0" w:after="60" w:line="276" w:lineRule="auto"/>
      </w:pPr>
      <w:r>
        <w:rPr>
          <w:rFonts w:ascii="Arial" w:hAnsi="Arial"/>
          <w:b/>
          <w:color w:val="141414"/>
          <w:sz w:val="20"/>
        </w:rPr>
        <w:t xml:space="preserve">✔ Guardrail IT-01 (Pre-Commit Secret Scanning): </w:t>
      </w:r>
      <w:r>
        <w:rPr>
          <w:rFonts w:ascii="Arial" w:hAnsi="Arial"/>
          <w:color w:val="1E1E1E"/>
          <w:sz w:val="20"/>
        </w:rPr>
        <w:t>Automated git pre-commit hooks and local secret-scanning pipelines to block prompts containing API keys or credentials.</w:t>
      </w:r>
    </w:p>
    <w:p>
      <w:pPr>
        <w:pStyle w:val="ListBullet"/>
        <w:spacing w:before="0" w:after="60" w:line="276" w:lineRule="auto"/>
      </w:pPr>
      <w:r>
        <w:rPr>
          <w:rFonts w:ascii="Arial" w:hAnsi="Arial"/>
          <w:b/>
          <w:color w:val="141414"/>
          <w:sz w:val="20"/>
        </w:rPr>
        <w:t xml:space="preserve">✔ Guardrail IT-02 (Mandatory SAST &amp; Peer Review): </w:t>
      </w:r>
      <w:r>
        <w:rPr>
          <w:rFonts w:ascii="Arial" w:hAnsi="Arial"/>
          <w:color w:val="1E1E1E"/>
          <w:sz w:val="20"/>
        </w:rPr>
        <w:t>All AI-generated scripts require automated security testing and Senior Engineer peer review sign-off before production release.</w:t>
      </w:r>
    </w:p>
    <w:p>
      <w:pPr>
        <w:pStyle w:val="ListBullet"/>
        <w:spacing w:before="0" w:after="60" w:line="276" w:lineRule="auto"/>
      </w:pPr>
      <w:r>
        <w:rPr>
          <w:rFonts w:ascii="Arial" w:hAnsi="Arial"/>
          <w:b/>
          <w:color w:val="141414"/>
          <w:sz w:val="20"/>
        </w:rPr>
        <w:t xml:space="preserve">✔ Guardrail IT-03 (48-Hour Staging Sandbox Isolation): </w:t>
      </w:r>
      <w:r>
        <w:rPr>
          <w:rFonts w:ascii="Arial" w:hAnsi="Arial"/>
          <w:color w:val="1E1E1E"/>
          <w:sz w:val="20"/>
        </w:rPr>
        <w:t>AI-generated network or system scripts must undergo 48 hours of testing in isolated staging sandboxes before live execution.</w:t>
      </w:r>
    </w:p>
    <w:p>
      <w:pPr>
        <w:keepNext/>
        <w:spacing w:before="240" w:after="80"/>
      </w:pPr>
      <w:r>
        <w:rPr>
          <w:rFonts w:ascii="Arial" w:hAnsi="Arial"/>
          <w:b/>
          <w:color w:val="2F5496"/>
          <w:sz w:val="25"/>
        </w:rPr>
        <w:t>3.4 HR &amp; Personnel Management</w:t>
      </w:r>
    </w:p>
    <w:p>
      <w:pPr>
        <w:pStyle w:val="ListBullet"/>
        <w:spacing w:before="0" w:after="60" w:line="276" w:lineRule="auto"/>
      </w:pPr>
      <w:r>
        <w:rPr>
          <w:rFonts w:ascii="Arial" w:hAnsi="Arial"/>
          <w:b/>
          <w:color w:val="141414"/>
          <w:sz w:val="20"/>
        </w:rPr>
        <w:t xml:space="preserve">• Permitted Workflows: </w:t>
      </w:r>
      <w:r>
        <w:rPr>
          <w:rFonts w:ascii="Arial" w:hAnsi="Arial"/>
          <w:color w:val="1E1E1E"/>
          <w:sz w:val="20"/>
        </w:rPr>
        <w:t>Drafting job descriptions, anonymizing employee survey responses, and structuring staff professional development modules.</w:t>
      </w:r>
    </w:p>
    <w:p>
      <w:pPr>
        <w:pStyle w:val="ListBullet"/>
        <w:spacing w:before="0" w:after="60" w:line="276" w:lineRule="auto"/>
      </w:pPr>
      <w:r>
        <w:rPr>
          <w:rFonts w:ascii="Arial" w:hAnsi="Arial"/>
          <w:b/>
          <w:color w:val="141414"/>
          <w:sz w:val="20"/>
        </w:rPr>
        <w:t xml:space="preserve">• Failure Edge Scenario: </w:t>
      </w:r>
      <w:r>
        <w:rPr>
          <w:rFonts w:ascii="Arial" w:hAnsi="Arial"/>
          <w:color w:val="1E1E1E"/>
          <w:sz w:val="20"/>
        </w:rPr>
        <w:t>Algorithmic bias in candidate CV screening leading to unfair rejection, employee privacy violations, or statutory liability under Zambian Law.</w:t>
      </w:r>
    </w:p>
    <w:p>
      <w:pPr>
        <w:pStyle w:val="ListBullet"/>
        <w:spacing w:before="0" w:after="60" w:line="276" w:lineRule="auto"/>
      </w:pPr>
      <w:r>
        <w:rPr>
          <w:rFonts w:ascii="Arial" w:hAnsi="Arial"/>
          <w:b/>
          <w:color w:val="141414"/>
          <w:sz w:val="20"/>
        </w:rPr>
        <w:t xml:space="preserve">• Strictly Prohibited Use Cases: </w:t>
      </w:r>
      <w:r>
        <w:rPr>
          <w:rFonts w:ascii="Arial" w:hAnsi="Arial"/>
          <w:color w:val="1E1E1E"/>
          <w:sz w:val="20"/>
        </w:rPr>
        <w:t>Using AI for automated applicant shortlisting, candidate ranking, or rejection; inputting unencrypted staff disciplinary records, medical notes, or grievance files; generating annual appraisals based solely on AI feedback; deploying tools without a statutory Zambian DPIA.</w:t>
      </w:r>
    </w:p>
    <w:p>
      <w:pPr>
        <w:pStyle w:val="ListBullet"/>
        <w:spacing w:before="0" w:after="60" w:line="276" w:lineRule="auto"/>
      </w:pPr>
      <w:r>
        <w:rPr>
          <w:rFonts w:ascii="Arial" w:hAnsi="Arial"/>
          <w:b/>
          <w:color w:val="141414"/>
          <w:sz w:val="20"/>
        </w:rPr>
        <w:t xml:space="preserve">✔ Guardrail HR-01 (Ban on Automated Candidate Rejection): </w:t>
      </w:r>
      <w:r>
        <w:rPr>
          <w:rFonts w:ascii="Arial" w:hAnsi="Arial"/>
          <w:color w:val="1E1E1E"/>
          <w:sz w:val="20"/>
        </w:rPr>
        <w:t>Absolute prohibition on automated candidate rejection; human HR officers must conduct all shortlisting and performance appraisals.</w:t>
      </w:r>
    </w:p>
    <w:p>
      <w:pPr>
        <w:pStyle w:val="ListBullet"/>
        <w:spacing w:before="0" w:after="60" w:line="276" w:lineRule="auto"/>
      </w:pPr>
      <w:r>
        <w:rPr>
          <w:rFonts w:ascii="Arial" w:hAnsi="Arial"/>
          <w:b/>
          <w:color w:val="141414"/>
          <w:sz w:val="20"/>
        </w:rPr>
        <w:t xml:space="preserve">✔ Guardrail HR-02 (Statutory Zambian DPIA Compliance): </w:t>
      </w:r>
      <w:r>
        <w:rPr>
          <w:rFonts w:ascii="Arial" w:hAnsi="Arial"/>
          <w:color w:val="1E1E1E"/>
          <w:sz w:val="20"/>
        </w:rPr>
        <w:t>Mandatory Data Protection Impact Assessment (DPIA) for all HR data processing systems under Act No. 3 of 2021.</w:t>
      </w:r>
    </w:p>
    <w:p>
      <w:pPr>
        <w:pStyle w:val="ListBullet"/>
        <w:spacing w:before="0" w:after="60" w:line="276" w:lineRule="auto"/>
      </w:pPr>
      <w:r>
        <w:rPr>
          <w:rFonts w:ascii="Arial" w:hAnsi="Arial"/>
          <w:b/>
          <w:color w:val="141414"/>
          <w:sz w:val="20"/>
        </w:rPr>
        <w:t xml:space="preserve">✔ Guardrail HR-03 (Appraisal Observation Evidence Logs): </w:t>
      </w:r>
      <w:r>
        <w:rPr>
          <w:rFonts w:ascii="Arial" w:hAnsi="Arial"/>
          <w:color w:val="1E1E1E"/>
          <w:sz w:val="20"/>
        </w:rPr>
        <w:t>Annual employee appraisals must reflect direct human supervisor observation logs, not AI-summarized feedback.</w:t>
      </w:r>
    </w:p>
    <w:p>
      <w:pPr>
        <w:keepNext/>
        <w:spacing w:before="240" w:after="80"/>
      </w:pPr>
      <w:r>
        <w:rPr>
          <w:rFonts w:ascii="Arial" w:hAnsi="Arial"/>
          <w:b/>
          <w:color w:val="2F5496"/>
          <w:sz w:val="25"/>
        </w:rPr>
        <w:t>3.5 Legal, Compliance &amp; Executive Administration</w:t>
      </w:r>
    </w:p>
    <w:p>
      <w:pPr>
        <w:pStyle w:val="ListBullet"/>
        <w:spacing w:before="0" w:after="60" w:line="276" w:lineRule="auto"/>
      </w:pPr>
      <w:r>
        <w:rPr>
          <w:rFonts w:ascii="Arial" w:hAnsi="Arial"/>
          <w:b/>
          <w:color w:val="141414"/>
          <w:sz w:val="20"/>
        </w:rPr>
        <w:t xml:space="preserve">• Permitted Workflows: </w:t>
      </w:r>
      <w:r>
        <w:rPr>
          <w:rFonts w:ascii="Arial" w:hAnsi="Arial"/>
          <w:color w:val="1E1E1E"/>
          <w:sz w:val="20"/>
        </w:rPr>
        <w:t>Contract clause extraction, regulatory tracking, and formatting executive board briefing materials.</w:t>
      </w:r>
    </w:p>
    <w:p>
      <w:pPr>
        <w:pStyle w:val="ListBullet"/>
        <w:spacing w:before="0" w:after="60" w:line="276" w:lineRule="auto"/>
      </w:pPr>
      <w:r>
        <w:rPr>
          <w:rFonts w:ascii="Arial" w:hAnsi="Arial"/>
          <w:b/>
          <w:color w:val="141414"/>
          <w:sz w:val="20"/>
        </w:rPr>
        <w:t xml:space="preserve">• Failure Edge Scenario: </w:t>
      </w:r>
      <w:r>
        <w:rPr>
          <w:rFonts w:ascii="Arial" w:hAnsi="Arial"/>
          <w:color w:val="1E1E1E"/>
          <w:sz w:val="20"/>
        </w:rPr>
        <w:t>AI hallucinating false Zambian statutory acts, legal precedents, or court rulings, or delegating executive governance decisions to predictive AI models.</w:t>
      </w:r>
    </w:p>
    <w:p>
      <w:pPr>
        <w:pStyle w:val="ListBullet"/>
        <w:spacing w:before="0" w:after="60" w:line="276" w:lineRule="auto"/>
      </w:pPr>
      <w:r>
        <w:rPr>
          <w:rFonts w:ascii="Arial" w:hAnsi="Arial"/>
          <w:b/>
          <w:color w:val="141414"/>
          <w:sz w:val="20"/>
        </w:rPr>
        <w:t xml:space="preserve">• Strictly Prohibited Use Cases: </w:t>
      </w:r>
      <w:r>
        <w:rPr>
          <w:rFonts w:ascii="Arial" w:hAnsi="Arial"/>
          <w:color w:val="1E1E1E"/>
          <w:sz w:val="20"/>
        </w:rPr>
        <w:t>Citing AI-generated statutory provisions or court rulings without manual verification; delegating executive governance decisions or capital allocations to AI models; uploading privileged attorney-client legal opinions; publishing binding policy amendments generated by AI without sign-off.</w:t>
      </w:r>
    </w:p>
    <w:p>
      <w:pPr>
        <w:pStyle w:val="ListBullet"/>
        <w:spacing w:before="0" w:after="60" w:line="276" w:lineRule="auto"/>
      </w:pPr>
      <w:r>
        <w:rPr>
          <w:rFonts w:ascii="Arial" w:hAnsi="Arial"/>
          <w:b/>
          <w:color w:val="141414"/>
          <w:sz w:val="20"/>
        </w:rPr>
        <w:t xml:space="preserve">✔ Guardrail Leg-01 (Statutory Legal Verification): </w:t>
      </w:r>
      <w:r>
        <w:rPr>
          <w:rFonts w:ascii="Arial" w:hAnsi="Arial"/>
          <w:color w:val="1E1E1E"/>
          <w:sz w:val="20"/>
        </w:rPr>
        <w:t>Legal Counsel must verify all AI-extracted legal references against official Republic of Zambia statutory books.</w:t>
      </w:r>
    </w:p>
    <w:p>
      <w:pPr>
        <w:pStyle w:val="ListBullet"/>
        <w:spacing w:before="0" w:after="60" w:line="276" w:lineRule="auto"/>
      </w:pPr>
      <w:r>
        <w:rPr>
          <w:rFonts w:ascii="Arial" w:hAnsi="Arial"/>
          <w:b/>
          <w:color w:val="141414"/>
          <w:sz w:val="20"/>
        </w:rPr>
        <w:t xml:space="preserve">✔ Guardrail Leg-02 (Executive Non-Delegable Accountability): </w:t>
      </w:r>
      <w:r>
        <w:rPr>
          <w:rFonts w:ascii="Arial" w:hAnsi="Arial"/>
          <w:color w:val="1E1E1E"/>
          <w:sz w:val="20"/>
        </w:rPr>
        <w:t>Board risk decisions and institutional policies cannot be delegated to AI models under ISO 42001 Clause 5.1.</w:t>
      </w:r>
    </w:p>
    <w:p>
      <w:pPr>
        <w:keepNext/>
        <w:spacing w:before="240" w:after="80"/>
      </w:pPr>
      <w:r>
        <w:rPr>
          <w:rFonts w:ascii="Arial" w:hAnsi="Arial"/>
          <w:b/>
          <w:color w:val="2F5496"/>
          <w:sz w:val="25"/>
        </w:rPr>
        <w:t>3.6 Academic Faculty &amp; Classroom Educators</w:t>
      </w:r>
    </w:p>
    <w:p>
      <w:pPr>
        <w:pStyle w:val="ListBullet"/>
        <w:spacing w:before="0" w:after="60" w:line="276" w:lineRule="auto"/>
      </w:pPr>
      <w:r>
        <w:rPr>
          <w:rFonts w:ascii="Arial" w:hAnsi="Arial"/>
          <w:b/>
          <w:color w:val="141414"/>
          <w:sz w:val="20"/>
        </w:rPr>
        <w:t xml:space="preserve">• Permitted Workflows: </w:t>
      </w:r>
      <w:r>
        <w:rPr>
          <w:rFonts w:ascii="Arial" w:hAnsi="Arial"/>
          <w:color w:val="1E1E1E"/>
          <w:sz w:val="20"/>
        </w:rPr>
        <w:t>Azure-hosted lesson planning, rubric criteria design, and formatting differentiated reading materials.</w:t>
      </w:r>
    </w:p>
    <w:p>
      <w:pPr>
        <w:pStyle w:val="ListBullet"/>
        <w:spacing w:before="0" w:after="60" w:line="276" w:lineRule="auto"/>
      </w:pPr>
      <w:r>
        <w:rPr>
          <w:rFonts w:ascii="Arial" w:hAnsi="Arial"/>
          <w:b/>
          <w:color w:val="141414"/>
          <w:sz w:val="20"/>
        </w:rPr>
        <w:t xml:space="preserve">• Failure Edge Scenario: </w:t>
      </w:r>
      <w:r>
        <w:rPr>
          <w:rFonts w:ascii="Arial" w:hAnsi="Arial"/>
          <w:color w:val="1E1E1E"/>
          <w:sz w:val="20"/>
        </w:rPr>
        <w:t>AI generating incorrect academic facts in student handouts or automated grading tools mis-scoring summative exams.</w:t>
      </w:r>
    </w:p>
    <w:p>
      <w:pPr>
        <w:pStyle w:val="ListBullet"/>
        <w:spacing w:before="0" w:after="60" w:line="276" w:lineRule="auto"/>
      </w:pPr>
      <w:r>
        <w:rPr>
          <w:rFonts w:ascii="Arial" w:hAnsi="Arial"/>
          <w:b/>
          <w:color w:val="141414"/>
          <w:sz w:val="20"/>
        </w:rPr>
        <w:t xml:space="preserve">• Strictly Prohibited Use Cases: </w:t>
      </w:r>
      <w:r>
        <w:rPr>
          <w:rFonts w:ascii="Arial" w:hAnsi="Arial"/>
          <w:color w:val="1E1E1E"/>
          <w:sz w:val="20"/>
        </w:rPr>
        <w:t>Using automated AI tools to grade, score, or mark summative exams or report cards; uploading student academic records, Special Educational Needs (SEN), or pastoral files; distributing unverified AI teaching handouts without Cambridge/Zambian syllabus checks; tracking student emotional states.</w:t>
      </w:r>
    </w:p>
    <w:p>
      <w:pPr>
        <w:pStyle w:val="ListBullet"/>
        <w:spacing w:before="0" w:after="60" w:line="276" w:lineRule="auto"/>
      </w:pPr>
      <w:r>
        <w:rPr>
          <w:rFonts w:ascii="Arial" w:hAnsi="Arial"/>
          <w:b/>
          <w:color w:val="141414"/>
          <w:sz w:val="20"/>
        </w:rPr>
        <w:t xml:space="preserve">✔ Guardrail Edu-01 (Prohibition of Automated Summative Grading): </w:t>
      </w:r>
      <w:r>
        <w:rPr>
          <w:rFonts w:ascii="Arial" w:hAnsi="Arial"/>
          <w:color w:val="1E1E1E"/>
          <w:sz w:val="20"/>
        </w:rPr>
        <w:t>Summative exam scoring and final report card marks must be assigned by human educators.</w:t>
      </w:r>
    </w:p>
    <w:p>
      <w:pPr>
        <w:pStyle w:val="ListBullet"/>
        <w:spacing w:before="0" w:after="60" w:line="276" w:lineRule="auto"/>
      </w:pPr>
      <w:r>
        <w:rPr>
          <w:rFonts w:ascii="Arial" w:hAnsi="Arial"/>
          <w:b/>
          <w:color w:val="141414"/>
          <w:sz w:val="20"/>
        </w:rPr>
        <w:t xml:space="preserve">✔ Guardrail Edu-02 (Human-in-the-Loop Syllabus Verification): </w:t>
      </w:r>
      <w:r>
        <w:rPr>
          <w:rFonts w:ascii="Arial" w:hAnsi="Arial"/>
          <w:color w:val="1E1E1E"/>
          <w:sz w:val="20"/>
        </w:rPr>
        <w:t>Faculty must verify all AI-generated teaching resources against official Cambridge and Zambian syllabi.</w:t>
      </w:r>
    </w:p>
    <w:p>
      <w:pPr>
        <w:pStyle w:val="ListBullet"/>
        <w:spacing w:before="0" w:after="60" w:line="276" w:lineRule="auto"/>
      </w:pPr>
      <w:r>
        <w:rPr>
          <w:rFonts w:ascii="Arial" w:hAnsi="Arial"/>
          <w:b/>
          <w:color w:val="141414"/>
          <w:sz w:val="20"/>
        </w:rPr>
        <w:t xml:space="preserve">✔ Guardrail Edu-03 (Student Depersonalization Rule): </w:t>
      </w:r>
      <w:r>
        <w:rPr>
          <w:rFonts w:ascii="Arial" w:hAnsi="Arial"/>
          <w:color w:val="1E1E1E"/>
          <w:sz w:val="20"/>
        </w:rPr>
        <w:t>Educators must strip all student names, IDs, and pastoral notes before using AI for lesson differentiation.</w:t>
      </w:r>
    </w:p>
    <w:p>
      <w:pPr>
        <w:keepNext/>
        <w:spacing w:before="240" w:after="80"/>
      </w:pPr>
      <w:r>
        <w:rPr>
          <w:rFonts w:ascii="Arial" w:hAnsi="Arial"/>
          <w:b/>
          <w:color w:val="2F5496"/>
          <w:sz w:val="25"/>
        </w:rPr>
        <w:t>3.7 Students &amp; Learners (Tier C)</w:t>
      </w:r>
    </w:p>
    <w:p>
      <w:pPr>
        <w:pStyle w:val="ListBullet"/>
        <w:spacing w:before="0" w:after="60" w:line="276" w:lineRule="auto"/>
      </w:pPr>
      <w:r>
        <w:rPr>
          <w:rFonts w:ascii="Arial" w:hAnsi="Arial"/>
          <w:b/>
          <w:color w:val="141414"/>
          <w:sz w:val="20"/>
        </w:rPr>
        <w:t xml:space="preserve">• Permitted Workflows: </w:t>
      </w:r>
      <w:r>
        <w:rPr>
          <w:rFonts w:ascii="Arial" w:hAnsi="Arial"/>
          <w:color w:val="1E1E1E"/>
          <w:sz w:val="20"/>
        </w:rPr>
        <w:t>Interactive study guidance via Azure Socratic RAG tutors (Math/Physics) providing step-by-step diagnostic hints without direct answers.</w:t>
      </w:r>
    </w:p>
    <w:p>
      <w:pPr>
        <w:pStyle w:val="ListBullet"/>
        <w:spacing w:before="0" w:after="60" w:line="276" w:lineRule="auto"/>
      </w:pPr>
      <w:r>
        <w:rPr>
          <w:rFonts w:ascii="Arial" w:hAnsi="Arial"/>
          <w:b/>
          <w:color w:val="141414"/>
          <w:sz w:val="20"/>
        </w:rPr>
        <w:t xml:space="preserve">• Failure Edge Scenario: </w:t>
      </w:r>
      <w:r>
        <w:rPr>
          <w:rFonts w:ascii="Arial" w:hAnsi="Arial"/>
          <w:color w:val="1E1E1E"/>
          <w:sz w:val="20"/>
        </w:rPr>
        <w:t>Cognitive bypass (students generating complete essays or fake prompt logs using AI) or using 4G mobile hotspots to bypass campus firewalls.</w:t>
      </w:r>
    </w:p>
    <w:p>
      <w:pPr>
        <w:pStyle w:val="ListBullet"/>
        <w:spacing w:before="0" w:after="60" w:line="276" w:lineRule="auto"/>
      </w:pPr>
      <w:r>
        <w:rPr>
          <w:rFonts w:ascii="Arial" w:hAnsi="Arial"/>
          <w:b/>
          <w:color w:val="141414"/>
          <w:sz w:val="20"/>
        </w:rPr>
        <w:t xml:space="preserve">• Strictly Prohibited Use Cases: </w:t>
      </w:r>
      <w:r>
        <w:rPr>
          <w:rFonts w:ascii="Arial" w:hAnsi="Arial"/>
          <w:color w:val="1E1E1E"/>
          <w:sz w:val="20"/>
        </w:rPr>
        <w:t>Generating complete essays, lab reports, or coursework solutions (cognitive bypass); using 4G/5G mobile hotspots or VPNs to access prohibited consumer LLMs on campus; submitting AI output as unassisted personal work; free-riding in group project assignments using AI.</w:t>
      </w:r>
    </w:p>
    <w:p>
      <w:pPr>
        <w:keepNext/>
        <w:spacing w:before="160" w:after="40"/>
      </w:pPr>
      <w:r>
        <w:rPr>
          <w:rFonts w:ascii="Arial" w:hAnsi="Arial"/>
          <w:b/>
          <w:i/>
          <w:color w:val="323232"/>
          <w:sz w:val="22"/>
        </w:rPr>
        <w:t>The 4-Level Assessment Use Modes (Trident Framework)</w:t>
      </w:r>
    </w:p>
    <w:p>
      <w:pPr>
        <w:spacing w:before="0" w:after="100" w:line="276" w:lineRule="auto"/>
      </w:pPr>
      <w:r>
        <w:rPr>
          <w:rFonts w:ascii="Arial" w:hAnsi="Arial"/>
          <w:color w:val="1E1E1E"/>
          <w:sz w:val="20"/>
        </w:rPr>
        <w:t>To protect academic integrity while building student AI literacy (Ask -&gt; Analyse -&gt; Verify -&gt; Improve -&gt; Create), all coursework assignments across Sentinel Kabitaka, Trident College, and Frontier must display an explicit Assessment Mode Label:</w:t>
      </w:r>
    </w:p>
    <w:p>
      <w:pPr>
        <w:pStyle w:val="ListBullet"/>
        <w:spacing w:before="0" w:after="60" w:line="276" w:lineRule="auto"/>
      </w:pPr>
      <w:r>
        <w:rPr>
          <w:rFonts w:ascii="Arial" w:hAnsi="Arial"/>
          <w:b/>
          <w:color w:val="141414"/>
          <w:sz w:val="20"/>
        </w:rPr>
        <w:t xml:space="preserve">• Level 1: Prohibited — </w:t>
      </w:r>
      <w:r>
        <w:rPr>
          <w:rFonts w:ascii="Arial" w:hAnsi="Arial"/>
          <w:color w:val="1E1E1E"/>
          <w:sz w:val="20"/>
        </w:rPr>
        <w:t>AI usage is completely prohibited. 100% human unassisted effort required (in-class synoptic writes, timed exams).</w:t>
      </w:r>
    </w:p>
    <w:p>
      <w:pPr>
        <w:pStyle w:val="ListBullet"/>
        <w:spacing w:before="0" w:after="60" w:line="276" w:lineRule="auto"/>
      </w:pPr>
      <w:r>
        <w:rPr>
          <w:rFonts w:ascii="Arial" w:hAnsi="Arial"/>
          <w:b/>
          <w:color w:val="141414"/>
          <w:sz w:val="20"/>
        </w:rPr>
        <w:t xml:space="preserve">• Level 2: Limited — </w:t>
      </w:r>
      <w:r>
        <w:rPr>
          <w:rFonts w:ascii="Arial" w:hAnsi="Arial"/>
          <w:color w:val="1E1E1E"/>
          <w:sz w:val="20"/>
        </w:rPr>
        <w:t>AI permitted solely for initial brainstorming, topic exploration, or outline structuring. Raw text generation banned.</w:t>
      </w:r>
    </w:p>
    <w:p>
      <w:pPr>
        <w:pStyle w:val="ListBullet"/>
        <w:spacing w:before="0" w:after="60" w:line="276" w:lineRule="auto"/>
      </w:pPr>
      <w:r>
        <w:rPr>
          <w:rFonts w:ascii="Arial" w:hAnsi="Arial"/>
          <w:b/>
          <w:color w:val="141414"/>
          <w:sz w:val="20"/>
        </w:rPr>
        <w:t xml:space="preserve">• Level 3: Supported — </w:t>
      </w:r>
      <w:r>
        <w:rPr>
          <w:rFonts w:ascii="Arial" w:hAnsi="Arial"/>
          <w:color w:val="1E1E1E"/>
          <w:sz w:val="20"/>
        </w:rPr>
        <w:t>AI permitted for editing draft text, checking grammar, formatting code, and receiving feedback. Final text must be student-authored.</w:t>
      </w:r>
    </w:p>
    <w:p>
      <w:pPr>
        <w:pStyle w:val="ListBullet"/>
        <w:spacing w:before="0" w:after="60" w:line="276" w:lineRule="auto"/>
      </w:pPr>
      <w:r>
        <w:rPr>
          <w:rFonts w:ascii="Arial" w:hAnsi="Arial"/>
          <w:b/>
          <w:color w:val="141414"/>
          <w:sz w:val="20"/>
        </w:rPr>
        <w:t xml:space="preserve">• Level 4: Integrated — </w:t>
      </w:r>
      <w:r>
        <w:rPr>
          <w:rFonts w:ascii="Arial" w:hAnsi="Arial"/>
          <w:color w:val="1E1E1E"/>
          <w:sz w:val="20"/>
        </w:rPr>
        <w:t>AI collaboration is an explicit, assessed component of the learning task (e.g., prompt engineering, critically auditing AI output).</w:t>
      </w:r>
    </w:p>
    <w:p>
      <w:pPr>
        <w:keepNext/>
        <w:spacing w:before="240" w:after="80"/>
      </w:pPr>
      <w:r>
        <w:rPr>
          <w:rFonts w:ascii="Arial" w:hAnsi="Arial"/>
          <w:b/>
          <w:color w:val="2F5496"/>
          <w:sz w:val="25"/>
        </w:rPr>
        <w:t>3.8 Facilities, Physical Security &amp; Logistics</w:t>
      </w:r>
    </w:p>
    <w:p>
      <w:pPr>
        <w:pStyle w:val="ListBullet"/>
        <w:spacing w:before="0" w:after="60" w:line="276" w:lineRule="auto"/>
      </w:pPr>
      <w:r>
        <w:rPr>
          <w:rFonts w:ascii="Arial" w:hAnsi="Arial"/>
          <w:b/>
          <w:color w:val="141414"/>
          <w:sz w:val="20"/>
        </w:rPr>
        <w:t xml:space="preserve">• Permitted Workflows: </w:t>
      </w:r>
      <w:r>
        <w:rPr>
          <w:rFonts w:ascii="Arial" w:hAnsi="Arial"/>
          <w:color w:val="1E1E1E"/>
          <w:sz w:val="20"/>
        </w:rPr>
        <w:t>Campus maintenance route optimization, energy tracking, and containerized IT helpdesk ticket triage.</w:t>
      </w:r>
    </w:p>
    <w:p>
      <w:pPr>
        <w:pStyle w:val="ListBullet"/>
        <w:spacing w:before="0" w:after="60" w:line="276" w:lineRule="auto"/>
      </w:pPr>
      <w:r>
        <w:rPr>
          <w:rFonts w:ascii="Arial" w:hAnsi="Arial"/>
          <w:b/>
          <w:color w:val="141414"/>
          <w:sz w:val="20"/>
        </w:rPr>
        <w:t xml:space="preserve">• Failure Edge Scenario: </w:t>
      </w:r>
      <w:r>
        <w:rPr>
          <w:rFonts w:ascii="Arial" w:hAnsi="Arial"/>
          <w:color w:val="1E1E1E"/>
          <w:sz w:val="20"/>
        </w:rPr>
        <w:t>Deploying facial recognition or emotion tracking at campus entry gates, or AI bots auto-closing critical physical safety hazard tickets.</w:t>
      </w:r>
    </w:p>
    <w:p>
      <w:pPr>
        <w:pStyle w:val="ListBullet"/>
        <w:spacing w:before="0" w:after="60" w:line="276" w:lineRule="auto"/>
      </w:pPr>
      <w:r>
        <w:rPr>
          <w:rFonts w:ascii="Arial" w:hAnsi="Arial"/>
          <w:b/>
          <w:color w:val="141414"/>
          <w:sz w:val="20"/>
        </w:rPr>
        <w:t xml:space="preserve">• Strictly Prohibited Use Cases: </w:t>
      </w:r>
      <w:r>
        <w:rPr>
          <w:rFonts w:ascii="Arial" w:hAnsi="Arial"/>
          <w:color w:val="1E1E1E"/>
          <w:sz w:val="20"/>
        </w:rPr>
        <w:t>Deploying facial recognition or emotion tracking at campus entry gates or classrooms; allowing AI bots to auto-close or downgrade critical physical safety hazard tickets; uploading CCTV footage containing student faces; autonomously modifying perimeter access hours.</w:t>
      </w:r>
    </w:p>
    <w:p>
      <w:pPr>
        <w:pStyle w:val="ListBullet"/>
        <w:spacing w:before="0" w:after="60" w:line="276" w:lineRule="auto"/>
      </w:pPr>
      <w:r>
        <w:rPr>
          <w:rFonts w:ascii="Arial" w:hAnsi="Arial"/>
          <w:b/>
          <w:color w:val="141414"/>
          <w:sz w:val="20"/>
        </w:rPr>
        <w:t xml:space="preserve">✔ Guardrail Fac-01 (EU AI Act Emotion/Facial Ban): </w:t>
      </w:r>
      <w:r>
        <w:rPr>
          <w:rFonts w:ascii="Arial" w:hAnsi="Arial"/>
          <w:color w:val="1E1E1E"/>
          <w:sz w:val="20"/>
        </w:rPr>
        <w:t>Strict prohibition on facial recognition or emotion tracking at school gates or workplaces under EU AI Act Article 5.</w:t>
      </w:r>
    </w:p>
    <w:p>
      <w:pPr>
        <w:pStyle w:val="ListBullet"/>
        <w:spacing w:before="0" w:after="60" w:line="276" w:lineRule="auto"/>
      </w:pPr>
      <w:r>
        <w:rPr>
          <w:rFonts w:ascii="Arial" w:hAnsi="Arial"/>
          <w:b/>
          <w:color w:val="141414"/>
          <w:sz w:val="20"/>
        </w:rPr>
        <w:t xml:space="preserve">✔ Guardrail Fac-02 (Immediate Human Emergency Dispatch): </w:t>
      </w:r>
      <w:r>
        <w:rPr>
          <w:rFonts w:ascii="Arial" w:hAnsi="Arial"/>
          <w:color w:val="1E1E1E"/>
          <w:sz w:val="20"/>
        </w:rPr>
        <w:t>Physical safety, electrical hazard, or security tickets automatically bypass AI triage and dispatch human responders instantly.</w:t>
      </w:r>
    </w:p>
    <w:p>
      <w:pPr>
        <w:keepNext/>
        <w:spacing w:before="320" w:after="120"/>
      </w:pPr>
      <w:r>
        <w:rPr>
          <w:rFonts w:ascii="Arial" w:hAnsi="Arial"/>
          <w:b/>
          <w:color w:val="003366"/>
          <w:sz w:val="30"/>
        </w:rPr>
        <w:t>4. Microsoft Purview Data Containers &amp; Statutory Red Lines</w:t>
      </w:r>
    </w:p>
    <w:p>
      <w:pPr>
        <w:spacing w:before="0" w:after="100" w:line="276" w:lineRule="auto"/>
      </w:pPr>
      <w:r>
        <w:rPr>
          <w:rFonts w:ascii="Arial" w:hAnsi="Arial"/>
          <w:color w:val="1E1E1E"/>
          <w:sz w:val="20"/>
        </w:rPr>
        <w:t>All SharePoint Online document libraries and OneDrive stores are mapped to four Microsoft Purview sensitivity containers:</w:t>
      </w:r>
    </w:p>
    <w:p>
      <w:pPr>
        <w:pStyle w:val="ListBullet"/>
        <w:spacing w:before="0" w:after="60" w:line="276" w:lineRule="auto"/>
      </w:pPr>
      <w:r>
        <w:rPr>
          <w:rFonts w:ascii="Arial" w:hAnsi="Arial"/>
          <w:b/>
          <w:color w:val="141414"/>
          <w:sz w:val="20"/>
        </w:rPr>
        <w:t xml:space="preserve">1. Confidential - Admin / Finance: </w:t>
      </w:r>
      <w:r>
        <w:rPr>
          <w:rFonts w:ascii="Arial" w:hAnsi="Arial"/>
          <w:color w:val="1E1E1E"/>
          <w:sz w:val="20"/>
        </w:rPr>
        <w:t>Restricted to central operations, HR, and finance. Governed by M365 Copilot Enterprise.</w:t>
      </w:r>
    </w:p>
    <w:p>
      <w:pPr>
        <w:pStyle w:val="ListBullet"/>
        <w:spacing w:before="0" w:after="60" w:line="276" w:lineRule="auto"/>
      </w:pPr>
      <w:r>
        <w:rPr>
          <w:rFonts w:ascii="Arial" w:hAnsi="Arial"/>
          <w:b/>
          <w:color w:val="141414"/>
          <w:sz w:val="20"/>
        </w:rPr>
        <w:t xml:space="preserve">2. Restricted - IT / Systems: </w:t>
      </w:r>
      <w:r>
        <w:rPr>
          <w:rFonts w:ascii="Arial" w:hAnsi="Arial"/>
          <w:color w:val="1E1E1E"/>
          <w:sz w:val="20"/>
        </w:rPr>
        <w:t>Restricted to IT engineers. Governed by GitHub Copilot Enterprise with pre-commit secret scanning.</w:t>
      </w:r>
    </w:p>
    <w:p>
      <w:pPr>
        <w:pStyle w:val="ListBullet"/>
        <w:spacing w:before="0" w:after="60" w:line="276" w:lineRule="auto"/>
      </w:pPr>
      <w:r>
        <w:rPr>
          <w:rFonts w:ascii="Arial" w:hAnsi="Arial"/>
          <w:b/>
          <w:color w:val="141414"/>
          <w:sz w:val="20"/>
        </w:rPr>
        <w:t xml:space="preserve">3. Internal - Educational: </w:t>
      </w:r>
      <w:r>
        <w:rPr>
          <w:rFonts w:ascii="Arial" w:hAnsi="Arial"/>
          <w:color w:val="1E1E1E"/>
          <w:sz w:val="20"/>
        </w:rPr>
        <w:t>Accessible to teaching faculty for curriculum design and lesson formatting.</w:t>
      </w:r>
    </w:p>
    <w:p>
      <w:pPr>
        <w:pStyle w:val="ListBullet"/>
        <w:spacing w:before="0" w:after="60" w:line="276" w:lineRule="auto"/>
      </w:pPr>
      <w:r>
        <w:rPr>
          <w:rFonts w:ascii="Arial" w:hAnsi="Arial"/>
          <w:b/>
          <w:color w:val="141414"/>
          <w:sz w:val="20"/>
        </w:rPr>
        <w:t xml:space="preserve">4. Public / Educational: </w:t>
      </w:r>
      <w:r>
        <w:rPr>
          <w:rFonts w:ascii="Arial" w:hAnsi="Arial"/>
          <w:color w:val="1E1E1E"/>
          <w:sz w:val="20"/>
        </w:rPr>
        <w:t>Approved for student learning portals and public textbook/syllabus indices.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7"/>
      </w:rPr>
      <w:t xml:space="preserve">EDU-DOC-01-v3.0  |  Confidential - Educore Services  |  Page </w:t>
    </w:r>
    <w:fldSimple w:instr="PAGE"/>
    <w:r>
      <w:rPr>
        <w:rFonts w:ascii="Arial" w:hAnsi="Arial"/>
        <w:color w:val="787878"/>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EDUCORE SERVICES AI GOVERNANCE FRAMEWORK | DOC-01: ORGANIZATIONAL GOVERNANCE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196E0EA18B8A34D99B89ED863885C4B" ma:contentTypeVersion="18" ma:contentTypeDescription="Create a new document." ma:contentTypeScope="" ma:versionID="a84182f585645347cf84030d44d059c5">
  <xsd:schema xmlns:xsd="http://www.w3.org/2001/XMLSchema" xmlns:xs="http://www.w3.org/2001/XMLSchema" xmlns:p="http://schemas.microsoft.com/office/2006/metadata/properties" xmlns:ns2="771bb060-2b79-46f9-852d-fb659998ccea" xmlns:ns3="a783dab6-1ccd-495d-8d36-75f7e2558d6c" targetNamespace="http://schemas.microsoft.com/office/2006/metadata/properties" ma:root="true" ma:fieldsID="77b8c9e6baa74e5fa98c358e5e39cb03" ns2:_="" ns3:_="">
    <xsd:import namespace="771bb060-2b79-46f9-852d-fb659998ccea"/>
    <xsd:import namespace="a783dab6-1ccd-495d-8d36-75f7e2558d6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MediaServiceOCR"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1bb060-2b79-46f9-852d-fb659998cc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67af5c4-7bb6-42f4-b499-9fec583fe8c7"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83dab6-1ccd-495d-8d36-75f7e2558d6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768dda4-b66b-486e-bb38-f024d881c4b1}" ma:internalName="TaxCatchAll" ma:showField="CatchAllData" ma:web="a783dab6-1ccd-495d-8d36-75f7e2558d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71bb060-2b79-46f9-852d-fb659998ccea">
      <Terms xmlns="http://schemas.microsoft.com/office/infopath/2007/PartnerControls"/>
    </lcf76f155ced4ddcb4097134ff3c332f>
    <TaxCatchAll xmlns="a783dab6-1ccd-495d-8d36-75f7e2558d6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C8AC0F7-9483-4BEC-ACD3-D21AF170728C}"/>
</file>

<file path=customXml/itemProps3.xml><?xml version="1.0" encoding="utf-8"?>
<ds:datastoreItem xmlns:ds="http://schemas.openxmlformats.org/officeDocument/2006/customXml" ds:itemID="{BFF2E7A3-751B-4E75-9E9F-C60B6053AF73}"/>
</file>

<file path=customXml/itemProps4.xml><?xml version="1.0" encoding="utf-8"?>
<ds:datastoreItem xmlns:ds="http://schemas.openxmlformats.org/officeDocument/2006/customXml" ds:itemID="{73C20F31-5A4C-41C4-8491-C5E4AFF3D08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0x0101007196E0EA18B8A34D99B89ED863885C4B</vt:lpwstr>
  </property>
</Properties>
</file>