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3366"/>
          <w:sz w:val="44"/>
        </w:rPr>
        <w:t>EDUCORE SERVICES PRE-ROLLOUT AI AUDIT &amp; DISCOVERY SURVEY</w:t>
      </w:r>
    </w:p>
    <w:p>
      <w:pPr>
        <w:spacing w:before="0" w:after="320"/>
        <w:jc w:val="left"/>
      </w:pPr>
      <w:r>
        <w:rPr>
          <w:rFonts w:ascii="Arial" w:hAnsi="Arial"/>
          <w:i/>
          <w:color w:val="505050"/>
          <w:sz w:val="24"/>
        </w:rPr>
        <w:t>DOC-03: Technical Discovery, 10-Question Survey &amp; ISO 42001 Asset Schema (v3.0)</w:t>
      </w:r>
    </w:p>
    <w:tbl>
      <w:tblPr>
        <w:tblW w:type="auto" w:w="0"/>
        <w:jc w:val="center"/>
        <w:tblLayout w:type="fixed"/>
        <w:tblLook w:firstColumn="1" w:firstRow="1" w:lastColumn="0" w:lastRow="0" w:noHBand="0" w:noVBand="1" w:val="04A0"/>
      </w:tblPr>
      <w:tblGrid>
        <w:gridCol w:w="9936"/>
      </w:tblGrid>
      <w:tr>
        <w:tc>
          <w:tcPr>
            <w:tcW w:type="dxa" w:w="9792"/>
            <w:shd w:fill="F2F5F9" w:val="clear"/>
            <w:tcMar>
              <w:top w:w="140" w:type="dxa"/>
              <w:bottom w:w="140" w:type="dxa"/>
              <w:left w:w="180" w:type="dxa"/>
              <w:right w:w="180" w:type="dxa"/>
            </w:tcMar>
            <w:tcBorders>
              <w:left w:val="single" w:sz="24" w:space="0" w:color="003366"/>
              <w:top w:val="none"/>
              <w:bottom w:val="none"/>
              <w:right w:val="none"/>
            </w:tcBorders>
          </w:tcPr>
          <w:p>
            <w:pPr>
              <w:spacing w:before="0" w:after="60"/>
            </w:pPr>
            <w:r>
              <w:rPr>
                <w:rFonts w:ascii="Arial" w:hAnsi="Arial"/>
                <w:b/>
                <w:color w:val="003366"/>
                <w:sz w:val="21"/>
              </w:rPr>
              <w:t>AT-A-GLANCE AUDIT SUMMARY</w:t>
              <w:br/>
            </w:r>
            <w:r>
              <w:rPr>
                <w:rFonts w:ascii="Arial" w:hAnsi="Arial"/>
                <w:color w:val="282828"/>
                <w:sz w:val="19"/>
              </w:rPr>
              <w:t>• Primary Objective: Conduct a 3-vector technical and operational audit prior to the Day 31 Enterprise Tenant Cutover to identify shadow IT, unencrypted PII, and SaaS tool proliferation.</w:t>
              <w:br/>
              <w:t>• Audit Scope: All Central Administration departments, Trident College, Sentinel Kabitaka, Frontier, and Educore Teacher Academies.</w:t>
              <w:br/>
              <w:t>• Key Deliverables: CASB/DNS Firewall Scan Report, SharePoint Purview PII Scan Logs (Zambian NRC Regex), 10-Question Survey Findings, ISO 42001 Asset Register Seed Data.</w:t>
              <w:br/>
              <w:t>• Audit Lead Contact: ai-governance@educore.ac.zm.</w:t>
            </w:r>
          </w:p>
        </w:tc>
      </w:tr>
    </w:tbl>
    <w:p>
      <w:pPr>
        <w:spacing w:after="80"/>
      </w:pPr>
    </w:p>
    <w:p>
      <w:pPr>
        <w:keepNext/>
        <w:spacing w:before="320" w:after="120"/>
      </w:pPr>
      <w:r>
        <w:rPr>
          <w:rFonts w:ascii="Arial" w:hAnsi="Arial"/>
          <w:b/>
          <w:color w:val="003366"/>
          <w:sz w:val="30"/>
        </w:rPr>
        <w:t>1. 3-Vector Pre-Rollout Discovery Audit Methodology</w:t>
      </w:r>
    </w:p>
    <w:p>
      <w:pPr>
        <w:spacing w:before="0" w:after="100" w:line="276" w:lineRule="auto"/>
      </w:pPr>
      <w:r>
        <w:rPr>
          <w:rFonts w:ascii="Arial" w:hAnsi="Arial"/>
          <w:color w:val="1E1E1E"/>
          <w:sz w:val="20"/>
        </w:rPr>
        <w:t>To establish an accurate pre-policy risk baseline during Phase 1 (Days 1–30), IT Infrastructure and Compliance leads execute a 3-vector discovery methodology:</w:t>
      </w:r>
    </w:p>
    <w:p>
      <w:pPr>
        <w:pStyle w:val="ListBullet"/>
        <w:spacing w:before="0" w:after="60" w:line="276" w:lineRule="auto"/>
      </w:pPr>
      <w:r>
        <w:rPr>
          <w:rFonts w:ascii="Arial" w:hAnsi="Arial"/>
          <w:b/>
          <w:color w:val="141414"/>
          <w:sz w:val="20"/>
        </w:rPr>
        <w:t xml:space="preserve">Vector 1: Technical Network &amp; CASB Firewall Log Scans — </w:t>
      </w:r>
      <w:r>
        <w:rPr>
          <w:rFonts w:ascii="Arial" w:hAnsi="Arial"/>
          <w:color w:val="1E1E1E"/>
          <w:sz w:val="20"/>
        </w:rPr>
        <w:t>IT security analyzes 90 days of DNS logs, CASB traffic, and proxy gateway data across all campus networks to identify active connections to public LLMs (OpenAI, Anthropic, Midjourney) and unauthorized EdTech platforms.</w:t>
      </w:r>
    </w:p>
    <w:p>
      <w:pPr>
        <w:pStyle w:val="ListBullet"/>
        <w:spacing w:before="0" w:after="60" w:line="276" w:lineRule="auto"/>
      </w:pPr>
      <w:r>
        <w:rPr>
          <w:rFonts w:ascii="Arial" w:hAnsi="Arial"/>
          <w:b/>
          <w:color w:val="141414"/>
          <w:sz w:val="20"/>
        </w:rPr>
        <w:t xml:space="preserve">Vector 2: Purview SharePoint PII Content Scans — </w:t>
      </w:r>
      <w:r>
        <w:rPr>
          <w:rFonts w:ascii="Arial" w:hAnsi="Arial"/>
          <w:color w:val="1E1E1E"/>
          <w:sz w:val="20"/>
        </w:rPr>
        <w:t>Automated Purview crawlers scan SharePoint Online and OneDrive libraries for unencrypted sensitive data, matching Zambian National Registration Card (NRC) regex patterns (\b\d{6}/\d{2}/\d{1}\b), credit card strings, payroll ledgers, and student health files.</w:t>
      </w:r>
    </w:p>
    <w:p>
      <w:pPr>
        <w:pStyle w:val="ListBullet"/>
        <w:spacing w:before="0" w:after="60" w:line="276" w:lineRule="auto"/>
      </w:pPr>
      <w:r>
        <w:rPr>
          <w:rFonts w:ascii="Arial" w:hAnsi="Arial"/>
          <w:b/>
          <w:color w:val="141414"/>
          <w:sz w:val="20"/>
        </w:rPr>
        <w:t xml:space="preserve">Vector 3: SaaS Expense &amp; Financial Procurement Log Audits — </w:t>
      </w:r>
      <w:r>
        <w:rPr>
          <w:rFonts w:ascii="Arial" w:hAnsi="Arial"/>
          <w:color w:val="1E1E1E"/>
          <w:sz w:val="20"/>
        </w:rPr>
        <w:t>Finance inspects corporate credit card logs, departmental expense claims, and IT procurement records for hidden SaaS subscriptions containing embedded AI capabilities.</w:t>
      </w:r>
    </w:p>
    <w:p>
      <w:pPr>
        <w:keepNext/>
        <w:spacing w:before="320" w:after="120"/>
      </w:pPr>
      <w:r>
        <w:rPr>
          <w:rFonts w:ascii="Arial" w:hAnsi="Arial"/>
          <w:b/>
          <w:color w:val="003366"/>
          <w:sz w:val="30"/>
        </w:rPr>
        <w:t>2. Tailored 10-Question Departmental Survey Instrument</w:t>
      </w:r>
    </w:p>
    <w:p>
      <w:pPr>
        <w:spacing w:before="0" w:after="100" w:line="276" w:lineRule="auto"/>
      </w:pPr>
      <w:r>
        <w:rPr>
          <w:rFonts w:ascii="Arial" w:hAnsi="Arial"/>
          <w:color w:val="1E1E1E"/>
          <w:sz w:val="20"/>
        </w:rPr>
        <w:t>The following survey is deployed across all administrative department leads, campus principals, HODs, and technical staff during Phase 1:</w:t>
      </w:r>
    </w:p>
    <w:p>
      <w:pPr>
        <w:spacing w:before="0" w:after="100" w:line="276" w:lineRule="auto"/>
      </w:pPr>
      <w:r>
        <w:rPr>
          <w:rFonts w:ascii="Arial" w:hAnsi="Arial"/>
          <w:b/>
          <w:color w:val="141414"/>
          <w:sz w:val="20"/>
        </w:rPr>
        <w:t xml:space="preserve">Q1: Current Tool Usage: </w:t>
      </w:r>
      <w:r>
        <w:rPr>
          <w:rFonts w:ascii="Arial" w:hAnsi="Arial"/>
          <w:color w:val="1E1E1E"/>
          <w:sz w:val="20"/>
        </w:rPr>
        <w:t>Which AI tools, browser extensions, or platforms (e.g., ChatGPT, Grammarly, Canva, Copilot) do you or your team currently use for work or teaching tasks?</w:t>
      </w:r>
    </w:p>
    <w:p>
      <w:pPr>
        <w:spacing w:before="0" w:after="100" w:line="276" w:lineRule="auto"/>
      </w:pPr>
      <w:r>
        <w:rPr>
          <w:rFonts w:ascii="Arial" w:hAnsi="Arial"/>
          <w:b/>
          <w:color w:val="141414"/>
          <w:sz w:val="20"/>
        </w:rPr>
        <w:t xml:space="preserve">Q2: Login &amp; Account Type: </w:t>
      </w:r>
      <w:r>
        <w:rPr>
          <w:rFonts w:ascii="Arial" w:hAnsi="Arial"/>
          <w:color w:val="1E1E1E"/>
          <w:sz w:val="20"/>
        </w:rPr>
        <w:t>Are these tools accessed using official Educore email logins, personal Google/Microsoft accounts, or shared department logins?</w:t>
      </w:r>
    </w:p>
    <w:p>
      <w:pPr>
        <w:spacing w:before="0" w:after="100" w:line="276" w:lineRule="auto"/>
      </w:pPr>
      <w:r>
        <w:rPr>
          <w:rFonts w:ascii="Arial" w:hAnsi="Arial"/>
          <w:b/>
          <w:color w:val="141414"/>
          <w:sz w:val="20"/>
        </w:rPr>
        <w:t xml:space="preserve">Q3: Frequency &amp; Workflows: </w:t>
      </w:r>
      <w:r>
        <w:rPr>
          <w:rFonts w:ascii="Arial" w:hAnsi="Arial"/>
          <w:color w:val="1E1E1E"/>
          <w:sz w:val="20"/>
        </w:rPr>
        <w:t>How frequently are these tools used (daily, weekly, occasionally), and for what specific operational or academic tasks?</w:t>
      </w:r>
    </w:p>
    <w:p>
      <w:pPr>
        <w:spacing w:before="0" w:after="100" w:line="276" w:lineRule="auto"/>
      </w:pPr>
      <w:r>
        <w:rPr>
          <w:rFonts w:ascii="Arial" w:hAnsi="Arial"/>
          <w:b/>
          <w:color w:val="141414"/>
          <w:sz w:val="20"/>
        </w:rPr>
        <w:t xml:space="preserve">Q4: Data Input Types: </w:t>
      </w:r>
      <w:r>
        <w:rPr>
          <w:rFonts w:ascii="Arial" w:hAnsi="Arial"/>
          <w:color w:val="1E1E1E"/>
          <w:sz w:val="20"/>
        </w:rPr>
        <w:t>What types of information are input into these tools (e.g., student grades, financial figures, lesson plans, email drafts, code scripts)?</w:t>
      </w:r>
    </w:p>
    <w:p>
      <w:pPr>
        <w:spacing w:before="0" w:after="100" w:line="276" w:lineRule="auto"/>
      </w:pPr>
      <w:r>
        <w:rPr>
          <w:rFonts w:ascii="Arial" w:hAnsi="Arial"/>
          <w:b/>
          <w:color w:val="141414"/>
          <w:sz w:val="20"/>
        </w:rPr>
        <w:t xml:space="preserve">Q5: PII &amp; Sensitivity Check: </w:t>
      </w:r>
      <w:r>
        <w:rPr>
          <w:rFonts w:ascii="Arial" w:hAnsi="Arial"/>
          <w:color w:val="1E1E1E"/>
          <w:sz w:val="20"/>
        </w:rPr>
        <w:t>Have any files containing student names, Zambian NRC numbers, staff appraisal notes, or financial ledgers been processed through public AI tools?</w:t>
      </w:r>
    </w:p>
    <w:p>
      <w:pPr>
        <w:spacing w:before="0" w:after="100" w:line="276" w:lineRule="auto"/>
      </w:pPr>
      <w:r>
        <w:rPr>
          <w:rFonts w:ascii="Arial" w:hAnsi="Arial"/>
          <w:b/>
          <w:color w:val="141414"/>
          <w:sz w:val="20"/>
        </w:rPr>
        <w:t xml:space="preserve">Q6: Embedded Third-Party SaaS: </w:t>
      </w:r>
      <w:r>
        <w:rPr>
          <w:rFonts w:ascii="Arial" w:hAnsi="Arial"/>
          <w:color w:val="1E1E1E"/>
          <w:sz w:val="20"/>
        </w:rPr>
        <w:t>Do any third-party software subscriptions currently used in your department contain built-in AI features (e.g., HR tools, accounting software)?</w:t>
      </w:r>
    </w:p>
    <w:p>
      <w:pPr>
        <w:spacing w:before="0" w:after="100" w:line="276" w:lineRule="auto"/>
      </w:pPr>
      <w:r>
        <w:rPr>
          <w:rFonts w:ascii="Arial" w:hAnsi="Arial"/>
          <w:b/>
          <w:color w:val="141414"/>
          <w:sz w:val="20"/>
        </w:rPr>
        <w:t xml:space="preserve">Q7: Productivity Gains: </w:t>
      </w:r>
      <w:r>
        <w:rPr>
          <w:rFonts w:ascii="Arial" w:hAnsi="Arial"/>
          <w:color w:val="1E1E1E"/>
          <w:sz w:val="20"/>
        </w:rPr>
        <w:t>What specific time savings or quality improvements have you observed from using AI in your department?</w:t>
      </w:r>
    </w:p>
    <w:p>
      <w:pPr>
        <w:spacing w:before="0" w:after="100" w:line="276" w:lineRule="auto"/>
      </w:pPr>
      <w:r>
        <w:rPr>
          <w:rFonts w:ascii="Arial" w:hAnsi="Arial"/>
          <w:b/>
          <w:color w:val="141414"/>
          <w:sz w:val="20"/>
        </w:rPr>
        <w:t xml:space="preserve">Q8: Perceived Risks &amp; Concerns: </w:t>
      </w:r>
      <w:r>
        <w:rPr>
          <w:rFonts w:ascii="Arial" w:hAnsi="Arial"/>
          <w:color w:val="1E1E1E"/>
          <w:sz w:val="20"/>
        </w:rPr>
        <w:t>What are your primary concerns regarding AI adoption in your team (e.g., data privacy, accuracy errors, student cheating, workload)?</w:t>
      </w:r>
    </w:p>
    <w:p>
      <w:pPr>
        <w:spacing w:before="0" w:after="100" w:line="276" w:lineRule="auto"/>
      </w:pPr>
      <w:r>
        <w:rPr>
          <w:rFonts w:ascii="Arial" w:hAnsi="Arial"/>
          <w:b/>
          <w:color w:val="141414"/>
          <w:sz w:val="20"/>
        </w:rPr>
        <w:t xml:space="preserve">Q9: Training &amp; Support Needs: </w:t>
      </w:r>
      <w:r>
        <w:rPr>
          <w:rFonts w:ascii="Arial" w:hAnsi="Arial"/>
          <w:color w:val="1E1E1E"/>
          <w:sz w:val="20"/>
        </w:rPr>
        <w:t>What specific training, guidance, or enterprise tools would help your team use AI safely and effectively?</w:t>
      </w:r>
    </w:p>
    <w:p>
      <w:pPr>
        <w:spacing w:before="0" w:after="100" w:line="276" w:lineRule="auto"/>
      </w:pPr>
      <w:r>
        <w:rPr>
          <w:rFonts w:ascii="Arial" w:hAnsi="Arial"/>
          <w:b/>
          <w:color w:val="141414"/>
          <w:sz w:val="20"/>
        </w:rPr>
        <w:t xml:space="preserve">Q10: High-Value Use Cases: </w:t>
      </w:r>
      <w:r>
        <w:rPr>
          <w:rFonts w:ascii="Arial" w:hAnsi="Arial"/>
          <w:color w:val="1E1E1E"/>
          <w:sz w:val="20"/>
        </w:rPr>
        <w:t>What routine, repetitive tasks in your department would benefit most from an authorized enterprise AI tool (e.g., M365 Copilot)?</w:t>
      </w:r>
    </w:p>
    <w:p>
      <w:pPr>
        <w:keepNext/>
        <w:spacing w:before="320" w:after="120"/>
      </w:pPr>
      <w:r>
        <w:rPr>
          <w:rFonts w:ascii="Arial" w:hAnsi="Arial"/>
          <w:b/>
          <w:color w:val="003366"/>
          <w:sz w:val="30"/>
        </w:rPr>
        <w:t>3. ISO 42001 AI Asset Inventory Register Schema</w:t>
      </w:r>
    </w:p>
    <w:p>
      <w:pPr>
        <w:spacing w:before="0" w:after="100" w:line="276" w:lineRule="auto"/>
      </w:pPr>
      <w:r>
        <w:rPr>
          <w:rFonts w:ascii="Arial" w:hAnsi="Arial"/>
          <w:color w:val="1E1E1E"/>
          <w:sz w:val="20"/>
        </w:rPr>
        <w:t>All discovered AI tools, scripts, and models must be logged into the central ISO 42001 Asset Register using the schema below:</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728"/>
            <w:shd w:fill="003366" w:val="clear"/>
            <w:tcMar>
              <w:top w:w="120" w:type="dxa"/>
              <w:bottom w:w="120" w:type="dxa"/>
              <w:left w:w="140" w:type="dxa"/>
              <w:right w:w="140" w:type="dxa"/>
            </w:tcMar>
          </w:tcPr>
          <w:p>
            <w:pPr>
              <w:spacing w:before="0" w:after="0"/>
              <w:jc w:val="left"/>
            </w:pPr>
            <w:r>
              <w:rPr>
                <w:rFonts w:ascii="Arial" w:hAnsi="Arial"/>
                <w:b/>
                <w:color w:val="FFFFFF"/>
                <w:sz w:val="19"/>
              </w:rPr>
              <w:t>Asset ID &amp; Name</w:t>
            </w:r>
          </w:p>
        </w:tc>
        <w:tc>
          <w:tcPr>
            <w:tcW w:type="dxa" w:w="1584"/>
            <w:shd w:fill="003366" w:val="clear"/>
            <w:tcMar>
              <w:top w:w="120" w:type="dxa"/>
              <w:bottom w:w="120" w:type="dxa"/>
              <w:left w:w="140" w:type="dxa"/>
              <w:right w:w="140" w:type="dxa"/>
            </w:tcMar>
          </w:tcPr>
          <w:p>
            <w:pPr>
              <w:spacing w:before="0" w:after="0"/>
              <w:jc w:val="left"/>
            </w:pPr>
            <w:r>
              <w:rPr>
                <w:rFonts w:ascii="Arial" w:hAnsi="Arial"/>
                <w:b/>
                <w:color w:val="FFFFFF"/>
                <w:sz w:val="19"/>
              </w:rPr>
              <w:t>System Owner</w:t>
            </w:r>
          </w:p>
        </w:tc>
        <w:tc>
          <w:tcPr>
            <w:tcW w:type="dxa" w:w="1728"/>
            <w:shd w:fill="003366" w:val="clear"/>
            <w:tcMar>
              <w:top w:w="120" w:type="dxa"/>
              <w:bottom w:w="120" w:type="dxa"/>
              <w:left w:w="140" w:type="dxa"/>
              <w:right w:w="140" w:type="dxa"/>
            </w:tcMar>
          </w:tcPr>
          <w:p>
            <w:pPr>
              <w:spacing w:before="0" w:after="0"/>
              <w:jc w:val="left"/>
            </w:pPr>
            <w:r>
              <w:rPr>
                <w:rFonts w:ascii="Arial" w:hAnsi="Arial"/>
                <w:b/>
                <w:color w:val="FFFFFF"/>
                <w:sz w:val="19"/>
              </w:rPr>
              <w:t>Data Sensitivity</w:t>
            </w:r>
          </w:p>
        </w:tc>
        <w:tc>
          <w:tcPr>
            <w:tcW w:type="dxa" w:w="1728"/>
            <w:shd w:fill="003366" w:val="clear"/>
            <w:tcMar>
              <w:top w:w="120" w:type="dxa"/>
              <w:bottom w:w="120" w:type="dxa"/>
              <w:left w:w="140" w:type="dxa"/>
              <w:right w:w="140" w:type="dxa"/>
            </w:tcMar>
          </w:tcPr>
          <w:p>
            <w:pPr>
              <w:spacing w:before="0" w:after="0"/>
              <w:jc w:val="left"/>
            </w:pPr>
            <w:r>
              <w:rPr>
                <w:rFonts w:ascii="Arial" w:hAnsi="Arial"/>
                <w:b/>
                <w:color w:val="FFFFFF"/>
                <w:sz w:val="19"/>
              </w:rPr>
              <w:t>Purview Label</w:t>
            </w:r>
          </w:p>
        </w:tc>
        <w:tc>
          <w:tcPr>
            <w:tcW w:type="dxa" w:w="1584"/>
            <w:shd w:fill="003366" w:val="clear"/>
            <w:tcMar>
              <w:top w:w="120" w:type="dxa"/>
              <w:bottom w:w="120" w:type="dxa"/>
              <w:left w:w="140" w:type="dxa"/>
              <w:right w:w="140" w:type="dxa"/>
            </w:tcMar>
          </w:tcPr>
          <w:p>
            <w:pPr>
              <w:spacing w:before="0" w:after="0"/>
              <w:jc w:val="left"/>
            </w:pPr>
            <w:r>
              <w:rPr>
                <w:rFonts w:ascii="Arial" w:hAnsi="Arial"/>
                <w:b/>
                <w:color w:val="FFFFFF"/>
                <w:sz w:val="19"/>
              </w:rPr>
              <w:t>EU AI Act Risk Tier</w:t>
            </w:r>
          </w:p>
        </w:tc>
        <w:tc>
          <w:tcPr>
            <w:tcW w:type="dxa" w:w="1440"/>
            <w:shd w:fill="003366" w:val="clear"/>
            <w:tcMar>
              <w:top w:w="120" w:type="dxa"/>
              <w:bottom w:w="120" w:type="dxa"/>
              <w:left w:w="140" w:type="dxa"/>
              <w:right w:w="140" w:type="dxa"/>
            </w:tcMar>
          </w:tcPr>
          <w:p>
            <w:pPr>
              <w:spacing w:before="0" w:after="0"/>
              <w:jc w:val="left"/>
            </w:pPr>
            <w:r>
              <w:rPr>
                <w:rFonts w:ascii="Arial" w:hAnsi="Arial"/>
                <w:b/>
                <w:color w:val="FFFFFF"/>
                <w:sz w:val="19"/>
              </w:rPr>
              <w:t>Approval Status</w:t>
            </w:r>
          </w:p>
        </w:tc>
      </w:tr>
      <w:tr>
        <w:tc>
          <w:tcPr>
            <w:tcW w:type="dxa" w:w="172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AI-AST-001: M365 Copilot</w:t>
            </w:r>
          </w:p>
        </w:tc>
        <w:tc>
          <w:tcPr>
            <w:tcW w:type="dxa" w:w="1584"/>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IT Infrastructure Lead</w:t>
            </w:r>
          </w:p>
        </w:tc>
        <w:tc>
          <w:tcPr>
            <w:tcW w:type="dxa" w:w="172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Confidential Admin</w:t>
            </w:r>
          </w:p>
        </w:tc>
        <w:tc>
          <w:tcPr>
            <w:tcW w:type="dxa" w:w="172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Confidential</w:t>
            </w:r>
          </w:p>
        </w:tc>
        <w:tc>
          <w:tcPr>
            <w:tcW w:type="dxa" w:w="1584"/>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Minimal Risk</w:t>
            </w:r>
          </w:p>
        </w:tc>
        <w:tc>
          <w:tcPr>
            <w:tcW w:type="dxa" w:w="144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APPROVED (Tier 1)</w:t>
            </w:r>
          </w:p>
        </w:tc>
      </w:tr>
      <w:tr>
        <w:tc>
          <w:tcPr>
            <w:tcW w:type="dxa" w:w="172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AI-AST-002: Azure Socratic RAG</w:t>
            </w:r>
          </w:p>
        </w:tc>
        <w:tc>
          <w:tcPr>
            <w:tcW w:type="dxa" w:w="1584"/>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Academic Director</w:t>
            </w:r>
          </w:p>
        </w:tc>
        <w:tc>
          <w:tcPr>
            <w:tcW w:type="dxa" w:w="172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Public Educational</w:t>
            </w:r>
          </w:p>
        </w:tc>
        <w:tc>
          <w:tcPr>
            <w:tcW w:type="dxa" w:w="172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Public</w:t>
            </w:r>
          </w:p>
        </w:tc>
        <w:tc>
          <w:tcPr>
            <w:tcW w:type="dxa" w:w="1584"/>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Minimal Risk</w:t>
            </w:r>
          </w:p>
        </w:tc>
        <w:tc>
          <w:tcPr>
            <w:tcW w:type="dxa" w:w="144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APPROVED (Tier 1)</w:t>
            </w:r>
          </w:p>
        </w:tc>
      </w:tr>
      <w:tr>
        <w:tc>
          <w:tcPr>
            <w:tcW w:type="dxa" w:w="172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AI-AST-003: Grammarly Enterprise</w:t>
            </w:r>
          </w:p>
        </w:tc>
        <w:tc>
          <w:tcPr>
            <w:tcW w:type="dxa" w:w="1584"/>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Corporate Comms Lead</w:t>
            </w:r>
          </w:p>
        </w:tc>
        <w:tc>
          <w:tcPr>
            <w:tcW w:type="dxa" w:w="172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Internal Work</w:t>
            </w:r>
          </w:p>
        </w:tc>
        <w:tc>
          <w:tcPr>
            <w:tcW w:type="dxa" w:w="172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Internal</w:t>
            </w:r>
          </w:p>
        </w:tc>
        <w:tc>
          <w:tcPr>
            <w:tcW w:type="dxa" w:w="1584"/>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Minimal Risk</w:t>
            </w:r>
          </w:p>
        </w:tc>
        <w:tc>
          <w:tcPr>
            <w:tcW w:type="dxa" w:w="144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CONDITIONAL (Tier 2)</w:t>
            </w:r>
          </w:p>
        </w:tc>
      </w:tr>
      <w:tr>
        <w:tc>
          <w:tcPr>
            <w:tcW w:type="dxa" w:w="172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AI-AST-004: ChatGPT Free Login</w:t>
            </w:r>
          </w:p>
        </w:tc>
        <w:tc>
          <w:tcPr>
            <w:tcW w:type="dxa" w:w="1584"/>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Unsanctioned / Public</w:t>
            </w:r>
          </w:p>
        </w:tc>
        <w:tc>
          <w:tcPr>
            <w:tcW w:type="dxa" w:w="172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High Risk PII</w:t>
            </w:r>
          </w:p>
        </w:tc>
        <w:tc>
          <w:tcPr>
            <w:tcW w:type="dxa" w:w="172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Unlabeled</w:t>
            </w:r>
          </w:p>
        </w:tc>
        <w:tc>
          <w:tcPr>
            <w:tcW w:type="dxa" w:w="1584"/>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High Risk (Unvetted)</w:t>
            </w:r>
          </w:p>
        </w:tc>
        <w:tc>
          <w:tcPr>
            <w:tcW w:type="dxa" w:w="144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PROHIBITED (Tier 3)</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EDU-DOC-03-v3.0  |  Confidential - Educore Services  |  Page </w:t>
    </w:r>
    <w:fldSimple w:instr="PAGE"/>
    <w:r>
      <w:rPr>
        <w:rFonts w:ascii="Arial" w:hAnsi="Arial"/>
        <w:color w:val="78787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EDUCORE SERVICES AI GOVERNANCE FRAMEWORK | DOC-03: PRE-ROLLOUT DISCOVERY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96E0EA18B8A34D99B89ED863885C4B" ma:contentTypeVersion="18" ma:contentTypeDescription="Create a new document." ma:contentTypeScope="" ma:versionID="a84182f585645347cf84030d44d059c5">
  <xsd:schema xmlns:xsd="http://www.w3.org/2001/XMLSchema" xmlns:xs="http://www.w3.org/2001/XMLSchema" xmlns:p="http://schemas.microsoft.com/office/2006/metadata/properties" xmlns:ns2="771bb060-2b79-46f9-852d-fb659998ccea" xmlns:ns3="a783dab6-1ccd-495d-8d36-75f7e2558d6c" targetNamespace="http://schemas.microsoft.com/office/2006/metadata/properties" ma:root="true" ma:fieldsID="77b8c9e6baa74e5fa98c358e5e39cb03" ns2:_="" ns3:_="">
    <xsd:import namespace="771bb060-2b79-46f9-852d-fb659998ccea"/>
    <xsd:import namespace="a783dab6-1ccd-495d-8d36-75f7e2558d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1bb060-2b79-46f9-852d-fb659998c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67af5c4-7bb6-42f4-b499-9fec583fe8c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83dab6-1ccd-495d-8d36-75f7e2558d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768dda4-b66b-486e-bb38-f024d881c4b1}" ma:internalName="TaxCatchAll" ma:showField="CatchAllData" ma:web="a783dab6-1ccd-495d-8d36-75f7e2558d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1bb060-2b79-46f9-852d-fb659998ccea">
      <Terms xmlns="http://schemas.microsoft.com/office/infopath/2007/PartnerControls"/>
    </lcf76f155ced4ddcb4097134ff3c332f>
    <TaxCatchAll xmlns="a783dab6-1ccd-495d-8d36-75f7e2558d6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0B19E5D-60E4-4C2F-92ED-5C8898C27F83}"/>
</file>

<file path=customXml/itemProps3.xml><?xml version="1.0" encoding="utf-8"?>
<ds:datastoreItem xmlns:ds="http://schemas.openxmlformats.org/officeDocument/2006/customXml" ds:itemID="{87B97AEB-D9AA-4950-9A8F-25A14AC61520}"/>
</file>

<file path=customXml/itemProps4.xml><?xml version="1.0" encoding="utf-8"?>
<ds:datastoreItem xmlns:ds="http://schemas.openxmlformats.org/officeDocument/2006/customXml" ds:itemID="{C4EFBA8F-53DA-468A-B919-7781D910526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0x0101007196E0EA18B8A34D99B89ED863885C4B</vt:lpwstr>
  </property>
</Properties>
</file>