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002060"/>
          <w:sz w:val="44"/>
        </w:rPr>
        <w:t>Educore Cognitive Bypass Audit Checklist &amp; Integrity Protocol</w:t>
      </w:r>
    </w:p>
    <w:p>
      <w:pPr>
        <w:spacing w:after="320"/>
        <w:jc w:val="center"/>
      </w:pPr>
      <w:r>
        <w:rPr>
          <w:rFonts w:ascii="Arial" w:hAnsi="Arial"/>
          <w:i/>
          <w:color w:val="505050"/>
          <w:sz w:val="24"/>
        </w:rPr>
        <w:t>Academic Verification Matrix, 4-Level Assessment Mode Inspection &amp; Viva Voce SOP | Version 2.0</w:t>
      </w:r>
    </w:p>
    <w:p>
      <w:pPr>
        <w:keepNext/>
        <w:spacing w:before="280" w:after="120"/>
      </w:pPr>
      <w:r>
        <w:rPr>
          <w:rFonts w:ascii="Arial" w:hAnsi="Arial"/>
          <w:b/>
          <w:color w:val="002060"/>
          <w:sz w:val="30"/>
        </w:rPr>
        <w:t>1. Pedagogical Integrity &amp; Anti-Bypass Framework</w:t>
      </w:r>
    </w:p>
    <w:p>
      <w:r>
        <w:t>This document provides educators, HODs, and academic auditors with a structured protocol for auditing student work, verifying genuine cognitive engagement, and mitigating 'cognitive bypass'—the unauthorized offloading of core critical thinking to generative AI tools.</w:t>
      </w:r>
    </w:p>
    <w:p>
      <w:pPr>
        <w:keepNext/>
        <w:spacing w:before="280" w:after="120"/>
      </w:pPr>
      <w:r>
        <w:rPr>
          <w:rFonts w:ascii="Arial" w:hAnsi="Arial"/>
          <w:b/>
          <w:color w:val="002060"/>
          <w:sz w:val="30"/>
        </w:rPr>
        <w:t>2. 4-Vector Academic Verification Audit Matrix</w:t>
      </w:r>
    </w:p>
    <w:p>
      <w:pPr>
        <w:pStyle w:val="ListBullet"/>
        <w:spacing w:after="60"/>
      </w:pPr>
      <w:r>
        <w:rPr>
          <w:b/>
          <w:color w:val="002060"/>
        </w:rPr>
        <w:t xml:space="preserve">Vector 1: Artifact Sampling &amp; Assessment Mode Inspection — </w:t>
      </w:r>
      <w:r>
        <w:t>Random monthly sampling of student submissions to verify compliance with assigned Assessment Use Mode Labels (Level 1 Prohibited, Level 2 Limited, Level 3 Supported, Level 4 Integrated).</w:t>
      </w:r>
    </w:p>
    <w:p>
      <w:pPr>
        <w:pStyle w:val="ListBullet"/>
        <w:spacing w:after="60"/>
      </w:pPr>
      <w:r>
        <w:rPr>
          <w:b/>
          <w:color w:val="002060"/>
        </w:rPr>
        <w:t xml:space="preserve">Vector 2: Azure Socratic RAG System Log Audits — </w:t>
      </w:r>
      <w:r>
        <w:t>Automated inspection of system logs from student-facing Azure Socratic study tutors to ensure bots provide diagnostic hints without revealing direct answers.</w:t>
      </w:r>
    </w:p>
    <w:p>
      <w:pPr>
        <w:pStyle w:val="ListBullet"/>
        <w:spacing w:after="60"/>
      </w:pPr>
      <w:r>
        <w:rPr>
          <w:b/>
          <w:color w:val="002060"/>
        </w:rPr>
        <w:t xml:space="preserve">Vector 3: Unassisted Viva Voce Oral Defenses &amp; Synoptic Writes — </w:t>
      </w:r>
      <w:r>
        <w:t>Conducting brief, 3-minute unassisted oral defenses and in-class synoptic writing checks where students explain their research methodology, arguments, and source choices.</w:t>
      </w:r>
    </w:p>
    <w:p>
      <w:pPr>
        <w:pStyle w:val="ListBullet"/>
        <w:spacing w:after="60"/>
      </w:pPr>
      <w:r>
        <w:rPr>
          <w:b/>
          <w:color w:val="002060"/>
        </w:rPr>
        <w:t xml:space="preserve">Vector 4: Gradebook Variance Benchmarking — </w:t>
      </w:r>
      <w:r>
        <w:t>Statistical analysis comparing student take-home assignment marks against supervised, in-class exam performance. Discrepancies exceeding 20% trigger a Viva Voce review.</w:t>
      </w:r>
    </w:p>
    <w:p>
      <w:pPr>
        <w:keepNext/>
        <w:spacing w:before="280" w:after="120"/>
      </w:pPr>
      <w:r>
        <w:rPr>
          <w:rFonts w:ascii="Arial" w:hAnsi="Arial"/>
          <w:b/>
          <w:color w:val="002060"/>
          <w:sz w:val="30"/>
        </w:rPr>
        <w:t>3. Student Intellectual Ownership &amp; Declaration Protocol</w:t>
      </w:r>
    </w:p>
    <w:p>
      <w:r>
        <w:t>All major student submissions must include a signed Declaration of Intellectual Ownership, affirming sole authorship and acknowledging that the student stands ready to defend their submitted ideas during an unassisted Viva Voce examination.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8"/>
      </w:rPr>
      <w:t xml:space="preserve">Educore Services AI Governance Framework v2.0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96E0EA18B8A34D99B89ED863885C4B" ma:contentTypeVersion="18" ma:contentTypeDescription="Create a new document." ma:contentTypeScope="" ma:versionID="a84182f585645347cf84030d44d059c5">
  <xsd:schema xmlns:xsd="http://www.w3.org/2001/XMLSchema" xmlns:xs="http://www.w3.org/2001/XMLSchema" xmlns:p="http://schemas.microsoft.com/office/2006/metadata/properties" xmlns:ns2="771bb060-2b79-46f9-852d-fb659998ccea" xmlns:ns3="a783dab6-1ccd-495d-8d36-75f7e2558d6c" targetNamespace="http://schemas.microsoft.com/office/2006/metadata/properties" ma:root="true" ma:fieldsID="77b8c9e6baa74e5fa98c358e5e39cb03" ns2:_="" ns3:_="">
    <xsd:import namespace="771bb060-2b79-46f9-852d-fb659998ccea"/>
    <xsd:import namespace="a783dab6-1ccd-495d-8d36-75f7e2558d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1bb060-2b79-46f9-852d-fb659998cc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67af5c4-7bb6-42f4-b499-9fec583fe8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83dab6-1ccd-495d-8d36-75f7e2558d6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768dda4-b66b-486e-bb38-f024d881c4b1}" ma:internalName="TaxCatchAll" ma:showField="CatchAllData" ma:web="a783dab6-1ccd-495d-8d36-75f7e2558d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1bb060-2b79-46f9-852d-fb659998ccea">
      <Terms xmlns="http://schemas.microsoft.com/office/infopath/2007/PartnerControls"/>
    </lcf76f155ced4ddcb4097134ff3c332f>
    <TaxCatchAll xmlns="a783dab6-1ccd-495d-8d36-75f7e2558d6c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AA0B477-E500-4FAD-889A-B267F39B764C}"/>
</file>

<file path=customXml/itemProps3.xml><?xml version="1.0" encoding="utf-8"?>
<ds:datastoreItem xmlns:ds="http://schemas.openxmlformats.org/officeDocument/2006/customXml" ds:itemID="{FD27A7CE-71D9-4777-AE1C-98D1ED0CF83B}"/>
</file>

<file path=customXml/itemProps4.xml><?xml version="1.0" encoding="utf-8"?>
<ds:datastoreItem xmlns:ds="http://schemas.openxmlformats.org/officeDocument/2006/customXml" ds:itemID="{B279668B-E217-4546-9173-B7FC6031B9F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0x0101007196E0EA18B8A34D99B89ED863885C4B</vt:lpwstr>
  </property>
</Properties>
</file>