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color w:val="003366"/>
          <w:sz w:val="44"/>
        </w:rPr>
        <w:t>EDUCORE SERVICES AI GOVERNANCE FRAMEWORK</w:t>
      </w:r>
    </w:p>
    <w:p>
      <w:pPr>
        <w:spacing w:before="0" w:after="320"/>
        <w:jc w:val="left"/>
      </w:pPr>
      <w:r>
        <w:rPr>
          <w:rFonts w:ascii="Arial" w:hAnsi="Arial"/>
          <w:i/>
          <w:color w:val="505050"/>
          <w:sz w:val="24"/>
        </w:rPr>
        <w:t>DOC-00: Master Launch Directory &amp; Central Navigation Hub (v3.0)</w:t>
      </w:r>
    </w:p>
    <w:tbl>
      <w:tblPr>
        <w:tblW w:type="auto" w:w="0"/>
        <w:jc w:val="center"/>
        <w:tblLayout w:type="fixed"/>
        <w:tblLook w:firstColumn="1" w:firstRow="1" w:lastColumn="0" w:lastRow="0" w:noHBand="0" w:noVBand="1" w:val="04A0"/>
      </w:tblPr>
      <w:tblGrid>
        <w:gridCol w:w="9936"/>
      </w:tblGrid>
      <w:tr>
        <w:tc>
          <w:tcPr>
            <w:tcW w:type="dxa" w:w="9792"/>
            <w:shd w:fill="F2F5F9" w:val="clear"/>
            <w:tcMar>
              <w:top w:w="140" w:type="dxa"/>
              <w:bottom w:w="140" w:type="dxa"/>
              <w:left w:w="180" w:type="dxa"/>
              <w:right w:w="180" w:type="dxa"/>
            </w:tcMar>
            <w:tcBorders>
              <w:left w:val="single" w:sz="24" w:space="0" w:color="003366"/>
              <w:top w:val="none"/>
              <w:bottom w:val="none"/>
              <w:right w:val="none"/>
            </w:tcBorders>
          </w:tcPr>
          <w:p>
            <w:pPr>
              <w:spacing w:before="0" w:after="60"/>
            </w:pPr>
            <w:r>
              <w:rPr>
                <w:rFonts w:ascii="Arial" w:hAnsi="Arial"/>
                <w:b/>
                <w:color w:val="003366"/>
                <w:sz w:val="21"/>
              </w:rPr>
              <w:t>DOCUMENT CONTROL &amp; AT-A-GLANCE NAVIGATION</w:t>
              <w:br/>
            </w:r>
            <w:r>
              <w:rPr>
                <w:rFonts w:ascii="Arial" w:hAnsi="Arial"/>
                <w:color w:val="282828"/>
                <w:sz w:val="19"/>
              </w:rPr>
              <w:t>• Target Audience: All Educore Employees, Department Leads, Campus Principals, IT Leads, Educators, and Auditors.</w:t>
              <w:br/>
              <w:t>• Framework Model: 3-Tier Access Hierarchy (Hub &amp; 4 Operational Spokes Model).</w:t>
              <w:br/>
              <w:t>• Primary Objective: Provide single-point directory navigation, inter-document cross-referencing, version control, and emergency incident routing.</w:t>
              <w:br/>
              <w:t>• Central Intake Channel: ai-governance@educore.ac.zm (24-Hour Acknowledgment SLA | 5-Day Resolution SLA).</w:t>
              <w:br/>
              <w:t>• Governing Body: Educore Cross-Functional AI Steering Committee &amp; Executive Directorate.</w:t>
              <w:br/>
              <w:t>• Statutory Alignment: Zambian Data Protection Act (No. 3 of 2021) | ISO/IEC 42001:2023 AIMS | EU AI Act | NIST AI RMF.</w:t>
            </w:r>
          </w:p>
        </w:tc>
      </w:tr>
    </w:tbl>
    <w:p>
      <w:pPr>
        <w:spacing w:after="80"/>
      </w:pPr>
    </w:p>
    <w:p>
      <w:pPr>
        <w:keepNext/>
        <w:spacing w:before="320" w:after="120"/>
      </w:pPr>
      <w:r>
        <w:rPr>
          <w:rFonts w:ascii="Arial" w:hAnsi="Arial"/>
          <w:b/>
          <w:color w:val="003366"/>
          <w:sz w:val="30"/>
        </w:rPr>
        <w:t>1. Executive Framework Architecture &amp; 3-Tier Access Structure</w:t>
      </w:r>
    </w:p>
    <w:p>
      <w:pPr>
        <w:spacing w:before="0" w:after="100" w:line="276" w:lineRule="auto"/>
      </w:pPr>
      <w:r>
        <w:rPr>
          <w:rFonts w:ascii="Arial" w:hAnsi="Arial"/>
          <w:color w:val="1E1E1E"/>
          <w:sz w:val="20"/>
        </w:rPr>
        <w:t>To maximize operational efficiency, reference speed, and daily compliance across all Educore Services units (including Central Administration, Sentinel Kabitaka, Trident College, Frontier, and Educore Teacher Academies), the governance suite is structured into a 3-Tier Access Hierarchy. This ensures that staff can find their operational boundaries in under 10 seconds without wading through complex regulatory clauses or project management roadmaps.</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872"/>
            <w:shd w:fill="003366" w:val="clear"/>
            <w:tcMar>
              <w:top w:w="120" w:type="dxa"/>
              <w:bottom w:w="120" w:type="dxa"/>
              <w:left w:w="140" w:type="dxa"/>
              <w:right w:w="140" w:type="dxa"/>
            </w:tcMar>
          </w:tcPr>
          <w:p>
            <w:pPr>
              <w:spacing w:before="0" w:after="0"/>
              <w:jc w:val="left"/>
            </w:pPr>
            <w:r>
              <w:rPr>
                <w:rFonts w:ascii="Arial" w:hAnsi="Arial"/>
                <w:b/>
                <w:color w:val="FFFFFF"/>
                <w:sz w:val="19"/>
              </w:rPr>
              <w:t>Tier Level &amp; Focus</w:t>
            </w:r>
          </w:p>
        </w:tc>
        <w:tc>
          <w:tcPr>
            <w:tcW w:type="dxa" w:w="3168"/>
            <w:shd w:fill="003366" w:val="clear"/>
            <w:tcMar>
              <w:top w:w="120" w:type="dxa"/>
              <w:bottom w:w="120" w:type="dxa"/>
              <w:left w:w="140" w:type="dxa"/>
              <w:right w:w="140" w:type="dxa"/>
            </w:tcMar>
          </w:tcPr>
          <w:p>
            <w:pPr>
              <w:spacing w:before="0" w:after="0"/>
              <w:jc w:val="left"/>
            </w:pPr>
            <w:r>
              <w:rPr>
                <w:rFonts w:ascii="Arial" w:hAnsi="Arial"/>
                <w:b/>
                <w:color w:val="FFFFFF"/>
                <w:sz w:val="19"/>
              </w:rPr>
              <w:t>Document ID &amp; Filename</w:t>
            </w:r>
          </w:p>
        </w:tc>
        <w:tc>
          <w:tcPr>
            <w:tcW w:type="dxa" w:w="2160"/>
            <w:shd w:fill="003366" w:val="clear"/>
            <w:tcMar>
              <w:top w:w="120" w:type="dxa"/>
              <w:bottom w:w="120" w:type="dxa"/>
              <w:left w:w="140" w:type="dxa"/>
              <w:right w:w="140" w:type="dxa"/>
            </w:tcMar>
          </w:tcPr>
          <w:p>
            <w:pPr>
              <w:spacing w:before="0" w:after="0"/>
              <w:jc w:val="left"/>
            </w:pPr>
            <w:r>
              <w:rPr>
                <w:rFonts w:ascii="Arial" w:hAnsi="Arial"/>
                <w:b/>
                <w:color w:val="FFFFFF"/>
                <w:sz w:val="19"/>
              </w:rPr>
              <w:t>Target Audience</w:t>
            </w:r>
          </w:p>
        </w:tc>
        <w:tc>
          <w:tcPr>
            <w:tcW w:type="dxa" w:w="2592"/>
            <w:shd w:fill="003366" w:val="clear"/>
            <w:tcMar>
              <w:top w:w="120" w:type="dxa"/>
              <w:bottom w:w="120" w:type="dxa"/>
              <w:left w:w="140" w:type="dxa"/>
              <w:right w:w="140" w:type="dxa"/>
            </w:tcMar>
          </w:tcPr>
          <w:p>
            <w:pPr>
              <w:spacing w:before="0" w:after="0"/>
              <w:jc w:val="left"/>
            </w:pPr>
            <w:r>
              <w:rPr>
                <w:rFonts w:ascii="Arial" w:hAnsi="Arial"/>
                <w:b/>
                <w:color w:val="FFFFFF"/>
                <w:sz w:val="19"/>
              </w:rPr>
              <w:t>Primary Operational Function</w:t>
            </w:r>
          </w:p>
        </w:tc>
      </w:tr>
      <w:tr>
        <w:tc>
          <w:tcPr>
            <w:tcW w:type="dxa" w:w="1872"/>
            <w:shd w:fill="FFFFFF"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CENTRAL HUB</w:t>
              <w:br/>
              <w:t>Navigation</w:t>
            </w:r>
          </w:p>
        </w:tc>
        <w:tc>
          <w:tcPr>
            <w:tcW w:type="dxa" w:w="3168"/>
            <w:shd w:fill="FFFFFF"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DOC-00</w:t>
              <w:br/>
              <w:t>educore-doc-00-master-launch-directory-v3-0.docx</w:t>
            </w:r>
          </w:p>
        </w:tc>
        <w:tc>
          <w:tcPr>
            <w:tcW w:type="dxa" w:w="2160"/>
            <w:shd w:fill="FFFFFF"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All Staff, Leads, Auditors</w:t>
            </w:r>
          </w:p>
        </w:tc>
        <w:tc>
          <w:tcPr>
            <w:tcW w:type="dxa" w:w="2592"/>
            <w:shd w:fill="FFFFFF"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Central reception node, document directory, cross-reference matrix, emergency contact SLA.</w:t>
            </w:r>
          </w:p>
        </w:tc>
      </w:tr>
      <w:tr>
        <w:tc>
          <w:tcPr>
            <w:tcW w:type="dxa" w:w="1872"/>
            <w:shd w:fill="F9FBFD"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TIER 1</w:t>
              <w:br/>
              <w:t>Daily Rules</w:t>
            </w:r>
          </w:p>
        </w:tc>
        <w:tc>
          <w:tcPr>
            <w:tcW w:type="dxa" w:w="3168"/>
            <w:shd w:fill="F9FBFD"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DOC-01</w:t>
              <w:br/>
              <w:t>educore-doc-01-organizational-governance-policy-v3-0.docx</w:t>
            </w:r>
          </w:p>
        </w:tc>
        <w:tc>
          <w:tcPr>
            <w:tcW w:type="dxa" w:w="2160"/>
            <w:shd w:fill="F9FBFD"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ALL Staff, Faculty, Students</w:t>
            </w:r>
          </w:p>
        </w:tc>
        <w:tc>
          <w:tcPr>
            <w:tcW w:type="dxa" w:w="2592"/>
            <w:shd w:fill="F9FBFD"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Daily Dos &amp; Don'ts, 3-Tier Software Registry, Departmental Guardrails, LTCES Filter, 4 Assessment Modes.</w:t>
            </w:r>
          </w:p>
        </w:tc>
      </w:tr>
      <w:tr>
        <w:tc>
          <w:tcPr>
            <w:tcW w:type="dxa" w:w="1872"/>
            <w:shd w:fill="FFFFFF"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TIER 2</w:t>
              <w:br/>
              <w:t>Execution &amp; Audit</w:t>
            </w:r>
          </w:p>
        </w:tc>
        <w:tc>
          <w:tcPr>
            <w:tcW w:type="dxa" w:w="3168"/>
            <w:shd w:fill="FFFFFF"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DOC-02</w:t>
              <w:br/>
              <w:t>educore-doc-02-implementation-action-plan-v3-0.docx</w:t>
            </w:r>
          </w:p>
        </w:tc>
        <w:tc>
          <w:tcPr>
            <w:tcW w:type="dxa" w:w="2160"/>
            <w:shd w:fill="FFFFFF"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Steering Comm, Dept Leads, PMs</w:t>
            </w:r>
          </w:p>
        </w:tc>
        <w:tc>
          <w:tcPr>
            <w:tcW w:type="dxa" w:w="2592"/>
            <w:shd w:fill="FFFFFF"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180-Day Execution Schedule, Day 31 Enterprise Tenant Cutover, RACI Matrix, 3-Year Horizon (2026–2029).</w:t>
            </w:r>
          </w:p>
        </w:tc>
      </w:tr>
      <w:tr>
        <w:tc>
          <w:tcPr>
            <w:tcW w:type="dxa" w:w="1872"/>
            <w:shd w:fill="F9FBFD"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TIER 2</w:t>
              <w:br/>
              <w:t>Discovery &amp; Assets</w:t>
            </w:r>
          </w:p>
        </w:tc>
        <w:tc>
          <w:tcPr>
            <w:tcW w:type="dxa" w:w="3168"/>
            <w:shd w:fill="F9FBFD"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DOC-03</w:t>
              <w:br/>
              <w:t>educore-doc-03-pre-rollout-discovery-survey-v3-0.docx</w:t>
            </w:r>
          </w:p>
        </w:tc>
        <w:tc>
          <w:tcPr>
            <w:tcW w:type="dxa" w:w="2160"/>
            <w:shd w:fill="F9FBFD"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IT Leads, HODs, Compliance Officers</w:t>
            </w:r>
          </w:p>
        </w:tc>
        <w:tc>
          <w:tcPr>
            <w:tcW w:type="dxa" w:w="2592"/>
            <w:shd w:fill="F9FBFD"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3-Vector Pre-Rollout Discovery (CASB, Purview PII Scans), 10-Q Survey, ISO 42001 Asset Register Schema.</w:t>
            </w:r>
          </w:p>
        </w:tc>
      </w:tr>
      <w:tr>
        <w:tc>
          <w:tcPr>
            <w:tcW w:type="dxa" w:w="1872"/>
            <w:shd w:fill="FFFFFF"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TIER 3</w:t>
              <w:br/>
              <w:t>Architecture &amp; Standards</w:t>
            </w:r>
          </w:p>
        </w:tc>
        <w:tc>
          <w:tcPr>
            <w:tcW w:type="dxa" w:w="3168"/>
            <w:shd w:fill="FFFFFF"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DOC-04</w:t>
              <w:br/>
              <w:t>educore-doc-04-master-implementation-handbook-v3-0.docx</w:t>
            </w:r>
          </w:p>
        </w:tc>
        <w:tc>
          <w:tcPr>
            <w:tcW w:type="dxa" w:w="2160"/>
            <w:shd w:fill="FFFFFF"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IT DevOps, Legal, Auditors, Leadership</w:t>
            </w:r>
          </w:p>
        </w:tc>
        <w:tc>
          <w:tcPr>
            <w:tcW w:type="dxa" w:w="2592"/>
            <w:shd w:fill="FFFFFF"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Master Operating Authority, Microsoft Cloud &amp; Purview DLP Topology, Agent Autonomy Spectrum, 38 ISO 42001 Controls.</w:t>
            </w:r>
          </w:p>
        </w:tc>
      </w:tr>
    </w:tbl>
    <w:p>
      <w:pPr>
        <w:keepNext/>
        <w:spacing w:before="320" w:after="120"/>
      </w:pPr>
      <w:r>
        <w:rPr>
          <w:rFonts w:ascii="Arial" w:hAnsi="Arial"/>
          <w:b/>
          <w:color w:val="003366"/>
          <w:sz w:val="30"/>
        </w:rPr>
        <w:t>2. Foundational Principles &amp; Core Guiding Philosophies</w:t>
      </w:r>
    </w:p>
    <w:p>
      <w:pPr>
        <w:spacing w:before="0" w:after="100" w:line="276" w:lineRule="auto"/>
      </w:pPr>
      <w:r>
        <w:rPr>
          <w:rFonts w:ascii="Arial" w:hAnsi="Arial"/>
          <w:color w:val="1E1E1E"/>
          <w:sz w:val="20"/>
        </w:rPr>
        <w:t>The entire Educore AI Governance Framework is anchored on three non-negotiable core principles established across our strategic plans:</w:t>
      </w:r>
    </w:p>
    <w:p>
      <w:pPr>
        <w:pStyle w:val="ListBullet"/>
        <w:spacing w:before="0" w:after="60" w:line="276" w:lineRule="auto"/>
      </w:pPr>
      <w:r>
        <w:rPr>
          <w:rFonts w:ascii="Arial" w:hAnsi="Arial"/>
          <w:b/>
          <w:color w:val="141414"/>
          <w:sz w:val="20"/>
        </w:rPr>
        <w:t xml:space="preserve">1. The North Star Principle (Trident Model): </w:t>
      </w:r>
      <w:r>
        <w:rPr>
          <w:rFonts w:ascii="Arial" w:hAnsi="Arial"/>
          <w:color w:val="1E1E1E"/>
          <w:sz w:val="20"/>
        </w:rPr>
        <w:t>Artificial Intelligence is deployed to augment human capability, professional judgment, and educator intuition—never to replace essential human relationships, teacher-student connections, or executive accountability.</w:t>
      </w:r>
    </w:p>
    <w:p>
      <w:pPr>
        <w:pStyle w:val="ListBullet"/>
        <w:spacing w:before="0" w:after="60" w:line="276" w:lineRule="auto"/>
      </w:pPr>
      <w:r>
        <w:rPr>
          <w:rFonts w:ascii="Arial" w:hAnsi="Arial"/>
          <w:b/>
          <w:color w:val="141414"/>
          <w:sz w:val="20"/>
        </w:rPr>
        <w:t xml:space="preserve">2. Enable and Govern Philosophy: </w:t>
      </w:r>
      <w:r>
        <w:rPr>
          <w:rFonts w:ascii="Arial" w:hAnsi="Arial"/>
          <w:color w:val="1E1E1E"/>
          <w:sz w:val="20"/>
        </w:rPr>
        <w:t>Educore maintains an active 'Enable and Govern' operational strategy. Central administration establishes firm security boundaries, identity controls, and compliance guardrails, while empowering individual campuses and departments to innovate within set parameters.</w:t>
      </w:r>
    </w:p>
    <w:p>
      <w:pPr>
        <w:pStyle w:val="ListBullet"/>
        <w:spacing w:before="0" w:after="60" w:line="276" w:lineRule="auto"/>
      </w:pPr>
      <w:r>
        <w:rPr>
          <w:rFonts w:ascii="Arial" w:hAnsi="Arial"/>
          <w:b/>
          <w:color w:val="141414"/>
          <w:sz w:val="20"/>
        </w:rPr>
        <w:t xml:space="preserve">3. Rigorous Pre-Pilot Screening: </w:t>
      </w:r>
      <w:r>
        <w:rPr>
          <w:rFonts w:ascii="Arial" w:hAnsi="Arial"/>
          <w:color w:val="1E1E1E"/>
          <w:sz w:val="20"/>
        </w:rPr>
        <w:t>All proposed AI applications, tools, and workflows must pass the 5-dimension LTCES filter (Learning, Teachers, Community, Ethical, Sustainable) and the 7-Question Business Case Test prior to pilot approval or deployment.</w:t>
      </w:r>
    </w:p>
    <w:p>
      <w:pPr>
        <w:keepNext/>
        <w:spacing w:before="320" w:after="120"/>
      </w:pPr>
      <w:r>
        <w:rPr>
          <w:rFonts w:ascii="Arial" w:hAnsi="Arial"/>
          <w:b/>
          <w:color w:val="003366"/>
          <w:sz w:val="30"/>
        </w:rPr>
        <w:t>3. Master Version Control &amp; Inter-Document Cross-Reference Matrix</w:t>
      </w:r>
    </w:p>
    <w:p>
      <w:pPr>
        <w:spacing w:before="0" w:after="100" w:line="276" w:lineRule="auto"/>
      </w:pPr>
      <w:r>
        <w:rPr>
          <w:rFonts w:ascii="Arial" w:hAnsi="Arial"/>
          <w:color w:val="1E1E1E"/>
          <w:sz w:val="20"/>
        </w:rPr>
        <w:t>Every document in the Hub &amp; Spokes suite operates under active version control. When referencing specific rules across the suite, use the cross-reference grid below:</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003366" w:val="clear"/>
            <w:tcMar>
              <w:top w:w="120" w:type="dxa"/>
              <w:bottom w:w="120" w:type="dxa"/>
              <w:left w:w="140" w:type="dxa"/>
              <w:right w:w="140" w:type="dxa"/>
            </w:tcMar>
          </w:tcPr>
          <w:p>
            <w:pPr>
              <w:spacing w:before="0" w:after="0"/>
              <w:jc w:val="left"/>
            </w:pPr>
            <w:r>
              <w:rPr>
                <w:rFonts w:ascii="Arial" w:hAnsi="Arial"/>
                <w:b/>
                <w:color w:val="FFFFFF"/>
                <w:sz w:val="19"/>
              </w:rPr>
              <w:t>Functional Requirement / Topic</w:t>
            </w:r>
          </w:p>
        </w:tc>
        <w:tc>
          <w:tcPr>
            <w:tcW w:type="dxa" w:w="2160"/>
            <w:shd w:fill="003366" w:val="clear"/>
            <w:tcMar>
              <w:top w:w="120" w:type="dxa"/>
              <w:bottom w:w="120" w:type="dxa"/>
              <w:left w:w="140" w:type="dxa"/>
              <w:right w:w="140" w:type="dxa"/>
            </w:tcMar>
          </w:tcPr>
          <w:p>
            <w:pPr>
              <w:spacing w:before="0" w:after="0"/>
              <w:jc w:val="left"/>
            </w:pPr>
            <w:r>
              <w:rPr>
                <w:rFonts w:ascii="Arial" w:hAnsi="Arial"/>
                <w:b/>
                <w:color w:val="FFFFFF"/>
                <w:sz w:val="19"/>
              </w:rPr>
              <w:t>Primary Governing Document</w:t>
            </w:r>
          </w:p>
        </w:tc>
        <w:tc>
          <w:tcPr>
            <w:tcW w:type="dxa" w:w="2160"/>
            <w:shd w:fill="003366" w:val="clear"/>
            <w:tcMar>
              <w:top w:w="120" w:type="dxa"/>
              <w:bottom w:w="120" w:type="dxa"/>
              <w:left w:w="140" w:type="dxa"/>
              <w:right w:w="140" w:type="dxa"/>
            </w:tcMar>
          </w:tcPr>
          <w:p>
            <w:pPr>
              <w:spacing w:before="0" w:after="0"/>
              <w:jc w:val="left"/>
            </w:pPr>
            <w:r>
              <w:rPr>
                <w:rFonts w:ascii="Arial" w:hAnsi="Arial"/>
                <w:b/>
                <w:color w:val="FFFFFF"/>
                <w:sz w:val="19"/>
              </w:rPr>
              <w:t>Specific Reference Section</w:t>
            </w:r>
          </w:p>
        </w:tc>
        <w:tc>
          <w:tcPr>
            <w:tcW w:type="dxa" w:w="2880"/>
            <w:shd w:fill="003366" w:val="clear"/>
            <w:tcMar>
              <w:top w:w="120" w:type="dxa"/>
              <w:bottom w:w="120" w:type="dxa"/>
              <w:left w:w="140" w:type="dxa"/>
              <w:right w:w="140" w:type="dxa"/>
            </w:tcMar>
          </w:tcPr>
          <w:p>
            <w:pPr>
              <w:spacing w:before="0" w:after="0"/>
              <w:jc w:val="left"/>
            </w:pPr>
            <w:r>
              <w:rPr>
                <w:rFonts w:ascii="Arial" w:hAnsi="Arial"/>
                <w:b/>
                <w:color w:val="FFFFFF"/>
                <w:sz w:val="19"/>
              </w:rPr>
              <w:t>Key Operational Controls</w:t>
            </w:r>
          </w:p>
        </w:tc>
      </w:tr>
      <w:tr>
        <w:tc>
          <w:tcPr>
            <w:tcW w:type="dxa" w:w="2592"/>
            <w:shd w:fill="FFFFFF"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Approved AI Tools &amp; Software Registry</w:t>
            </w:r>
          </w:p>
        </w:tc>
        <w:tc>
          <w:tcPr>
            <w:tcW w:type="dxa" w:w="2160"/>
            <w:shd w:fill="FFFFFF"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DOC-01 Governance Policy</w:t>
            </w:r>
          </w:p>
        </w:tc>
        <w:tc>
          <w:tcPr>
            <w:tcW w:type="dxa" w:w="2160"/>
            <w:shd w:fill="FFFFFF"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Section 2.0 (Page 2)</w:t>
            </w:r>
          </w:p>
        </w:tc>
        <w:tc>
          <w:tcPr>
            <w:tcW w:type="dxa" w:w="2880"/>
            <w:shd w:fill="FFFFFF"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Tier 1 Enterprise M365/Azure, Tier 2 Conditional SSO, Tier 3 Prohibited Public LLMs.</w:t>
            </w:r>
          </w:p>
        </w:tc>
      </w:tr>
      <w:tr>
        <w:tc>
          <w:tcPr>
            <w:tcW w:type="dxa" w:w="2592"/>
            <w:shd w:fill="F9FBFD"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Departmental Dos &amp; Don'ts &amp; Guardrails</w:t>
            </w:r>
          </w:p>
        </w:tc>
        <w:tc>
          <w:tcPr>
            <w:tcW w:type="dxa" w:w="2160"/>
            <w:shd w:fill="F9FBFD"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DOC-01 Governance Policy</w:t>
            </w:r>
          </w:p>
        </w:tc>
        <w:tc>
          <w:tcPr>
            <w:tcW w:type="dxa" w:w="2160"/>
            <w:shd w:fill="F9FBFD"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Section 3.1 – 3.8</w:t>
            </w:r>
          </w:p>
        </w:tc>
        <w:tc>
          <w:tcPr>
            <w:tcW w:type="dxa" w:w="2880"/>
            <w:shd w:fill="F9FBFD"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Procedural non-software guardrails for Finance, HR, IT, Procurement, Legal, Faculty, Students, Facilities.</w:t>
            </w:r>
          </w:p>
        </w:tc>
      </w:tr>
      <w:tr>
        <w:tc>
          <w:tcPr>
            <w:tcW w:type="dxa" w:w="2592"/>
            <w:shd w:fill="FFFFFF"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LTCES Pre-Pilot Screening Rubric</w:t>
            </w:r>
          </w:p>
        </w:tc>
        <w:tc>
          <w:tcPr>
            <w:tcW w:type="dxa" w:w="2160"/>
            <w:shd w:fill="FFFFFF"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DOC-01 Policy / DOC-04 Handbook</w:t>
            </w:r>
          </w:p>
        </w:tc>
        <w:tc>
          <w:tcPr>
            <w:tcW w:type="dxa" w:w="2160"/>
            <w:shd w:fill="FFFFFF"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DOC-01 Sec 1.2 / DOC-04 Sec 4.1</w:t>
            </w:r>
          </w:p>
        </w:tc>
        <w:tc>
          <w:tcPr>
            <w:tcW w:type="dxa" w:w="2880"/>
            <w:shd w:fill="FFFFFF"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5-dimension evaluation filter (Learning, Teachers, Community, Ethical, Sustainable).</w:t>
            </w:r>
          </w:p>
        </w:tc>
      </w:tr>
      <w:tr>
        <w:tc>
          <w:tcPr>
            <w:tcW w:type="dxa" w:w="2592"/>
            <w:shd w:fill="F9FBFD"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4-Level Classroom Assessment Modes</w:t>
            </w:r>
          </w:p>
        </w:tc>
        <w:tc>
          <w:tcPr>
            <w:tcW w:type="dxa" w:w="2160"/>
            <w:shd w:fill="F9FBFD"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DOC-01 Policy / DOC-04 Handbook</w:t>
            </w:r>
          </w:p>
        </w:tc>
        <w:tc>
          <w:tcPr>
            <w:tcW w:type="dxa" w:w="2160"/>
            <w:shd w:fill="F9FBFD"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DOC-01 Sec 3.6 / DOC-04 Sec 5.2</w:t>
            </w:r>
          </w:p>
        </w:tc>
        <w:tc>
          <w:tcPr>
            <w:tcW w:type="dxa" w:w="2880"/>
            <w:shd w:fill="F9FBFD"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Level 1 Prohibited, Level 2 Limited, Level 3 Supported, Level 4 Integrated assignment labeling.</w:t>
            </w:r>
          </w:p>
        </w:tc>
      </w:tr>
      <w:tr>
        <w:tc>
          <w:tcPr>
            <w:tcW w:type="dxa" w:w="2592"/>
            <w:shd w:fill="FFFFFF"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180-Day Action Plan &amp; Day 31 Switch</w:t>
            </w:r>
          </w:p>
        </w:tc>
        <w:tc>
          <w:tcPr>
            <w:tcW w:type="dxa" w:w="2160"/>
            <w:shd w:fill="FFFFFF"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DOC-02 Action Plan</w:t>
            </w:r>
          </w:p>
        </w:tc>
        <w:tc>
          <w:tcPr>
            <w:tcW w:type="dxa" w:w="2160"/>
            <w:shd w:fill="FFFFFF"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Section 2.0 &amp; Section 3.1</w:t>
            </w:r>
          </w:p>
        </w:tc>
        <w:tc>
          <w:tcPr>
            <w:tcW w:type="dxa" w:w="2880"/>
            <w:shd w:fill="FFFFFF"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Phase 1 Pre-Rollout Discovery (Days 1–30), Day 31 Enterprise M365/Azure Tenant Cutover.</w:t>
            </w:r>
          </w:p>
        </w:tc>
      </w:tr>
      <w:tr>
        <w:tc>
          <w:tcPr>
            <w:tcW w:type="dxa" w:w="2592"/>
            <w:shd w:fill="F9FBFD"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3-Year Strategic Growth Horizon</w:t>
            </w:r>
          </w:p>
        </w:tc>
        <w:tc>
          <w:tcPr>
            <w:tcW w:type="dxa" w:w="2160"/>
            <w:shd w:fill="F9FBFD"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DOC-02 Action Plan</w:t>
            </w:r>
          </w:p>
        </w:tc>
        <w:tc>
          <w:tcPr>
            <w:tcW w:type="dxa" w:w="2160"/>
            <w:shd w:fill="F9FBFD"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Section 4.0 (2026–2029)</w:t>
            </w:r>
          </w:p>
        </w:tc>
        <w:tc>
          <w:tcPr>
            <w:tcW w:type="dxa" w:w="2880"/>
            <w:shd w:fill="F9FBFD"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4-Phase roadmap: Foundation, Controlled Pilots, Curriculum Integration, AI-Enabled Ecosystem.</w:t>
            </w:r>
          </w:p>
        </w:tc>
      </w:tr>
      <w:tr>
        <w:tc>
          <w:tcPr>
            <w:tcW w:type="dxa" w:w="2592"/>
            <w:shd w:fill="FFFFFF"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Pre-Rollout Audit &amp; PII Scans</w:t>
            </w:r>
          </w:p>
        </w:tc>
        <w:tc>
          <w:tcPr>
            <w:tcW w:type="dxa" w:w="2160"/>
            <w:shd w:fill="FFFFFF"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DOC-03 Discovery Survey</w:t>
            </w:r>
          </w:p>
        </w:tc>
        <w:tc>
          <w:tcPr>
            <w:tcW w:type="dxa" w:w="2160"/>
            <w:shd w:fill="FFFFFF"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Section 1.0 – 3.0</w:t>
            </w:r>
          </w:p>
        </w:tc>
        <w:tc>
          <w:tcPr>
            <w:tcW w:type="dxa" w:w="2880"/>
            <w:shd w:fill="FFFFFF"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CASB/DNS firewall scans, Purview SharePoint PII regex scans, 10-Question Survey, Asset Register.</w:t>
            </w:r>
          </w:p>
        </w:tc>
      </w:tr>
      <w:tr>
        <w:tc>
          <w:tcPr>
            <w:tcW w:type="dxa" w:w="2592"/>
            <w:shd w:fill="F9FBFD"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Microsoft Cloud Architecture &amp; DLP</w:t>
            </w:r>
          </w:p>
        </w:tc>
        <w:tc>
          <w:tcPr>
            <w:tcW w:type="dxa" w:w="2160"/>
            <w:shd w:fill="F9FBFD"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DOC-04 Master Handbook</w:t>
            </w:r>
          </w:p>
        </w:tc>
        <w:tc>
          <w:tcPr>
            <w:tcW w:type="dxa" w:w="2160"/>
            <w:shd w:fill="F9FBFD"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Section 2.0 &amp; 3.0</w:t>
            </w:r>
          </w:p>
        </w:tc>
        <w:tc>
          <w:tcPr>
            <w:tcW w:type="dxa" w:w="2880"/>
            <w:shd w:fill="F9FBFD"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Entra ID SSO, Azure RAG topology, Purview DLP containers (Confidential, Restricted, Internal, Public).</w:t>
            </w:r>
          </w:p>
        </w:tc>
      </w:tr>
      <w:tr>
        <w:tc>
          <w:tcPr>
            <w:tcW w:type="dxa" w:w="2592"/>
            <w:shd w:fill="FFFFFF"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Agent Autonomy Levels (Read to Act)</w:t>
            </w:r>
          </w:p>
        </w:tc>
        <w:tc>
          <w:tcPr>
            <w:tcW w:type="dxa" w:w="2160"/>
            <w:shd w:fill="FFFFFF"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DOC-04 Master Handbook</w:t>
            </w:r>
          </w:p>
        </w:tc>
        <w:tc>
          <w:tcPr>
            <w:tcW w:type="dxa" w:w="2160"/>
            <w:shd w:fill="FFFFFF"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Section 4.2</w:t>
            </w:r>
          </w:p>
        </w:tc>
        <w:tc>
          <w:tcPr>
            <w:tcW w:type="dxa" w:w="2880"/>
            <w:shd w:fill="FFFFFF"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4-Stage Agent Autonomy Spectrum (Level 1 Read -&gt; Level 4 Act) and AI Agent Register rules.</w:t>
            </w:r>
          </w:p>
        </w:tc>
      </w:tr>
      <w:tr>
        <w:tc>
          <w:tcPr>
            <w:tcW w:type="dxa" w:w="2592"/>
            <w:shd w:fill="F9FBFD"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ISO 42001 Controls &amp; Statutory Red Lines</w:t>
            </w:r>
          </w:p>
        </w:tc>
        <w:tc>
          <w:tcPr>
            <w:tcW w:type="dxa" w:w="2160"/>
            <w:shd w:fill="F9FBFD"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DOC-04 Master Handbook</w:t>
            </w:r>
          </w:p>
        </w:tc>
        <w:tc>
          <w:tcPr>
            <w:tcW w:type="dxa" w:w="2160"/>
            <w:shd w:fill="F9FBFD"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Section 6.0 &amp; 7.0</w:t>
            </w:r>
          </w:p>
        </w:tc>
        <w:tc>
          <w:tcPr>
            <w:tcW w:type="dxa" w:w="2880"/>
            <w:shd w:fill="F9FBFD" w:val="clear"/>
            <w:tcMar>
              <w:top w:w="100" w:type="dxa"/>
              <w:bottom w:w="100" w:type="dxa"/>
              <w:left w:w="120" w:type="dxa"/>
              <w:right w:w="120" w:type="dxa"/>
            </w:tcMar>
            <w:tcBorders>
              <w:bottom w:val="single" w:sz="2" w:space="0" w:color="E0E0E0"/>
              <w:top w:val="none" w:sz="4" w:space="0" w:color="auto"/>
              <w:left w:val="none" w:sz="4" w:space="0" w:color="auto"/>
              <w:right w:val="none" w:sz="4" w:space="0" w:color="auto"/>
            </w:tcBorders>
          </w:tcPr>
          <w:p>
            <w:pPr>
              <w:spacing w:before="0" w:after="0" w:line="276" w:lineRule="auto"/>
              <w:jc w:val="left"/>
            </w:pPr>
            <w:r>
              <w:rPr>
                <w:rFonts w:ascii="Arial" w:hAnsi="Arial"/>
                <w:color w:val="282828"/>
                <w:sz w:val="18"/>
              </w:rPr>
              <w:t>38 Annex A AIMS controls, 6-Step AIIA SOP, Zambian Act No. 3 DPIA, EU AI Act Article 5 bans.</w:t>
            </w:r>
          </w:p>
        </w:tc>
      </w:tr>
    </w:tbl>
    <w:p>
      <w:pPr>
        <w:keepNext/>
        <w:spacing w:before="320" w:after="120"/>
      </w:pPr>
      <w:r>
        <w:rPr>
          <w:rFonts w:ascii="Arial" w:hAnsi="Arial"/>
          <w:b/>
          <w:color w:val="003366"/>
          <w:sz w:val="30"/>
        </w:rPr>
        <w:t>4. Incident Intake, Support Routing &amp; Governance SLA</w:t>
      </w:r>
    </w:p>
    <w:p>
      <w:pPr>
        <w:spacing w:before="0" w:after="100" w:line="276" w:lineRule="auto"/>
      </w:pPr>
      <w:r>
        <w:rPr>
          <w:rFonts w:ascii="Arial" w:hAnsi="Arial"/>
          <w:color w:val="1E1E1E"/>
          <w:sz w:val="20"/>
        </w:rPr>
        <w:t>All Educore staff, faculty, technical leads, and students have a mandatory duty to report suspected security breaches, data leaks, algorithmic hallucinations, or policy violations to the central intake channel:</w:t>
      </w:r>
    </w:p>
    <w:p>
      <w:pPr>
        <w:pStyle w:val="ListBullet"/>
        <w:spacing w:before="0" w:after="60" w:line="276" w:lineRule="auto"/>
      </w:pPr>
      <w:r>
        <w:rPr>
          <w:rFonts w:ascii="Arial" w:hAnsi="Arial"/>
          <w:b/>
          <w:color w:val="141414"/>
          <w:sz w:val="20"/>
        </w:rPr>
        <w:t xml:space="preserve">Central Governance Email: </w:t>
      </w:r>
      <w:r>
        <w:rPr>
          <w:rFonts w:ascii="Arial" w:hAnsi="Arial"/>
          <w:color w:val="1E1E1E"/>
          <w:sz w:val="20"/>
        </w:rPr>
        <w:t>ai-governance@educore.ac.zm</w:t>
      </w:r>
    </w:p>
    <w:p>
      <w:pPr>
        <w:pStyle w:val="ListBullet"/>
        <w:spacing w:before="0" w:after="60" w:line="276" w:lineRule="auto"/>
      </w:pPr>
      <w:r>
        <w:rPr>
          <w:rFonts w:ascii="Arial" w:hAnsi="Arial"/>
          <w:b/>
          <w:color w:val="141414"/>
          <w:sz w:val="20"/>
        </w:rPr>
        <w:t xml:space="preserve">Initial Acknowledgment SLA: </w:t>
      </w:r>
      <w:r>
        <w:rPr>
          <w:rFonts w:ascii="Arial" w:hAnsi="Arial"/>
          <w:color w:val="1E1E1E"/>
          <w:sz w:val="20"/>
        </w:rPr>
        <w:t>Mandatory initial response and logging within 24 hours of submission.</w:t>
      </w:r>
    </w:p>
    <w:p>
      <w:pPr>
        <w:pStyle w:val="ListBullet"/>
        <w:spacing w:before="0" w:after="60" w:line="276" w:lineRule="auto"/>
      </w:pPr>
      <w:r>
        <w:rPr>
          <w:rFonts w:ascii="Arial" w:hAnsi="Arial"/>
          <w:b/>
          <w:color w:val="141414"/>
          <w:sz w:val="20"/>
        </w:rPr>
        <w:t xml:space="preserve">Resolution SLA: </w:t>
      </w:r>
      <w:r>
        <w:rPr>
          <w:rFonts w:ascii="Arial" w:hAnsi="Arial"/>
          <w:color w:val="1E1E1E"/>
          <w:sz w:val="20"/>
        </w:rPr>
        <w:t>Full investigation, Steering Committee review, and corrective action logging under ISO 42001 Clause 10.1 within 5 business days.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7"/>
      </w:rPr>
      <w:t xml:space="preserve">EDU-DOC-00-v3.0  |  Confidential - Educore Services  |  Page </w:t>
    </w:r>
    <w:fldSimple w:instr="PAGE"/>
    <w:r>
      <w:rPr>
        <w:rFonts w:ascii="Arial" w:hAnsi="Arial"/>
        <w:color w:val="787878"/>
        <w:sz w:val="17"/>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7878"/>
        <w:sz w:val="17"/>
      </w:rPr>
      <w:t>EDUCORE SERVICES AI GOVERNANCE FRAMEWORK | DOC-00: MASTER LAUNCH DIRECTORY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196E0EA18B8A34D99B89ED863885C4B" ma:contentTypeVersion="18" ma:contentTypeDescription="Create a new document." ma:contentTypeScope="" ma:versionID="a84182f585645347cf84030d44d059c5">
  <xsd:schema xmlns:xsd="http://www.w3.org/2001/XMLSchema" xmlns:xs="http://www.w3.org/2001/XMLSchema" xmlns:p="http://schemas.microsoft.com/office/2006/metadata/properties" xmlns:ns2="771bb060-2b79-46f9-852d-fb659998ccea" xmlns:ns3="a783dab6-1ccd-495d-8d36-75f7e2558d6c" targetNamespace="http://schemas.microsoft.com/office/2006/metadata/properties" ma:root="true" ma:fieldsID="77b8c9e6baa74e5fa98c358e5e39cb03" ns2:_="" ns3:_="">
    <xsd:import namespace="771bb060-2b79-46f9-852d-fb659998ccea"/>
    <xsd:import namespace="a783dab6-1ccd-495d-8d36-75f7e2558d6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MediaServiceOCR"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1bb060-2b79-46f9-852d-fb659998cc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67af5c4-7bb6-42f4-b499-9fec583fe8c7"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783dab6-1ccd-495d-8d36-75f7e2558d6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768dda4-b66b-486e-bb38-f024d881c4b1}" ma:internalName="TaxCatchAll" ma:showField="CatchAllData" ma:web="a783dab6-1ccd-495d-8d36-75f7e2558d6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71bb060-2b79-46f9-852d-fb659998ccea">
      <Terms xmlns="http://schemas.microsoft.com/office/infopath/2007/PartnerControls"/>
    </lcf76f155ced4ddcb4097134ff3c332f>
    <TaxCatchAll xmlns="a783dab6-1ccd-495d-8d36-75f7e2558d6c"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78DE7D6-8EFB-4034-8BA3-AC896939054E}"/>
</file>

<file path=customXml/itemProps3.xml><?xml version="1.0" encoding="utf-8"?>
<ds:datastoreItem xmlns:ds="http://schemas.openxmlformats.org/officeDocument/2006/customXml" ds:itemID="{A86F009F-5C23-4B4D-BF3F-8D4B9794A6BC}"/>
</file>

<file path=customXml/itemProps4.xml><?xml version="1.0" encoding="utf-8"?>
<ds:datastoreItem xmlns:ds="http://schemas.openxmlformats.org/officeDocument/2006/customXml" ds:itemID="{38C07A21-6AD8-4718-880F-F1A92A7F6EA7}"/>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0x0101007196E0EA18B8A34D99B89ED863885C4B</vt:lpwstr>
  </property>
</Properties>
</file>