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02060"/>
          <w:sz w:val="44"/>
        </w:rPr>
        <w:t>Educore AI Framework Implementation Handbook</w:t>
      </w:r>
    </w:p>
    <w:p>
      <w:pPr>
        <w:spacing w:before="0" w:after="360"/>
      </w:pPr>
      <w:r>
        <w:rPr>
          <w:rFonts w:ascii="Arial" w:hAnsi="Arial"/>
          <w:color w:val="595959"/>
          <w:sz w:val="24"/>
        </w:rPr>
        <w:t>Master Governing Authority for Enterprise Operations &amp; Academic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b/>
                <w:color w:val="002060"/>
                <w:sz w:val="18"/>
              </w:rPr>
              <w:t>DOCUMENT TITLE: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color w:val="262626"/>
                <w:sz w:val="18"/>
              </w:rPr>
              <w:t>Educore AI Framework Implementation Handbook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b/>
                <w:color w:val="002060"/>
                <w:sz w:val="18"/>
              </w:rPr>
              <w:t>DOCUMENT REFERENCE: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color w:val="262626"/>
                <w:sz w:val="18"/>
              </w:rPr>
              <w:t>EDU-AIMS-HBK-v1.0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b/>
                <w:color w:val="002060"/>
                <w:sz w:val="18"/>
              </w:rPr>
              <w:t>VERSION CONTROL: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color w:val="262626"/>
                <w:sz w:val="18"/>
              </w:rPr>
              <w:t>Version 1.0 (Official Baseline Enterprise Release)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b/>
                <w:color w:val="002060"/>
                <w:sz w:val="18"/>
              </w:rPr>
              <w:t>EFFECTIVE DATE &amp; SCOPE: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color w:val="262626"/>
                <w:sz w:val="18"/>
              </w:rPr>
              <w:t>2026-10-01 | Network-Wide (All Units, Campuses &amp; Academies)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color w:val="002060"/>
          <w:sz w:val="30"/>
        </w:rPr>
        <w:t>1. Executive Summary &amp; Dual-Track Organizational Charter</w:t>
      </w:r>
    </w:p>
    <w:p>
      <w:pPr>
        <w:spacing w:before="0" w:after="120" w:line="276" w:lineRule="auto"/>
      </w:pPr>
      <w:r>
        <w:rPr>
          <w:rFonts w:ascii="Arial" w:hAnsi="Arial"/>
          <w:color w:val="262626"/>
          <w:sz w:val="21"/>
        </w:rPr>
        <w:t>This Master Implementation Handbook serves as the central governing authority for Artificial Intelligence (AI) integration across Educore Services Limited. It establishes a certifiable Artificial Intelligence Management System (AIMS) aligned with ISO/IEC 42001:2023, the EU AI Act, and the Zambian Data Protection Act (No. 3 of 2021). The framework operates across two distinct operational tracks: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Track 1: Enterprise Business Operations — </w:t>
      </w:r>
      <w:r>
        <w:rPr>
          <w:rFonts w:ascii="Arial" w:hAnsi="Arial"/>
          <w:color w:val="262626"/>
          <w:sz w:val="20"/>
        </w:rPr>
        <w:t>Governing Finance, Procurement, IT/DevOps, HR, Legal, Facilities, and Operations. Focuses on data protection, financial accuracy, software vendor vetting, and secret-scanning.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Track 2: Academic &amp; Pedagogical Transformation — </w:t>
      </w:r>
      <w:r>
        <w:rPr>
          <w:rFonts w:ascii="Arial" w:hAnsi="Arial"/>
          <w:color w:val="262626"/>
          <w:sz w:val="20"/>
        </w:rPr>
        <w:t>Governing Faculty, Curriculum Leads, Teacher Academies, and Students across Sentinel Kabitaka, Trident, and Frontier. Focuses on human-in-the-loop review, Adelaide-model intellectual ownership declarations, and Viva Voce oral defenses.</w:t>
      </w:r>
    </w:p>
    <w:p>
      <w:pPr>
        <w:keepNext/>
        <w:spacing w:before="320" w:after="120"/>
      </w:pPr>
      <w:r>
        <w:rPr>
          <w:rFonts w:ascii="Arial" w:hAnsi="Arial"/>
          <w:b/>
          <w:color w:val="002060"/>
          <w:sz w:val="30"/>
        </w:rPr>
        <w:t>2. Microsoft Cloud Architecture &amp; Purview Container Security</w:t>
      </w:r>
    </w:p>
    <w:p>
      <w:pPr>
        <w:spacing w:before="0" w:after="120" w:line="276" w:lineRule="auto"/>
      </w:pPr>
      <w:r>
        <w:rPr>
          <w:rFonts w:ascii="Arial" w:hAnsi="Arial"/>
          <w:color w:val="262626"/>
          <w:sz w:val="21"/>
        </w:rPr>
        <w:t>Educore leverages its existing Microsoft 365, SharePoint Online, and Entra ID (Azure AD) environment, hosting custom RAG agents on Azure Cloud Services governed by Microsoft Purview Data Loss Prevention (DLP):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Confidential - Admin / Finance: </w:t>
      </w:r>
      <w:r>
        <w:rPr>
          <w:rFonts w:ascii="Arial" w:hAnsi="Arial"/>
          <w:color w:val="262626"/>
          <w:sz w:val="20"/>
        </w:rPr>
        <w:t>M365 Copilot Enterprise for central administration, HR, and legal operations.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Confidential - Finance: </w:t>
      </w:r>
      <w:r>
        <w:rPr>
          <w:rFonts w:ascii="Arial" w:hAnsi="Arial"/>
          <w:color w:val="262626"/>
          <w:sz w:val="20"/>
        </w:rPr>
        <w:t>M365 Copilot Finance with dual-key calculation audits for bursars and accounting staff.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Restricted - IT / Systems: </w:t>
      </w:r>
      <w:r>
        <w:rPr>
          <w:rFonts w:ascii="Arial" w:hAnsi="Arial"/>
          <w:color w:val="262626"/>
          <w:sz w:val="20"/>
        </w:rPr>
        <w:t>GitHub Copilot Enterprise with pre-commit git hooks and automated secret scanning for IT engineers.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Internal - Educational: </w:t>
      </w:r>
      <w:r>
        <w:rPr>
          <w:rFonts w:ascii="Arial" w:hAnsi="Arial"/>
          <w:color w:val="262626"/>
          <w:sz w:val="20"/>
        </w:rPr>
        <w:t>Azure OpenAI lesson design tools for faculty, operating under mandatory Human-in-the-Loop review.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Public / Educational: </w:t>
      </w:r>
      <w:r>
        <w:rPr>
          <w:rFonts w:ascii="Arial" w:hAnsi="Arial"/>
          <w:color w:val="262626"/>
          <w:sz w:val="20"/>
        </w:rPr>
        <w:t>Azure AI Search Socratic tutors providing diagnostic hints for students without direct answer dumping.</w:t>
      </w:r>
    </w:p>
    <w:p>
      <w:pPr>
        <w:keepNext/>
        <w:spacing w:before="320" w:after="120"/>
      </w:pPr>
      <w:r>
        <w:rPr>
          <w:rFonts w:ascii="Arial" w:hAnsi="Arial"/>
          <w:b/>
          <w:color w:val="002060"/>
          <w:sz w:val="30"/>
        </w:rPr>
        <w:t>3. 8 Departmental Edge-Case &amp; Functional Non-Software Guardrails</w:t>
      </w:r>
    </w:p>
    <w:p>
      <w:pPr>
        <w:spacing w:before="0" w:after="120" w:line="276" w:lineRule="auto"/>
      </w:pPr>
      <w:r>
        <w:rPr>
          <w:rFonts w:ascii="Arial" w:hAnsi="Arial"/>
          <w:color w:val="262626"/>
          <w:sz w:val="21"/>
        </w:rPr>
        <w:t>The handbook codifies explicit non-software guardrails to mitigate risks that network firewalls cannot catch: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Finance: </w:t>
      </w:r>
      <w:r>
        <w:rPr>
          <w:rFonts w:ascii="Arial" w:hAnsi="Arial"/>
          <w:color w:val="262626"/>
          <w:sz w:val="20"/>
        </w:rPr>
        <w:t>Dual-key independent calculation audits; anonymization of student NRCs and FQM mining subsidy data.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Procurement: </w:t>
      </w:r>
      <w:r>
        <w:rPr>
          <w:rFonts w:ascii="Arial" w:hAnsi="Arial"/>
          <w:color w:val="262626"/>
          <w:sz w:val="20"/>
        </w:rPr>
        <w:t>Pre-procurement Vendor AI Addendums certifying zero data retention; air-gapped tender evaluations.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IT / DevOps: </w:t>
      </w:r>
      <w:r>
        <w:rPr>
          <w:rFonts w:ascii="Arial" w:hAnsi="Arial"/>
          <w:color w:val="262626"/>
          <w:sz w:val="20"/>
        </w:rPr>
        <w:t>Git pre-commit secret scanning; mandatory SAST &amp; Senior Engineer peer review sign-offs.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HR &amp; Personnel: </w:t>
      </w:r>
      <w:r>
        <w:rPr>
          <w:rFonts w:ascii="Arial" w:hAnsi="Arial"/>
          <w:color w:val="262626"/>
          <w:sz w:val="20"/>
        </w:rPr>
        <w:t>Absolute prohibition on automated candidate rejection; mandatory statutory DPIAs under Act No. 3 of 2021.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Faculty: </w:t>
      </w:r>
      <w:r>
        <w:rPr>
          <w:rFonts w:ascii="Arial" w:hAnsi="Arial"/>
          <w:color w:val="262626"/>
          <w:sz w:val="20"/>
        </w:rPr>
        <w:t>Prohibition of automated summative exam grading; mandatory syllabus alignment verification.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Students (Tier C): </w:t>
      </w:r>
      <w:r>
        <w:rPr>
          <w:rFonts w:ascii="Arial" w:hAnsi="Arial"/>
          <w:color w:val="262626"/>
          <w:sz w:val="20"/>
        </w:rPr>
        <w:t>Adelaide-model Declaration of Intellectual Ownership; process-based Viva Voce oral defenses.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Facilities &amp; Security: </w:t>
      </w:r>
      <w:r>
        <w:rPr>
          <w:rFonts w:ascii="Arial" w:hAnsi="Arial"/>
          <w:color w:val="262626"/>
          <w:sz w:val="20"/>
        </w:rPr>
        <w:t>EU AI Act Article 5 prohibition on facial recognition/emotion tracking; human emergency ticket dispatch.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Legal &amp; Executive: </w:t>
      </w:r>
      <w:r>
        <w:rPr>
          <w:rFonts w:ascii="Arial" w:hAnsi="Arial"/>
          <w:color w:val="262626"/>
          <w:sz w:val="20"/>
        </w:rPr>
        <w:t>Statutory verification against official Zambian law books; non-delegable executive accountability.</w:t>
      </w:r>
    </w:p>
    <w:p>
      <w:pPr>
        <w:keepNext/>
        <w:spacing w:before="320" w:after="120"/>
      </w:pPr>
      <w:r>
        <w:rPr>
          <w:rFonts w:ascii="Arial" w:hAnsi="Arial"/>
          <w:b/>
          <w:color w:val="002060"/>
          <w:sz w:val="30"/>
        </w:rPr>
        <w:t>4. ISO 42001 Statement of Applicability &amp; 6-Step AIIA SOP</w:t>
      </w:r>
    </w:p>
    <w:p>
      <w:pPr>
        <w:spacing w:before="0" w:after="120" w:line="276" w:lineRule="auto"/>
      </w:pPr>
      <w:r>
        <w:rPr>
          <w:rFonts w:ascii="Arial" w:hAnsi="Arial"/>
          <w:color w:val="262626"/>
          <w:sz w:val="21"/>
        </w:rPr>
        <w:t>The handbook incorporates all 38 ISO/IEC 42001:2023 Annex A reference controls and mandates the 6-Step AI System Impact Assessment (AIIA) workflow before deploying any new AI tool: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AIIA 6-Step Sequence: </w:t>
      </w:r>
      <w:r>
        <w:rPr>
          <w:rFonts w:ascii="Arial" w:hAnsi="Arial"/>
          <w:color w:val="262626"/>
          <w:sz w:val="20"/>
        </w:rPr>
        <w:t>1. Trigger Screening -&gt; 2. Data Provenance &amp; Purview Review -&gt; 3. Rights &amp; Harm Mapping -&gt; 4. Safeguard &amp; DLP Stop Conditions -&gt; 5. Unanimous Steering Approval -&gt; 6. Risk Registration &amp; 12+ Month Purview Event Logging.</w:t>
      </w:r>
    </w:p>
    <w:p>
      <w:pPr>
        <w:keepNext/>
        <w:spacing w:before="320" w:after="120"/>
      </w:pPr>
      <w:r>
        <w:rPr>
          <w:rFonts w:ascii="Arial" w:hAnsi="Arial"/>
          <w:b/>
          <w:color w:val="002060"/>
          <w:sz w:val="30"/>
        </w:rPr>
        <w:t>5. Governance Incident SLA</w:t>
      </w:r>
    </w:p>
    <w:p>
      <w:pPr>
        <w:spacing w:before="0" w:after="120" w:line="276" w:lineRule="auto"/>
      </w:pPr>
      <w:r>
        <w:rPr>
          <w:rFonts w:ascii="Arial" w:hAnsi="Arial"/>
          <w:color w:val="262626"/>
          <w:sz w:val="21"/>
        </w:rPr>
        <w:t>All AI queries, security incidents, or policy intake reports are routed to ai-governance@educore.ac.zm, with a mandatory 24-hour intake SLA and a 5-day formal resolution SLA.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7"/>
      </w:rPr>
      <w:t>CONFIDENTIAL &amp; PROPRIETARY — EDUCORE SERVICES LIMITED ©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5959"/>
        <w:sz w:val="17"/>
      </w:rPr>
      <w:t>EDUCORE SERVICES AI GOVERNANCE FRAMEWORK v1.0 | MASTER IMPLEMENTATION HANDBOOK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