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Arial" w:hAnsi="Arial"/>
          <w:b/>
          <w:color w:val="003366"/>
          <w:sz w:val="44"/>
        </w:rPr>
        <w:t>EDUCORE SERVICES ORGANIZATIONAL AI GOVERNANCE POLICY</w:t>
      </w:r>
    </w:p>
    <w:p>
      <w:pPr>
        <w:spacing w:before="0" w:after="360"/>
        <w:jc w:val="center"/>
      </w:pPr>
      <w:r>
        <w:rPr>
          <w:rFonts w:ascii="Calibri" w:hAnsi="Calibri"/>
          <w:i/>
          <w:color w:val="646464"/>
          <w:sz w:val="24"/>
        </w:rPr>
        <w:t>Network-Wide Rules, Departmental Permitted Workflows, Strictly Prohibited Use Cases, Operational Edge Cases, and Functional Non-Software Guardrails</w:t>
      </w:r>
    </w:p>
    <w:tbl>
      <w:tblPr>
        <w:tblW w:type="auto" w:w="0"/>
        <w:jc w:val="center"/>
        <w:tblLayout w:type="fixed"/>
        <w:tblLook w:firstColumn="1" w:firstRow="1" w:lastColumn="0" w:lastRow="0" w:noHBand="0" w:noVBand="1" w:val="04A0"/>
      </w:tblPr>
      <w:tblGrid>
        <w:gridCol w:w="4968"/>
        <w:gridCol w:w="4968"/>
      </w:tblGrid>
      <w:tr>
        <w:trPr>
          <w:cantSplit/>
          <w:tblHeader/>
        </w:trPr>
        <w:tc>
          <w:tcPr>
            <w:tcW w:type="dxa" w:w="3168"/>
            <w:tcMar>
              <w:top w:w="120" w:type="dxa"/>
              <w:bottom w:w="120" w:type="dxa"/>
              <w:left w:w="150" w:type="dxa"/>
              <w:right w:w="150" w:type="dxa"/>
            </w:tcMar>
            <w:shd w:fill="003366" w:val="clear"/>
          </w:tcPr>
          <w:p>
            <w:pPr>
              <w:jc w:val="center"/>
            </w:pPr>
            <w:r>
              <w:rPr>
                <w:rFonts w:ascii="Arial" w:hAnsi="Arial"/>
                <w:b/>
                <w:color w:val="FFFFFF"/>
                <w:sz w:val="19"/>
              </w:rPr>
              <w:t>DOCUMENT TITLE:</w:t>
            </w:r>
          </w:p>
        </w:tc>
        <w:tc>
          <w:tcPr>
            <w:tcW w:type="dxa" w:w="6912"/>
            <w:tcMar>
              <w:top w:w="120" w:type="dxa"/>
              <w:bottom w:w="120" w:type="dxa"/>
              <w:left w:w="150" w:type="dxa"/>
              <w:right w:w="150" w:type="dxa"/>
            </w:tcMar>
            <w:shd w:fill="003366" w:val="clear"/>
          </w:tcPr>
          <w:p>
            <w:pPr>
              <w:jc w:val="center"/>
            </w:pPr>
            <w:r>
              <w:rPr>
                <w:rFonts w:ascii="Arial" w:hAnsi="Arial"/>
                <w:b/>
                <w:color w:val="FFFFFF"/>
                <w:sz w:val="19"/>
              </w:rPr>
              <w:t>Educore Services Organizational AI Governance &amp; Operational Policy</w:t>
            </w:r>
          </w:p>
        </w:tc>
      </w:tr>
      <w:tr>
        <w:trPr>
          <w:cantSplit/>
        </w:trPr>
        <w:tc>
          <w:tcPr>
            <w:tcW w:type="dxa" w:w="3168"/>
            <w:tcMar>
              <w:top w:w="120" w:type="dxa"/>
              <w:bottom w:w="120" w:type="dxa"/>
              <w:left w:w="150" w:type="dxa"/>
              <w:right w:w="150" w:type="dxa"/>
            </w:tcMar>
            <w:shd w:fill="F2F5F9" w:val="clear"/>
          </w:tcPr>
          <w:p>
            <w:r>
              <w:rPr>
                <w:rFonts w:ascii="Calibri" w:hAnsi="Calibri"/>
                <w:b/>
                <w:sz w:val="19"/>
              </w:rPr>
              <w:t>DOCUMENT REFERENCE:</w:t>
            </w:r>
          </w:p>
        </w:tc>
        <w:tc>
          <w:tcPr>
            <w:tcW w:type="dxa" w:w="6912"/>
            <w:tcMar>
              <w:top w:w="120" w:type="dxa"/>
              <w:bottom w:w="120" w:type="dxa"/>
              <w:left w:w="150" w:type="dxa"/>
              <w:right w:w="150" w:type="dxa"/>
            </w:tcMar>
            <w:shd w:fill="F2F5F9" w:val="clear"/>
          </w:tcPr>
          <w:p>
            <w:r>
              <w:rPr>
                <w:rFonts w:ascii="Calibri" w:hAnsi="Calibri"/>
                <w:sz w:val="19"/>
              </w:rPr>
              <w:t>EDU-AIMS-POL-v1.0 (Master Baseline Release)</w:t>
            </w:r>
          </w:p>
        </w:tc>
      </w:tr>
      <w:tr>
        <w:trPr>
          <w:cantSplit/>
        </w:trPr>
        <w:tc>
          <w:tcPr>
            <w:tcW w:type="dxa" w:w="3168"/>
            <w:tcMar>
              <w:top w:w="120" w:type="dxa"/>
              <w:bottom w:w="120" w:type="dxa"/>
              <w:left w:w="150" w:type="dxa"/>
              <w:right w:w="150" w:type="dxa"/>
            </w:tcMar>
            <w:shd w:fill="FFFFFF" w:val="clear"/>
          </w:tcPr>
          <w:p>
            <w:r>
              <w:rPr>
                <w:rFonts w:ascii="Calibri" w:hAnsi="Calibri"/>
                <w:b/>
                <w:sz w:val="19"/>
              </w:rPr>
              <w:t>VERSION CONTROL:</w:t>
            </w:r>
          </w:p>
        </w:tc>
        <w:tc>
          <w:tcPr>
            <w:tcW w:type="dxa" w:w="6912"/>
            <w:tcMar>
              <w:top w:w="120" w:type="dxa"/>
              <w:bottom w:w="120" w:type="dxa"/>
              <w:left w:w="150" w:type="dxa"/>
              <w:right w:w="150" w:type="dxa"/>
            </w:tcMar>
            <w:shd w:fill="FFFFFF" w:val="clear"/>
          </w:tcPr>
          <w:p>
            <w:r>
              <w:rPr>
                <w:rFonts w:ascii="Calibri" w:hAnsi="Calibri"/>
                <w:sz w:val="19"/>
              </w:rPr>
              <w:t>Version 1.0 (Official Baseline Enterprise Release)</w:t>
            </w:r>
          </w:p>
        </w:tc>
      </w:tr>
      <w:tr>
        <w:trPr>
          <w:cantSplit/>
        </w:trPr>
        <w:tc>
          <w:tcPr>
            <w:tcW w:type="dxa" w:w="3168"/>
            <w:tcMar>
              <w:top w:w="120" w:type="dxa"/>
              <w:bottom w:w="120" w:type="dxa"/>
              <w:left w:w="150" w:type="dxa"/>
              <w:right w:w="150" w:type="dxa"/>
            </w:tcMar>
            <w:shd w:fill="F2F5F9" w:val="clear"/>
          </w:tcPr>
          <w:p>
            <w:r>
              <w:rPr>
                <w:rFonts w:ascii="Calibri" w:hAnsi="Calibri"/>
                <w:b/>
                <w:sz w:val="19"/>
              </w:rPr>
              <w:t>EFFECTIVE DATE &amp; SCOPE:</w:t>
            </w:r>
          </w:p>
        </w:tc>
        <w:tc>
          <w:tcPr>
            <w:tcW w:type="dxa" w:w="6912"/>
            <w:tcMar>
              <w:top w:w="120" w:type="dxa"/>
              <w:bottom w:w="120" w:type="dxa"/>
              <w:left w:w="150" w:type="dxa"/>
              <w:right w:w="150" w:type="dxa"/>
            </w:tcMar>
            <w:shd w:fill="F2F5F9" w:val="clear"/>
          </w:tcPr>
          <w:p>
            <w:r>
              <w:rPr>
                <w:rFonts w:ascii="Calibri" w:hAnsi="Calibri"/>
                <w:sz w:val="19"/>
              </w:rPr>
              <w:t>October 1, 2026 | Network-Wide (All Units, Campuses &amp; Academies)</w:t>
            </w:r>
          </w:p>
        </w:tc>
      </w:tr>
      <w:tr>
        <w:trPr>
          <w:cantSplit/>
        </w:trPr>
        <w:tc>
          <w:tcPr>
            <w:tcW w:type="dxa" w:w="3168"/>
            <w:tcMar>
              <w:top w:w="120" w:type="dxa"/>
              <w:bottom w:w="120" w:type="dxa"/>
              <w:left w:w="150" w:type="dxa"/>
              <w:right w:w="150" w:type="dxa"/>
            </w:tcMar>
            <w:shd w:fill="FFFFFF" w:val="clear"/>
          </w:tcPr>
          <w:p>
            <w:r>
              <w:rPr>
                <w:rFonts w:ascii="Calibri" w:hAnsi="Calibri"/>
                <w:b/>
                <w:sz w:val="19"/>
              </w:rPr>
              <w:t>GOVERNING AUTHORITY:</w:t>
            </w:r>
          </w:p>
        </w:tc>
        <w:tc>
          <w:tcPr>
            <w:tcW w:type="dxa" w:w="6912"/>
            <w:tcMar>
              <w:top w:w="120" w:type="dxa"/>
              <w:bottom w:w="120" w:type="dxa"/>
              <w:left w:w="150" w:type="dxa"/>
              <w:right w:w="150" w:type="dxa"/>
            </w:tcMar>
            <w:shd w:fill="FFFFFF" w:val="clear"/>
          </w:tcPr>
          <w:p>
            <w:r>
              <w:rPr>
                <w:rFonts w:ascii="Calibri" w:hAnsi="Calibri"/>
                <w:sz w:val="19"/>
              </w:rPr>
              <w:t>Educore Cross-Functional AI Steering Committee &amp; Executive Directorate</w:t>
            </w:r>
          </w:p>
        </w:tc>
      </w:tr>
      <w:tr>
        <w:trPr>
          <w:cantSplit/>
        </w:trPr>
        <w:tc>
          <w:tcPr>
            <w:tcW w:type="dxa" w:w="3168"/>
            <w:tcMar>
              <w:top w:w="120" w:type="dxa"/>
              <w:bottom w:w="120" w:type="dxa"/>
              <w:left w:w="150" w:type="dxa"/>
              <w:right w:w="150" w:type="dxa"/>
            </w:tcMar>
            <w:shd w:fill="F2F5F9" w:val="clear"/>
          </w:tcPr>
          <w:p>
            <w:r>
              <w:rPr>
                <w:rFonts w:ascii="Calibri" w:hAnsi="Calibri"/>
                <w:b/>
                <w:sz w:val="19"/>
              </w:rPr>
              <w:t>STATUTORY ALIGNMENT:</w:t>
            </w:r>
          </w:p>
        </w:tc>
        <w:tc>
          <w:tcPr>
            <w:tcW w:type="dxa" w:w="6912"/>
            <w:tcMar>
              <w:top w:w="120" w:type="dxa"/>
              <w:bottom w:w="120" w:type="dxa"/>
              <w:left w:w="150" w:type="dxa"/>
              <w:right w:w="150" w:type="dxa"/>
            </w:tcMar>
            <w:shd w:fill="F2F5F9" w:val="clear"/>
          </w:tcPr>
          <w:p>
            <w:r>
              <w:rPr>
                <w:rFonts w:ascii="Calibri" w:hAnsi="Calibri"/>
                <w:sz w:val="19"/>
              </w:rPr>
              <w:t>Zambian Data Protection Act No. 3 of 2021 | ISO/IEC 42001:2023 | EU AI Act | NIST AI RMF</w:t>
            </w:r>
          </w:p>
        </w:tc>
      </w:tr>
    </w:tbl>
    <w:p>
      <w:pPr>
        <w:keepNext/>
        <w:spacing w:before="320" w:after="120"/>
      </w:pPr>
      <w:r>
        <w:rPr>
          <w:rFonts w:ascii="Arial" w:hAnsi="Arial"/>
          <w:b/>
          <w:color w:val="003366"/>
          <w:sz w:val="30"/>
        </w:rPr>
        <w:t>1. Executive Policy Authority, Scope &amp; Institutional Applicability</w:t>
      </w:r>
    </w:p>
    <w:p>
      <w:pPr>
        <w:spacing w:before="40" w:after="100" w:line="276" w:lineRule="auto"/>
      </w:pPr>
      <w:r>
        <w:rPr>
          <w:rFonts w:ascii="Calibri" w:hAnsi="Calibri"/>
          <w:i w:val="0"/>
          <w:color w:val="282828"/>
          <w:sz w:val="22"/>
        </w:rPr>
        <w:t>This policy establishes the official operational rules governing Artificial Intelligence (AI) deployment across Educore Services Limited. Applicable across all central administrative departments, Educore Teacher Academies, and individual campus sites (Sentinel Kabitaka, Trident College, Frontier), this policy operates under a Dual-Track Governance Architecture to balance corporate operational security with pedagogical excellence:</w:t>
      </w:r>
    </w:p>
    <w:p>
      <w:pPr>
        <w:pStyle w:val="ListBullet"/>
        <w:spacing w:before="20" w:after="60" w:line="276" w:lineRule="auto"/>
        <w:ind w:left="360"/>
      </w:pPr>
      <w:r>
        <w:rPr>
          <w:rFonts w:ascii="Calibri" w:hAnsi="Calibri"/>
          <w:b/>
          <w:color w:val="141414"/>
          <w:sz w:val="21"/>
        </w:rPr>
        <w:t>• Track 1: Enterprise Business Operations —</w:t>
      </w:r>
      <w:r>
        <w:rPr>
          <w:rFonts w:ascii="Calibri" w:hAnsi="Calibri"/>
          <w:color w:val="282828"/>
          <w:sz w:val="21"/>
        </w:rPr>
        <w:t xml:space="preserve"> Governs Finance, Procurement, IT Infrastructure, HR, Legal, Facilities, and Corporate Operations. Focuses strictly on data security, financial calculation accuracy, vendor contract vetting, PII protection, and statutory legal compliance under the Zambian Data Protection Act (No. 3 of 2021).</w:t>
      </w:r>
    </w:p>
    <w:p>
      <w:pPr>
        <w:pStyle w:val="ListBullet"/>
        <w:spacing w:before="20" w:after="60" w:line="276" w:lineRule="auto"/>
        <w:ind w:left="360"/>
      </w:pPr>
      <w:r>
        <w:rPr>
          <w:rFonts w:ascii="Calibri" w:hAnsi="Calibri"/>
          <w:b/>
          <w:color w:val="141414"/>
          <w:sz w:val="21"/>
        </w:rPr>
        <w:t>• Track 2: Academic &amp; Pedagogical Learning —</w:t>
      </w:r>
      <w:r>
        <w:rPr>
          <w:rFonts w:ascii="Calibri" w:hAnsi="Calibri"/>
          <w:color w:val="282828"/>
          <w:sz w:val="21"/>
        </w:rPr>
        <w:t xml:space="preserve"> Governs Teaching Faculty, Curriculum Leads, Academy Instructors, and Students. Focuses on process-based learning, human-in-the-loop verification, Adelaide-style intellectual ownership declarations, and oral defense evaluations (Viva Voce).</w:t>
      </w:r>
    </w:p>
    <w:p>
      <w:pPr>
        <w:keepNext/>
        <w:spacing w:before="320" w:after="120"/>
      </w:pPr>
      <w:r>
        <w:rPr>
          <w:rFonts w:ascii="Arial" w:hAnsi="Arial"/>
          <w:b/>
          <w:color w:val="003366"/>
          <w:sz w:val="30"/>
        </w:rPr>
        <w:t>2. Organization-Wide AI Software Classification Registry</w:t>
      </w:r>
    </w:p>
    <w:p>
      <w:pPr>
        <w:spacing w:before="40" w:after="100" w:line="276" w:lineRule="auto"/>
      </w:pPr>
      <w:r>
        <w:rPr>
          <w:rFonts w:ascii="Calibri" w:hAnsi="Calibri"/>
          <w:i w:val="0"/>
          <w:color w:val="282828"/>
          <w:sz w:val="22"/>
        </w:rPr>
        <w:t>To mitigate data leakage, regulatory liability, and unvetted vendor risk, all software applications utilized across Educore are categorized into three mandatory operational tiers. Use of unsanctioned tools is strictly prohibited.</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2592"/>
            <w:tcMar>
              <w:top w:w="120" w:type="dxa"/>
              <w:bottom w:w="120" w:type="dxa"/>
              <w:left w:w="150" w:type="dxa"/>
              <w:right w:w="150" w:type="dxa"/>
            </w:tcMar>
            <w:shd w:fill="003366" w:val="clear"/>
          </w:tcPr>
          <w:p>
            <w:pPr>
              <w:jc w:val="center"/>
            </w:pPr>
            <w:r>
              <w:rPr>
                <w:rFonts w:ascii="Arial" w:hAnsi="Arial"/>
                <w:b/>
                <w:color w:val="FFFFFF"/>
                <w:sz w:val="19"/>
              </w:rPr>
              <w:t>CLASSIFICATION TIER</w:t>
            </w:r>
          </w:p>
        </w:tc>
        <w:tc>
          <w:tcPr>
            <w:tcW w:type="dxa" w:w="3168"/>
            <w:tcMar>
              <w:top w:w="120" w:type="dxa"/>
              <w:bottom w:w="120" w:type="dxa"/>
              <w:left w:w="150" w:type="dxa"/>
              <w:right w:w="150" w:type="dxa"/>
            </w:tcMar>
            <w:shd w:fill="003366" w:val="clear"/>
          </w:tcPr>
          <w:p>
            <w:pPr>
              <w:jc w:val="center"/>
            </w:pPr>
            <w:r>
              <w:rPr>
                <w:rFonts w:ascii="Arial" w:hAnsi="Arial"/>
                <w:b/>
                <w:color w:val="FFFFFF"/>
                <w:sz w:val="19"/>
              </w:rPr>
              <w:t>APPROVED SOFTWARE PLATFORMS</w:t>
            </w:r>
          </w:p>
        </w:tc>
        <w:tc>
          <w:tcPr>
            <w:tcW w:type="dxa" w:w="4320"/>
            <w:tcMar>
              <w:top w:w="120" w:type="dxa"/>
              <w:bottom w:w="120" w:type="dxa"/>
              <w:left w:w="150" w:type="dxa"/>
              <w:right w:w="150" w:type="dxa"/>
            </w:tcMar>
            <w:shd w:fill="003366" w:val="clear"/>
          </w:tcPr>
          <w:p>
            <w:pPr>
              <w:jc w:val="center"/>
            </w:pPr>
            <w:r>
              <w:rPr>
                <w:rFonts w:ascii="Arial" w:hAnsi="Arial"/>
                <w:b/>
                <w:color w:val="FFFFFF"/>
                <w:sz w:val="19"/>
              </w:rPr>
              <w:t>OPERATIONAL CONDITIONS &amp; BOUNDARIES</w:t>
            </w:r>
          </w:p>
        </w:tc>
      </w:tr>
      <w:tr>
        <w:trPr>
          <w:cantSplit/>
        </w:trPr>
        <w:tc>
          <w:tcPr>
            <w:tcW w:type="dxa" w:w="2592"/>
            <w:tcMar>
              <w:top w:w="120" w:type="dxa"/>
              <w:bottom w:w="120" w:type="dxa"/>
              <w:left w:w="150" w:type="dxa"/>
              <w:right w:w="150" w:type="dxa"/>
            </w:tcMar>
            <w:shd w:fill="F2F5F9" w:val="clear"/>
          </w:tcPr>
          <w:p>
            <w:r>
              <w:rPr>
                <w:rFonts w:ascii="Calibri" w:hAnsi="Calibri"/>
                <w:b/>
                <w:sz w:val="19"/>
              </w:rPr>
              <w:t>Tier 1: Authorized Enterprise AI</w:t>
            </w:r>
          </w:p>
        </w:tc>
        <w:tc>
          <w:tcPr>
            <w:tcW w:type="dxa" w:w="3168"/>
            <w:tcMar>
              <w:top w:w="120" w:type="dxa"/>
              <w:bottom w:w="120" w:type="dxa"/>
              <w:left w:w="150" w:type="dxa"/>
              <w:right w:w="150" w:type="dxa"/>
            </w:tcMar>
            <w:shd w:fill="F2F5F9" w:val="clear"/>
          </w:tcPr>
          <w:p>
            <w:r>
              <w:rPr>
                <w:rFonts w:ascii="Calibri" w:hAnsi="Calibri"/>
                <w:sz w:val="19"/>
              </w:rPr>
              <w:t>Microsoft 365 Copilot Enterprise, Azure OpenAI Services, Azure AI Search (SharePoint RAG), M365 Copilot Finance.</w:t>
            </w:r>
          </w:p>
        </w:tc>
        <w:tc>
          <w:tcPr>
            <w:tcW w:type="dxa" w:w="4320"/>
            <w:tcMar>
              <w:top w:w="120" w:type="dxa"/>
              <w:bottom w:w="120" w:type="dxa"/>
              <w:left w:w="150" w:type="dxa"/>
              <w:right w:w="150" w:type="dxa"/>
            </w:tcMar>
            <w:shd w:fill="F2F5F9" w:val="clear"/>
          </w:tcPr>
          <w:p>
            <w:r>
              <w:rPr>
                <w:rFonts w:ascii="Calibri" w:hAnsi="Calibri"/>
                <w:sz w:val="19"/>
              </w:rPr>
              <w:t>Fully authorized for work purposes. Operating under Enterprise Data Protection agreements with zero model retraining on Educore data. Authenticated via Entra ID SSO with Purview container controls.</w:t>
            </w:r>
          </w:p>
        </w:tc>
      </w:tr>
      <w:tr>
        <w:trPr>
          <w:cantSplit/>
        </w:trPr>
        <w:tc>
          <w:tcPr>
            <w:tcW w:type="dxa" w:w="2592"/>
            <w:tcMar>
              <w:top w:w="120" w:type="dxa"/>
              <w:bottom w:w="120" w:type="dxa"/>
              <w:left w:w="150" w:type="dxa"/>
              <w:right w:w="150" w:type="dxa"/>
            </w:tcMar>
            <w:shd w:fill="FFFFFF" w:val="clear"/>
          </w:tcPr>
          <w:p>
            <w:r>
              <w:rPr>
                <w:rFonts w:ascii="Calibri" w:hAnsi="Calibri"/>
                <w:b/>
                <w:sz w:val="19"/>
              </w:rPr>
              <w:t>Tier 2: Conditionally Permitted SSO</w:t>
            </w:r>
          </w:p>
        </w:tc>
        <w:tc>
          <w:tcPr>
            <w:tcW w:type="dxa" w:w="3168"/>
            <w:tcMar>
              <w:top w:w="120" w:type="dxa"/>
              <w:bottom w:w="120" w:type="dxa"/>
              <w:left w:w="150" w:type="dxa"/>
              <w:right w:w="150" w:type="dxa"/>
            </w:tcMar>
            <w:shd w:fill="FFFFFF" w:val="clear"/>
          </w:tcPr>
          <w:p>
            <w:r>
              <w:rPr>
                <w:rFonts w:ascii="Calibri" w:hAnsi="Calibri"/>
                <w:sz w:val="19"/>
              </w:rPr>
              <w:t>Grammarly Business Enterprise, Canva AI Enterprise, Zoom AI Companion Enterprise.</w:t>
            </w:r>
          </w:p>
        </w:tc>
        <w:tc>
          <w:tcPr>
            <w:tcW w:type="dxa" w:w="4320"/>
            <w:tcMar>
              <w:top w:w="120" w:type="dxa"/>
              <w:bottom w:w="120" w:type="dxa"/>
              <w:left w:w="150" w:type="dxa"/>
              <w:right w:w="150" w:type="dxa"/>
            </w:tcMar>
            <w:shd w:fill="FFFFFF" w:val="clear"/>
          </w:tcPr>
          <w:p>
            <w:r>
              <w:rPr>
                <w:rFonts w:ascii="Calibri" w:hAnsi="Calibri"/>
                <w:sz w:val="19"/>
              </w:rPr>
              <w:t>Permitted exclusively using official Educore M365 SSO logins. Strictly prohibited using personal email logins or for processing unencrypted student PII, health notes, or financial ledgers.</w:t>
            </w:r>
          </w:p>
        </w:tc>
      </w:tr>
      <w:tr>
        <w:trPr>
          <w:cantSplit/>
        </w:trPr>
        <w:tc>
          <w:tcPr>
            <w:tcW w:type="dxa" w:w="2592"/>
            <w:tcMar>
              <w:top w:w="120" w:type="dxa"/>
              <w:bottom w:w="120" w:type="dxa"/>
              <w:left w:w="150" w:type="dxa"/>
              <w:right w:w="150" w:type="dxa"/>
            </w:tcMar>
            <w:shd w:fill="F2F5F9" w:val="clear"/>
          </w:tcPr>
          <w:p>
            <w:r>
              <w:rPr>
                <w:rFonts w:ascii="Calibri" w:hAnsi="Calibri"/>
                <w:b/>
                <w:sz w:val="19"/>
              </w:rPr>
              <w:t>Tier 3: Strictly Prohibited Consumer LLMs</w:t>
            </w:r>
          </w:p>
        </w:tc>
        <w:tc>
          <w:tcPr>
            <w:tcW w:type="dxa" w:w="3168"/>
            <w:tcMar>
              <w:top w:w="120" w:type="dxa"/>
              <w:bottom w:w="120" w:type="dxa"/>
              <w:left w:w="150" w:type="dxa"/>
              <w:right w:w="150" w:type="dxa"/>
            </w:tcMar>
            <w:shd w:fill="F2F5F9" w:val="clear"/>
          </w:tcPr>
          <w:p>
            <w:r>
              <w:rPr>
                <w:rFonts w:ascii="Calibri" w:hAnsi="Calibri"/>
                <w:sz w:val="19"/>
              </w:rPr>
              <w:t>Unsanctioned Public LLMs (ChatGPT Free/Plus personal accounts, Gemini Free personal accounts, Claude Personal, DeepL Free, Midjourney personal accounts).</w:t>
            </w:r>
          </w:p>
        </w:tc>
        <w:tc>
          <w:tcPr>
            <w:tcW w:type="dxa" w:w="4320"/>
            <w:tcMar>
              <w:top w:w="120" w:type="dxa"/>
              <w:bottom w:w="120" w:type="dxa"/>
              <w:left w:w="150" w:type="dxa"/>
              <w:right w:w="150" w:type="dxa"/>
            </w:tcMar>
            <w:shd w:fill="F2F5F9" w:val="clear"/>
          </w:tcPr>
          <w:p>
            <w:r>
              <w:rPr>
                <w:rFonts w:ascii="Calibri" w:hAnsi="Calibri"/>
                <w:sz w:val="19"/>
              </w:rPr>
              <w:t>STRICTLY BANNED for inputting any Educore work data, financial spreadsheets, payroll records, student PII, HR files, or proprietary code. Inputting company data into Tier 3 tools constitutes a major security breach.</w:t>
            </w:r>
          </w:p>
        </w:tc>
      </w:tr>
    </w:tbl>
    <w:p>
      <w:pPr>
        <w:keepNext/>
        <w:spacing w:before="320" w:after="120"/>
      </w:pPr>
      <w:r>
        <w:rPr>
          <w:rFonts w:ascii="Arial" w:hAnsi="Arial"/>
          <w:b/>
          <w:color w:val="003366"/>
          <w:sz w:val="30"/>
        </w:rPr>
        <w:t>3. Departmental Use-Cases, Operational Edge Cases, Strictly Prohibited Uses &amp; Non-Software Guardrails</w:t>
      </w:r>
    </w:p>
    <w:p>
      <w:pPr>
        <w:spacing w:before="40" w:after="100" w:line="276" w:lineRule="auto"/>
      </w:pPr>
      <w:r>
        <w:rPr>
          <w:rFonts w:ascii="Calibri" w:hAnsi="Calibri"/>
          <w:i w:val="0"/>
          <w:color w:val="282828"/>
          <w:sz w:val="22"/>
        </w:rPr>
        <w:t>Software firewalls and DLP rules can be bypassed by 4G cellular hotspots or personal devices. Therefore, this policy establishes explicit Permitted Workflows, Failure Edge Scenarios, Mandatory Non-Software Guardrails, and Strictly Prohibited Use Cases across all eight operational domains to ensure every AI tool stays strictly within its authorized scope:</w:t>
      </w:r>
    </w:p>
    <w:p>
      <w:pPr>
        <w:keepNext/>
        <w:spacing w:before="240" w:after="80"/>
      </w:pPr>
      <w:r>
        <w:rPr>
          <w:rFonts w:ascii="Arial" w:hAnsi="Arial"/>
          <w:b/>
          <w:color w:val="2F5496"/>
          <w:sz w:val="25"/>
        </w:rPr>
        <w:t>3.1 Finance, Accounting &amp; Bursar Operations</w:t>
      </w:r>
    </w:p>
    <w:p>
      <w:pPr>
        <w:pStyle w:val="ListBullet"/>
        <w:spacing w:before="20" w:after="60" w:line="276" w:lineRule="auto"/>
        <w:ind w:left="360"/>
      </w:pPr>
      <w:r>
        <w:rPr>
          <w:rFonts w:ascii="Calibri" w:hAnsi="Calibri"/>
          <w:b/>
          <w:color w:val="141414"/>
          <w:sz w:val="21"/>
        </w:rPr>
        <w:t xml:space="preserve">• Permitted Workflows: </w:t>
      </w:r>
      <w:r>
        <w:rPr>
          <w:rFonts w:ascii="Calibri" w:hAnsi="Calibri"/>
          <w:color w:val="282828"/>
          <w:sz w:val="21"/>
        </w:rPr>
        <w:t>Routine spreadsheet formatting, financial variance analysis, cash flow trend modeling, and narrative memo summarization using M365 Copilot Finance under Confidential - Admin / Finance containers.</w:t>
      </w:r>
    </w:p>
    <w:p>
      <w:pPr>
        <w:pStyle w:val="ListBullet"/>
        <w:spacing w:before="20" w:after="60" w:line="276" w:lineRule="auto"/>
        <w:ind w:left="360"/>
      </w:pPr>
      <w:r>
        <w:rPr>
          <w:rFonts w:ascii="Calibri" w:hAnsi="Calibri"/>
          <w:b/>
          <w:color w:val="141414"/>
          <w:sz w:val="21"/>
        </w:rPr>
        <w:t xml:space="preserve">🚫 Strictly Prohibited Use Case 1: </w:t>
      </w:r>
      <w:r>
        <w:rPr>
          <w:rFonts w:ascii="Calibri" w:hAnsi="Calibri"/>
          <w:color w:val="282828"/>
          <w:sz w:val="21"/>
        </w:rPr>
        <w:t>Inputting unencrypted staff payroll registers, national registration numbers (NRCs), employee banking details, student fee arrear lists, or unannounced budget allocations into any non-enterprise tool or unapproved cloud prompt.</w:t>
      </w:r>
    </w:p>
    <w:p>
      <w:pPr>
        <w:pStyle w:val="ListBullet"/>
        <w:spacing w:before="20" w:after="60" w:line="276" w:lineRule="auto"/>
        <w:ind w:left="360"/>
      </w:pPr>
      <w:r>
        <w:rPr>
          <w:rFonts w:ascii="Calibri" w:hAnsi="Calibri"/>
          <w:b/>
          <w:color w:val="141414"/>
          <w:sz w:val="21"/>
        </w:rPr>
        <w:t xml:space="preserve">🚫 Strictly Prohibited Use Case 2: </w:t>
      </w:r>
      <w:r>
        <w:rPr>
          <w:rFonts w:ascii="Calibri" w:hAnsi="Calibri"/>
          <w:color w:val="282828"/>
          <w:sz w:val="21"/>
        </w:rPr>
        <w:t>Automatically generating or executing journal entries, invoice approvals, payment disbursements, or balance sheet reconciliations directly from AI outputs without prior human manual audit.</w:t>
      </w:r>
    </w:p>
    <w:p>
      <w:pPr>
        <w:pStyle w:val="ListBullet"/>
        <w:spacing w:before="20" w:after="60" w:line="276" w:lineRule="auto"/>
        <w:ind w:left="360"/>
      </w:pPr>
      <w:r>
        <w:rPr>
          <w:rFonts w:ascii="Calibri" w:hAnsi="Calibri"/>
          <w:b/>
          <w:color w:val="141414"/>
          <w:sz w:val="21"/>
        </w:rPr>
        <w:t xml:space="preserve">🚫 Strictly Prohibited Use Case 3: </w:t>
      </w:r>
      <w:r>
        <w:rPr>
          <w:rFonts w:ascii="Calibri" w:hAnsi="Calibri"/>
          <w:color w:val="282828"/>
          <w:sz w:val="21"/>
        </w:rPr>
        <w:t>Inputting confidential commercial contracts, subsidy calculations, or financial agreements tied to mining partners (e.g., First Quantum Minerals / FQM) into external or un-bounded AI systems.</w:t>
      </w:r>
    </w:p>
    <w:p>
      <w:pPr>
        <w:pStyle w:val="ListBullet"/>
        <w:spacing w:before="20" w:after="60" w:line="276" w:lineRule="auto"/>
        <w:ind w:left="360"/>
      </w:pPr>
      <w:r>
        <w:rPr>
          <w:rFonts w:ascii="Calibri" w:hAnsi="Calibri"/>
          <w:b/>
          <w:color w:val="141414"/>
          <w:sz w:val="21"/>
        </w:rPr>
        <w:t xml:space="preserve">🚫 Strictly Prohibited Use Case 4: </w:t>
      </w:r>
      <w:r>
        <w:rPr>
          <w:rFonts w:ascii="Calibri" w:hAnsi="Calibri"/>
          <w:color w:val="282828"/>
          <w:sz w:val="21"/>
        </w:rPr>
        <w:t>Delegating financial hardship evaluations, fee relief scoring, or bursary award decisions to automated AI scoring models.</w:t>
      </w:r>
    </w:p>
    <w:p>
      <w:pPr>
        <w:pStyle w:val="ListBullet"/>
        <w:spacing w:before="20" w:after="60" w:line="276" w:lineRule="auto"/>
        <w:ind w:left="360"/>
      </w:pPr>
      <w:r>
        <w:rPr>
          <w:rFonts w:ascii="Calibri" w:hAnsi="Calibri"/>
          <w:b/>
          <w:color w:val="141414"/>
          <w:sz w:val="21"/>
        </w:rPr>
        <w:t xml:space="preserve">• Failure Edge Scenario: </w:t>
      </w:r>
      <w:r>
        <w:rPr>
          <w:rFonts w:ascii="Calibri" w:hAnsi="Calibri"/>
          <w:color w:val="282828"/>
          <w:sz w:val="21"/>
        </w:rPr>
        <w:t>AI models hallucinating formula syntax or rounding numbers, introducing errors into student fee arrear ledgers, cash flow forecasts, or subsidy allocations.</w:t>
      </w:r>
    </w:p>
    <w:p>
      <w:pPr>
        <w:pStyle w:val="ListBullet"/>
        <w:spacing w:before="20" w:after="60" w:line="276" w:lineRule="auto"/>
        <w:ind w:left="360"/>
      </w:pPr>
      <w:r>
        <w:rPr>
          <w:rFonts w:ascii="Calibri" w:hAnsi="Calibri"/>
          <w:b/>
          <w:color w:val="141414"/>
          <w:sz w:val="21"/>
        </w:rPr>
        <w:t xml:space="preserve">✔ Guardrail Fin-01 (Dual-Key Manual Audit): </w:t>
      </w:r>
      <w:r>
        <w:rPr>
          <w:rFonts w:ascii="Calibri" w:hAnsi="Calibri"/>
          <w:color w:val="282828"/>
          <w:sz w:val="21"/>
        </w:rPr>
        <w:t>Independent human manual verification required for all AI-assisted financial calculations and balance sheet entries before ledger posting.</w:t>
      </w:r>
    </w:p>
    <w:p>
      <w:pPr>
        <w:pStyle w:val="ListBullet"/>
        <w:spacing w:before="20" w:after="60" w:line="276" w:lineRule="auto"/>
        <w:ind w:left="360"/>
      </w:pPr>
      <w:r>
        <w:rPr>
          <w:rFonts w:ascii="Calibri" w:hAnsi="Calibri"/>
          <w:b/>
          <w:color w:val="141414"/>
          <w:sz w:val="21"/>
        </w:rPr>
        <w:t xml:space="preserve">✔ Guardrail Fin-02 (PII &amp; Commercial Data Masking): </w:t>
      </w:r>
      <w:r>
        <w:rPr>
          <w:rFonts w:ascii="Calibri" w:hAnsi="Calibri"/>
          <w:color w:val="282828"/>
          <w:sz w:val="21"/>
        </w:rPr>
        <w:t>Mandatory depersonalization of all student NRC numbers, names, and FQM mining partner subsidy data prior to AI prompt submission.</w:t>
      </w:r>
    </w:p>
    <w:p>
      <w:pPr>
        <w:pStyle w:val="ListBullet"/>
        <w:spacing w:before="20" w:after="60" w:line="276" w:lineRule="auto"/>
        <w:ind w:left="360"/>
      </w:pPr>
      <w:r>
        <w:rPr>
          <w:rFonts w:ascii="Calibri" w:hAnsi="Calibri"/>
          <w:b/>
          <w:color w:val="141414"/>
          <w:sz w:val="21"/>
        </w:rPr>
        <w:t xml:space="preserve">✔ Guardrail Fin-03 (Hardship Allocation Committee): </w:t>
      </w:r>
      <w:r>
        <w:rPr>
          <w:rFonts w:ascii="Calibri" w:hAnsi="Calibri"/>
          <w:color w:val="282828"/>
          <w:sz w:val="21"/>
        </w:rPr>
        <w:t>Financial hardship or bursary decisions cannot rely on AI scoring and require unanimous human committee sign-off.</w:t>
      </w:r>
    </w:p>
    <w:p>
      <w:pPr>
        <w:keepNext/>
        <w:spacing w:before="240" w:after="80"/>
      </w:pPr>
      <w:r>
        <w:rPr>
          <w:rFonts w:ascii="Arial" w:hAnsi="Arial"/>
          <w:b/>
          <w:color w:val="2F5496"/>
          <w:sz w:val="25"/>
        </w:rPr>
        <w:t>3.2 Procurement &amp; Supply Chain Management</w:t>
      </w:r>
    </w:p>
    <w:p>
      <w:pPr>
        <w:pStyle w:val="ListBullet"/>
        <w:spacing w:before="20" w:after="60" w:line="276" w:lineRule="auto"/>
        <w:ind w:left="360"/>
      </w:pPr>
      <w:r>
        <w:rPr>
          <w:rFonts w:ascii="Calibri" w:hAnsi="Calibri"/>
          <w:b/>
          <w:color w:val="141414"/>
          <w:sz w:val="21"/>
        </w:rPr>
        <w:t xml:space="preserve">• Permitted Workflows: </w:t>
      </w:r>
      <w:r>
        <w:rPr>
          <w:rFonts w:ascii="Calibri" w:hAnsi="Calibri"/>
          <w:color w:val="282828"/>
          <w:sz w:val="21"/>
        </w:rPr>
        <w:t>Summarizing vendor contracts, drafting RFP templates, standardizing supplier compliance checklists, and performing general educational market research.</w:t>
      </w:r>
    </w:p>
    <w:p>
      <w:pPr>
        <w:pStyle w:val="ListBullet"/>
        <w:spacing w:before="20" w:after="60" w:line="276" w:lineRule="auto"/>
        <w:ind w:left="360"/>
      </w:pPr>
      <w:r>
        <w:rPr>
          <w:rFonts w:ascii="Calibri" w:hAnsi="Calibri"/>
          <w:b/>
          <w:color w:val="141414"/>
          <w:sz w:val="21"/>
        </w:rPr>
        <w:t xml:space="preserve">🚫 Strictly Prohibited Use Case 1: </w:t>
      </w:r>
      <w:r>
        <w:rPr>
          <w:rFonts w:ascii="Calibri" w:hAnsi="Calibri"/>
          <w:color w:val="282828"/>
          <w:sz w:val="21"/>
        </w:rPr>
        <w:t>Inputting active, unreleased vendor tender bids, sealed RFP submissions, competitive supplier pricing matrices, or evaluation rubrics into any public or shared AI platform.</w:t>
      </w:r>
    </w:p>
    <w:p>
      <w:pPr>
        <w:pStyle w:val="ListBullet"/>
        <w:spacing w:before="20" w:after="60" w:line="276" w:lineRule="auto"/>
        <w:ind w:left="360"/>
      </w:pPr>
      <w:r>
        <w:rPr>
          <w:rFonts w:ascii="Calibri" w:hAnsi="Calibri"/>
          <w:b/>
          <w:color w:val="141414"/>
          <w:sz w:val="21"/>
        </w:rPr>
        <w:t xml:space="preserve">🚫 Strictly Prohibited Use Case 2: </w:t>
      </w:r>
      <w:r>
        <w:rPr>
          <w:rFonts w:ascii="Calibri" w:hAnsi="Calibri"/>
          <w:color w:val="282828"/>
          <w:sz w:val="21"/>
        </w:rPr>
        <w:t>Purchasing or integrating third-party software applications containing embedded AI features without prior Pre-Procurement Vendor AI Addendum review and IT Security sign-off.</w:t>
      </w:r>
    </w:p>
    <w:p>
      <w:pPr>
        <w:pStyle w:val="ListBullet"/>
        <w:spacing w:before="20" w:after="60" w:line="276" w:lineRule="auto"/>
        <w:ind w:left="360"/>
      </w:pPr>
      <w:r>
        <w:rPr>
          <w:rFonts w:ascii="Calibri" w:hAnsi="Calibri"/>
          <w:b/>
          <w:color w:val="141414"/>
          <w:sz w:val="21"/>
        </w:rPr>
        <w:t xml:space="preserve">🚫 Strictly Prohibited Use Case 3: </w:t>
      </w:r>
      <w:r>
        <w:rPr>
          <w:rFonts w:ascii="Calibri" w:hAnsi="Calibri"/>
          <w:color w:val="282828"/>
          <w:sz w:val="21"/>
        </w:rPr>
        <w:t>Generating and executing legally binding procurement contracts, purchase orders, or master services agreements (MSAs) without formal Legal Counsel inspection and manual approval.</w:t>
      </w:r>
    </w:p>
    <w:p>
      <w:pPr>
        <w:pStyle w:val="ListBullet"/>
        <w:spacing w:before="20" w:after="60" w:line="276" w:lineRule="auto"/>
        <w:ind w:left="360"/>
      </w:pPr>
      <w:r>
        <w:rPr>
          <w:rFonts w:ascii="Calibri" w:hAnsi="Calibri"/>
          <w:b/>
          <w:color w:val="141414"/>
          <w:sz w:val="21"/>
        </w:rPr>
        <w:t xml:space="preserve">🚫 Strictly Prohibited Use Case 4: </w:t>
      </w:r>
      <w:r>
        <w:rPr>
          <w:rFonts w:ascii="Calibri" w:hAnsi="Calibri"/>
          <w:color w:val="282828"/>
          <w:sz w:val="21"/>
        </w:rPr>
        <w:t>Inputting internal target pricing, negotiation playbooks, supplier penalty clauses, or budget limits into commercial AI prompts.</w:t>
      </w:r>
    </w:p>
    <w:p>
      <w:pPr>
        <w:pStyle w:val="ListBullet"/>
        <w:spacing w:before="20" w:after="60" w:line="276" w:lineRule="auto"/>
        <w:ind w:left="360"/>
      </w:pPr>
      <w:r>
        <w:rPr>
          <w:rFonts w:ascii="Calibri" w:hAnsi="Calibri"/>
          <w:b/>
          <w:color w:val="141414"/>
          <w:sz w:val="21"/>
        </w:rPr>
        <w:t xml:space="preserve">• Failure Edge Scenario: </w:t>
      </w:r>
      <w:r>
        <w:rPr>
          <w:rFonts w:ascii="Calibri" w:hAnsi="Calibri"/>
          <w:color w:val="282828"/>
          <w:sz w:val="21"/>
        </w:rPr>
        <w:t>Procuring third-party SaaS applications containing hidden 'Trojan' AI features that ingest company data for public LLM retraining, or leaking tender pricing.</w:t>
      </w:r>
    </w:p>
    <w:p>
      <w:pPr>
        <w:pStyle w:val="ListBullet"/>
        <w:spacing w:before="20" w:after="60" w:line="276" w:lineRule="auto"/>
        <w:ind w:left="360"/>
      </w:pPr>
      <w:r>
        <w:rPr>
          <w:rFonts w:ascii="Calibri" w:hAnsi="Calibri"/>
          <w:b/>
          <w:color w:val="141414"/>
          <w:sz w:val="21"/>
        </w:rPr>
        <w:t xml:space="preserve">✔ Guardrail Pro-01 (Pre-Procurement Vendor AI Addendum): </w:t>
      </w:r>
      <w:r>
        <w:rPr>
          <w:rFonts w:ascii="Calibri" w:hAnsi="Calibri"/>
          <w:color w:val="282828"/>
          <w:sz w:val="21"/>
        </w:rPr>
        <w:t>Mandatory vendor sign-off certifying zero data retention, zero model retraining, and IP indemnification before software purchase.</w:t>
      </w:r>
    </w:p>
    <w:p>
      <w:pPr>
        <w:pStyle w:val="ListBullet"/>
        <w:spacing w:before="20" w:after="60" w:line="276" w:lineRule="auto"/>
        <w:ind w:left="360"/>
      </w:pPr>
      <w:r>
        <w:rPr>
          <w:rFonts w:ascii="Calibri" w:hAnsi="Calibri"/>
          <w:b/>
          <w:color w:val="141414"/>
          <w:sz w:val="21"/>
        </w:rPr>
        <w:t xml:space="preserve">✔ Guardrail Pro-02 (Air-Gapped Tender Evaluations): </w:t>
      </w:r>
      <w:r>
        <w:rPr>
          <w:rFonts w:ascii="Calibri" w:hAnsi="Calibri"/>
          <w:color w:val="282828"/>
          <w:sz w:val="21"/>
        </w:rPr>
        <w:t>Sealed tender bids, competitive pricing, and supplier proposals must be evaluated on offline, air-gapped spreadsheets.</w:t>
      </w:r>
    </w:p>
    <w:p>
      <w:pPr>
        <w:pStyle w:val="ListBullet"/>
        <w:spacing w:before="20" w:after="60" w:line="276" w:lineRule="auto"/>
        <w:ind w:left="360"/>
      </w:pPr>
      <w:r>
        <w:rPr>
          <w:rFonts w:ascii="Calibri" w:hAnsi="Calibri"/>
          <w:b/>
          <w:color w:val="141414"/>
          <w:sz w:val="21"/>
        </w:rPr>
        <w:t xml:space="preserve">✔ Guardrail Pro-03 (Legal Counsel Contract Sign-off): </w:t>
      </w:r>
      <w:r>
        <w:rPr>
          <w:rFonts w:ascii="Calibri" w:hAnsi="Calibri"/>
          <w:color w:val="282828"/>
          <w:sz w:val="21"/>
        </w:rPr>
        <w:t>Legal Counsel must inspect all AI-assisted procurement contracts for IP liability before execution.</w:t>
      </w:r>
    </w:p>
    <w:p>
      <w:pPr>
        <w:keepNext/>
        <w:spacing w:before="240" w:after="80"/>
      </w:pPr>
      <w:r>
        <w:rPr>
          <w:rFonts w:ascii="Arial" w:hAnsi="Arial"/>
          <w:b/>
          <w:color w:val="2F5496"/>
          <w:sz w:val="25"/>
        </w:rPr>
        <w:t>3.3 IT Infrastructure, Systems &amp; Software Development</w:t>
      </w:r>
    </w:p>
    <w:p>
      <w:pPr>
        <w:pStyle w:val="ListBullet"/>
        <w:spacing w:before="20" w:after="60" w:line="276" w:lineRule="auto"/>
        <w:ind w:left="360"/>
      </w:pPr>
      <w:r>
        <w:rPr>
          <w:rFonts w:ascii="Calibri" w:hAnsi="Calibri"/>
          <w:b/>
          <w:color w:val="141414"/>
          <w:sz w:val="21"/>
        </w:rPr>
        <w:t xml:space="preserve">• Permitted Workflows: </w:t>
      </w:r>
      <w:r>
        <w:rPr>
          <w:rFonts w:ascii="Calibri" w:hAnsi="Calibri"/>
          <w:color w:val="282828"/>
          <w:sz w:val="21"/>
        </w:rPr>
        <w:t>Boilerplate code generation, shell script debugging, network documentation, and automated security log analysis via GitHub Copilot Enterprise.</w:t>
      </w:r>
    </w:p>
    <w:p>
      <w:pPr>
        <w:pStyle w:val="ListBullet"/>
        <w:spacing w:before="20" w:after="60" w:line="276" w:lineRule="auto"/>
        <w:ind w:left="360"/>
      </w:pPr>
      <w:r>
        <w:rPr>
          <w:rFonts w:ascii="Calibri" w:hAnsi="Calibri"/>
          <w:b/>
          <w:color w:val="141414"/>
          <w:sz w:val="21"/>
        </w:rPr>
        <w:t xml:space="preserve">🚫 Strictly Prohibited Use Case 1: </w:t>
      </w:r>
      <w:r>
        <w:rPr>
          <w:rFonts w:ascii="Calibri" w:hAnsi="Calibri"/>
          <w:color w:val="282828"/>
          <w:sz w:val="21"/>
        </w:rPr>
        <w:t>Including database connection strings, secret API keys, admin passwords, server IP addresses, network topology diagrams, or private encryption keys in AI prompts.</w:t>
      </w:r>
    </w:p>
    <w:p>
      <w:pPr>
        <w:pStyle w:val="ListBullet"/>
        <w:spacing w:before="20" w:after="60" w:line="276" w:lineRule="auto"/>
        <w:ind w:left="360"/>
      </w:pPr>
      <w:r>
        <w:rPr>
          <w:rFonts w:ascii="Calibri" w:hAnsi="Calibri"/>
          <w:b/>
          <w:color w:val="141414"/>
          <w:sz w:val="21"/>
        </w:rPr>
        <w:t xml:space="preserve">🚫 Strictly Prohibited Use Case 2: </w:t>
      </w:r>
      <w:r>
        <w:rPr>
          <w:rFonts w:ascii="Calibri" w:hAnsi="Calibri"/>
          <w:color w:val="282828"/>
          <w:sz w:val="21"/>
        </w:rPr>
        <w:t>Running AI-generated code, shell scripts, database migrations, or infrastructure configuration scripts directly in live production environments without staging sandbox testing and senior peer code review.</w:t>
      </w:r>
    </w:p>
    <w:p>
      <w:pPr>
        <w:pStyle w:val="ListBullet"/>
        <w:spacing w:before="20" w:after="60" w:line="276" w:lineRule="auto"/>
        <w:ind w:left="360"/>
      </w:pPr>
      <w:r>
        <w:rPr>
          <w:rFonts w:ascii="Calibri" w:hAnsi="Calibri"/>
          <w:b/>
          <w:color w:val="141414"/>
          <w:sz w:val="21"/>
        </w:rPr>
        <w:t xml:space="preserve">🚫 Strictly Prohibited Use Case 3: </w:t>
      </w:r>
      <w:r>
        <w:rPr>
          <w:rFonts w:ascii="Calibri" w:hAnsi="Calibri"/>
          <w:color w:val="282828"/>
          <w:sz w:val="21"/>
        </w:rPr>
        <w:t>Disabling or overriding pre-commit git secret-scanning hooks or static application security testing (SAST) pipelines when committing AI-assisted code.</w:t>
      </w:r>
    </w:p>
    <w:p>
      <w:pPr>
        <w:pStyle w:val="ListBullet"/>
        <w:spacing w:before="20" w:after="60" w:line="276" w:lineRule="auto"/>
        <w:ind w:left="360"/>
      </w:pPr>
      <w:r>
        <w:rPr>
          <w:rFonts w:ascii="Calibri" w:hAnsi="Calibri"/>
          <w:b/>
          <w:color w:val="141414"/>
          <w:sz w:val="21"/>
        </w:rPr>
        <w:t xml:space="preserve">🚫 Strictly Prohibited Use Case 4: </w:t>
      </w:r>
      <w:r>
        <w:rPr>
          <w:rFonts w:ascii="Calibri" w:hAnsi="Calibri"/>
          <w:color w:val="282828"/>
          <w:sz w:val="21"/>
        </w:rPr>
        <w:t>Deploying autonomous AI agents capable of altering network firewall rules, user access permissions, or Entra ID roles without human approval.</w:t>
      </w:r>
    </w:p>
    <w:p>
      <w:pPr>
        <w:pStyle w:val="ListBullet"/>
        <w:spacing w:before="20" w:after="60" w:line="276" w:lineRule="auto"/>
        <w:ind w:left="360"/>
      </w:pPr>
      <w:r>
        <w:rPr>
          <w:rFonts w:ascii="Calibri" w:hAnsi="Calibri"/>
          <w:b/>
          <w:color w:val="141414"/>
          <w:sz w:val="21"/>
        </w:rPr>
        <w:t xml:space="preserve">• Failure Edge Scenario: </w:t>
      </w:r>
      <w:r>
        <w:rPr>
          <w:rFonts w:ascii="Calibri" w:hAnsi="Calibri"/>
          <w:color w:val="282828"/>
          <w:sz w:val="21"/>
        </w:rPr>
        <w:t>Accidental insertion of database credentials, API keys, passwords, or internal server IP addresses into AI prompts, or deploying buggy AI code.</w:t>
      </w:r>
    </w:p>
    <w:p>
      <w:pPr>
        <w:pStyle w:val="ListBullet"/>
        <w:spacing w:before="20" w:after="60" w:line="276" w:lineRule="auto"/>
        <w:ind w:left="360"/>
      </w:pPr>
      <w:r>
        <w:rPr>
          <w:rFonts w:ascii="Calibri" w:hAnsi="Calibri"/>
          <w:b/>
          <w:color w:val="141414"/>
          <w:sz w:val="21"/>
        </w:rPr>
        <w:t xml:space="preserve">✔ Guardrail IT-01 (Pre-Commit Secret Scanning): </w:t>
      </w:r>
      <w:r>
        <w:rPr>
          <w:rFonts w:ascii="Calibri" w:hAnsi="Calibri"/>
          <w:color w:val="282828"/>
          <w:sz w:val="21"/>
        </w:rPr>
        <w:t>Automated git pre-commit hooks and local secret-scanning pipelines to block prompts containing API keys or credentials.</w:t>
      </w:r>
    </w:p>
    <w:p>
      <w:pPr>
        <w:pStyle w:val="ListBullet"/>
        <w:spacing w:before="20" w:after="60" w:line="276" w:lineRule="auto"/>
        <w:ind w:left="360"/>
      </w:pPr>
      <w:r>
        <w:rPr>
          <w:rFonts w:ascii="Calibri" w:hAnsi="Calibri"/>
          <w:b/>
          <w:color w:val="141414"/>
          <w:sz w:val="21"/>
        </w:rPr>
        <w:t xml:space="preserve">✔ Guardrail IT-02 (Mandatory SAST &amp; Senior Peer Review): </w:t>
      </w:r>
      <w:r>
        <w:rPr>
          <w:rFonts w:ascii="Calibri" w:hAnsi="Calibri"/>
          <w:color w:val="282828"/>
          <w:sz w:val="21"/>
        </w:rPr>
        <w:t>All AI-generated scripts require automated security testing and Senior Engineer peer review sign-off before production release.</w:t>
      </w:r>
    </w:p>
    <w:p>
      <w:pPr>
        <w:pStyle w:val="ListBullet"/>
        <w:spacing w:before="20" w:after="60" w:line="276" w:lineRule="auto"/>
        <w:ind w:left="360"/>
      </w:pPr>
      <w:r>
        <w:rPr>
          <w:rFonts w:ascii="Calibri" w:hAnsi="Calibri"/>
          <w:b/>
          <w:color w:val="141414"/>
          <w:sz w:val="21"/>
        </w:rPr>
        <w:t xml:space="preserve">✔ Guardrail IT-03 (48-Hour Staging Sandbox Isolation): </w:t>
      </w:r>
      <w:r>
        <w:rPr>
          <w:rFonts w:ascii="Calibri" w:hAnsi="Calibri"/>
          <w:color w:val="282828"/>
          <w:sz w:val="21"/>
        </w:rPr>
        <w:t>AI-generated network or system scripts must undergo 48 hours of testing in isolated staging sandboxes before live execution.</w:t>
      </w:r>
    </w:p>
    <w:p>
      <w:pPr>
        <w:keepNext/>
        <w:spacing w:before="240" w:after="80"/>
      </w:pPr>
      <w:r>
        <w:rPr>
          <w:rFonts w:ascii="Arial" w:hAnsi="Arial"/>
          <w:b/>
          <w:color w:val="2F5496"/>
          <w:sz w:val="25"/>
        </w:rPr>
        <w:t>3.4 Human Resources &amp; Personnel Management</w:t>
      </w:r>
    </w:p>
    <w:p>
      <w:pPr>
        <w:pStyle w:val="ListBullet"/>
        <w:spacing w:before="20" w:after="60" w:line="276" w:lineRule="auto"/>
        <w:ind w:left="360"/>
      </w:pPr>
      <w:r>
        <w:rPr>
          <w:rFonts w:ascii="Calibri" w:hAnsi="Calibri"/>
          <w:b/>
          <w:color w:val="141414"/>
          <w:sz w:val="21"/>
        </w:rPr>
        <w:t xml:space="preserve">• Permitted Workflows: </w:t>
      </w:r>
      <w:r>
        <w:rPr>
          <w:rFonts w:ascii="Calibri" w:hAnsi="Calibri"/>
          <w:color w:val="282828"/>
          <w:sz w:val="21"/>
        </w:rPr>
        <w:t>Drafting job descriptions, anonymizing employee survey feedback, structuring training outlines, and formatting policy documentation.</w:t>
      </w:r>
    </w:p>
    <w:p>
      <w:pPr>
        <w:pStyle w:val="ListBullet"/>
        <w:spacing w:before="20" w:after="60" w:line="276" w:lineRule="auto"/>
        <w:ind w:left="360"/>
      </w:pPr>
      <w:r>
        <w:rPr>
          <w:rFonts w:ascii="Calibri" w:hAnsi="Calibri"/>
          <w:b/>
          <w:color w:val="141414"/>
          <w:sz w:val="21"/>
        </w:rPr>
        <w:t xml:space="preserve">🚫 Strictly Prohibited Use Case 1: </w:t>
      </w:r>
      <w:r>
        <w:rPr>
          <w:rFonts w:ascii="Calibri" w:hAnsi="Calibri"/>
          <w:color w:val="282828"/>
          <w:sz w:val="21"/>
        </w:rPr>
        <w:t>Using AI systems to automatically shortlist, rank, or reject job applicants without individual human HR officer review (violating EU AI Act Annex III high-risk rules).</w:t>
      </w:r>
    </w:p>
    <w:p>
      <w:pPr>
        <w:pStyle w:val="ListBullet"/>
        <w:spacing w:before="20" w:after="60" w:line="276" w:lineRule="auto"/>
        <w:ind w:left="360"/>
      </w:pPr>
      <w:r>
        <w:rPr>
          <w:rFonts w:ascii="Calibri" w:hAnsi="Calibri"/>
          <w:b/>
          <w:color w:val="141414"/>
          <w:sz w:val="21"/>
        </w:rPr>
        <w:t xml:space="preserve">🚫 Strictly Prohibited Use Case 2: </w:t>
      </w:r>
      <w:r>
        <w:rPr>
          <w:rFonts w:ascii="Calibri" w:hAnsi="Calibri"/>
          <w:color w:val="282828"/>
          <w:sz w:val="21"/>
        </w:rPr>
        <w:t>Inputting unencrypted staff disciplinary records, medical notes, performance warnings, grievance files, or Zambian NRC numbers into any AI tool.</w:t>
      </w:r>
    </w:p>
    <w:p>
      <w:pPr>
        <w:pStyle w:val="ListBullet"/>
        <w:spacing w:before="20" w:after="60" w:line="276" w:lineRule="auto"/>
        <w:ind w:left="360"/>
      </w:pPr>
      <w:r>
        <w:rPr>
          <w:rFonts w:ascii="Calibri" w:hAnsi="Calibri"/>
          <w:b/>
          <w:color w:val="141414"/>
          <w:sz w:val="21"/>
        </w:rPr>
        <w:t xml:space="preserve">🚫 Strictly Prohibited Use Case 3: </w:t>
      </w:r>
      <w:r>
        <w:rPr>
          <w:rFonts w:ascii="Calibri" w:hAnsi="Calibri"/>
          <w:color w:val="282828"/>
          <w:sz w:val="21"/>
        </w:rPr>
        <w:t>Generating employee annual performance reviews or salary adjustment recommendations based solely on AI-summarized activity logs without direct supervisor observation evidence.</w:t>
      </w:r>
    </w:p>
    <w:p>
      <w:pPr>
        <w:pStyle w:val="ListBullet"/>
        <w:spacing w:before="20" w:after="60" w:line="276" w:lineRule="auto"/>
        <w:ind w:left="360"/>
      </w:pPr>
      <w:r>
        <w:rPr>
          <w:rFonts w:ascii="Calibri" w:hAnsi="Calibri"/>
          <w:b/>
          <w:color w:val="141414"/>
          <w:sz w:val="21"/>
        </w:rPr>
        <w:t xml:space="preserve">🚫 Strictly Prohibited Use Case 4: </w:t>
      </w:r>
      <w:r>
        <w:rPr>
          <w:rFonts w:ascii="Calibri" w:hAnsi="Calibri"/>
          <w:color w:val="282828"/>
          <w:sz w:val="21"/>
        </w:rPr>
        <w:t>Deploying AI tools for staff evaluation or monitoring without conducting a statutory Data Protection Impact Assessment (DPIA) under Zambian Act No. 3 of 2021.</w:t>
      </w:r>
    </w:p>
    <w:p>
      <w:pPr>
        <w:pStyle w:val="ListBullet"/>
        <w:spacing w:before="20" w:after="60" w:line="276" w:lineRule="auto"/>
        <w:ind w:left="360"/>
      </w:pPr>
      <w:r>
        <w:rPr>
          <w:rFonts w:ascii="Calibri" w:hAnsi="Calibri"/>
          <w:b/>
          <w:color w:val="141414"/>
          <w:sz w:val="21"/>
        </w:rPr>
        <w:t xml:space="preserve">• Failure Edge Scenario: </w:t>
      </w:r>
      <w:r>
        <w:rPr>
          <w:rFonts w:ascii="Calibri" w:hAnsi="Calibri"/>
          <w:color w:val="282828"/>
          <w:sz w:val="21"/>
        </w:rPr>
        <w:t>Algorithmic bias in candidate CV screening leading to unfair rejection, employee privacy violations, or statutory liability under Zambian Law.</w:t>
      </w:r>
    </w:p>
    <w:p>
      <w:pPr>
        <w:pStyle w:val="ListBullet"/>
        <w:spacing w:before="20" w:after="60" w:line="276" w:lineRule="auto"/>
        <w:ind w:left="360"/>
      </w:pPr>
      <w:r>
        <w:rPr>
          <w:rFonts w:ascii="Calibri" w:hAnsi="Calibri"/>
          <w:b/>
          <w:color w:val="141414"/>
          <w:sz w:val="21"/>
        </w:rPr>
        <w:t xml:space="preserve">✔ Guardrail HR-01 (Ban on Automated Candidate Rejection): </w:t>
      </w:r>
      <w:r>
        <w:rPr>
          <w:rFonts w:ascii="Calibri" w:hAnsi="Calibri"/>
          <w:color w:val="282828"/>
          <w:sz w:val="21"/>
        </w:rPr>
        <w:t>Absolute prohibition on automated candidate rejection; human HR officers must conduct all shortlisting and performance appraisals.</w:t>
      </w:r>
    </w:p>
    <w:p>
      <w:pPr>
        <w:pStyle w:val="ListBullet"/>
        <w:spacing w:before="20" w:after="60" w:line="276" w:lineRule="auto"/>
        <w:ind w:left="360"/>
      </w:pPr>
      <w:r>
        <w:rPr>
          <w:rFonts w:ascii="Calibri" w:hAnsi="Calibri"/>
          <w:b/>
          <w:color w:val="141414"/>
          <w:sz w:val="21"/>
        </w:rPr>
        <w:t xml:space="preserve">✔ Guardrail HR-02 (Statutory Zambian DPIA Compliance): </w:t>
      </w:r>
      <w:r>
        <w:rPr>
          <w:rFonts w:ascii="Calibri" w:hAnsi="Calibri"/>
          <w:color w:val="282828"/>
          <w:sz w:val="21"/>
        </w:rPr>
        <w:t>Mandatory Data Protection Impact Assessment (DPIA) for all HR data processing systems under Act No. 3 of 2021.</w:t>
      </w:r>
    </w:p>
    <w:p>
      <w:pPr>
        <w:pStyle w:val="ListBullet"/>
        <w:spacing w:before="20" w:after="60" w:line="276" w:lineRule="auto"/>
        <w:ind w:left="360"/>
      </w:pPr>
      <w:r>
        <w:rPr>
          <w:rFonts w:ascii="Calibri" w:hAnsi="Calibri"/>
          <w:b/>
          <w:color w:val="141414"/>
          <w:sz w:val="21"/>
        </w:rPr>
        <w:t xml:space="preserve">✔ Guardrail HR-03 (Appraisal Observation Evidence Logs): </w:t>
      </w:r>
      <w:r>
        <w:rPr>
          <w:rFonts w:ascii="Calibri" w:hAnsi="Calibri"/>
          <w:color w:val="282828"/>
          <w:sz w:val="21"/>
        </w:rPr>
        <w:t>Annual employee appraisals must reflect direct human supervisor observation logs, not AI-summarized feedback.</w:t>
      </w:r>
    </w:p>
    <w:p>
      <w:pPr>
        <w:keepNext/>
        <w:spacing w:before="240" w:after="80"/>
      </w:pPr>
      <w:r>
        <w:rPr>
          <w:rFonts w:ascii="Arial" w:hAnsi="Arial"/>
          <w:b/>
          <w:color w:val="2F5496"/>
          <w:sz w:val="25"/>
        </w:rPr>
        <w:t>3.5 Legal, Compliance &amp; Executive Administration</w:t>
      </w:r>
    </w:p>
    <w:p>
      <w:pPr>
        <w:pStyle w:val="ListBullet"/>
        <w:spacing w:before="20" w:after="60" w:line="276" w:lineRule="auto"/>
        <w:ind w:left="360"/>
      </w:pPr>
      <w:r>
        <w:rPr>
          <w:rFonts w:ascii="Calibri" w:hAnsi="Calibri"/>
          <w:b/>
          <w:color w:val="141414"/>
          <w:sz w:val="21"/>
        </w:rPr>
        <w:t xml:space="preserve">• Permitted Workflows: </w:t>
      </w:r>
      <w:r>
        <w:rPr>
          <w:rFonts w:ascii="Calibri" w:hAnsi="Calibri"/>
          <w:color w:val="282828"/>
          <w:sz w:val="21"/>
        </w:rPr>
        <w:t>Contract clause extraction, regulatory compliance tracking, executive summary generation, and formatting board briefing materials.</w:t>
      </w:r>
    </w:p>
    <w:p>
      <w:pPr>
        <w:pStyle w:val="ListBullet"/>
        <w:spacing w:before="20" w:after="60" w:line="276" w:lineRule="auto"/>
        <w:ind w:left="360"/>
      </w:pPr>
      <w:r>
        <w:rPr>
          <w:rFonts w:ascii="Calibri" w:hAnsi="Calibri"/>
          <w:b/>
          <w:color w:val="141414"/>
          <w:sz w:val="21"/>
        </w:rPr>
        <w:t xml:space="preserve">🚫 Strictly Prohibited Use Case 1: </w:t>
      </w:r>
      <w:r>
        <w:rPr>
          <w:rFonts w:ascii="Calibri" w:hAnsi="Calibri"/>
          <w:color w:val="282828"/>
          <w:sz w:val="21"/>
        </w:rPr>
        <w:t>Citing AI-generated statutory provisions, court precedents, or regulatory opinions in legal proceedings or board filings without manual verification against official Zambian statute books.</w:t>
      </w:r>
    </w:p>
    <w:p>
      <w:pPr>
        <w:pStyle w:val="ListBullet"/>
        <w:spacing w:before="20" w:after="60" w:line="276" w:lineRule="auto"/>
        <w:ind w:left="360"/>
      </w:pPr>
      <w:r>
        <w:rPr>
          <w:rFonts w:ascii="Calibri" w:hAnsi="Calibri"/>
          <w:b/>
          <w:color w:val="141414"/>
          <w:sz w:val="21"/>
        </w:rPr>
        <w:t xml:space="preserve">🚫 Strictly Prohibited Use Case 2: </w:t>
      </w:r>
      <w:r>
        <w:rPr>
          <w:rFonts w:ascii="Calibri" w:hAnsi="Calibri"/>
          <w:color w:val="282828"/>
          <w:sz w:val="21"/>
        </w:rPr>
        <w:t>Utilizing predictive AI models or automated scoring tools to make final executive governance decisions, strategic capital allocations, or board risk determinations (prohibited under ISO 42001 Clause 5.1).</w:t>
      </w:r>
    </w:p>
    <w:p>
      <w:pPr>
        <w:pStyle w:val="ListBullet"/>
        <w:spacing w:before="20" w:after="60" w:line="276" w:lineRule="auto"/>
        <w:ind w:left="360"/>
      </w:pPr>
      <w:r>
        <w:rPr>
          <w:rFonts w:ascii="Calibri" w:hAnsi="Calibri"/>
          <w:b/>
          <w:color w:val="141414"/>
          <w:sz w:val="21"/>
        </w:rPr>
        <w:t xml:space="preserve">🚫 Strictly Prohibited Use Case 3: </w:t>
      </w:r>
      <w:r>
        <w:rPr>
          <w:rFonts w:ascii="Calibri" w:hAnsi="Calibri"/>
          <w:color w:val="282828"/>
          <w:sz w:val="21"/>
        </w:rPr>
        <w:t>Uploading confidential legal opinions, ongoing litigation strategy notes, or regulatory dispute files into unapproved external cloud AI models.</w:t>
      </w:r>
    </w:p>
    <w:p>
      <w:pPr>
        <w:pStyle w:val="ListBullet"/>
        <w:spacing w:before="20" w:after="60" w:line="276" w:lineRule="auto"/>
        <w:ind w:left="360"/>
      </w:pPr>
      <w:r>
        <w:rPr>
          <w:rFonts w:ascii="Calibri" w:hAnsi="Calibri"/>
          <w:b/>
          <w:color w:val="141414"/>
          <w:sz w:val="21"/>
        </w:rPr>
        <w:t xml:space="preserve">🚫 Strictly Prohibited Use Case 4: </w:t>
      </w:r>
      <w:r>
        <w:rPr>
          <w:rFonts w:ascii="Calibri" w:hAnsi="Calibri"/>
          <w:color w:val="282828"/>
          <w:sz w:val="21"/>
        </w:rPr>
        <w:t>Publishing binding institutional policies or amendments generated by AI without formal Steering Committee and Executive Directorate sign-off.</w:t>
      </w:r>
    </w:p>
    <w:p>
      <w:pPr>
        <w:pStyle w:val="ListBullet"/>
        <w:spacing w:before="20" w:after="60" w:line="276" w:lineRule="auto"/>
        <w:ind w:left="360"/>
      </w:pPr>
      <w:r>
        <w:rPr>
          <w:rFonts w:ascii="Calibri" w:hAnsi="Calibri"/>
          <w:b/>
          <w:color w:val="141414"/>
          <w:sz w:val="21"/>
        </w:rPr>
        <w:t xml:space="preserve">• Failure Edge Scenario: </w:t>
      </w:r>
      <w:r>
        <w:rPr>
          <w:rFonts w:ascii="Calibri" w:hAnsi="Calibri"/>
          <w:color w:val="282828"/>
          <w:sz w:val="21"/>
        </w:rPr>
        <w:t>AI hallucinating false Zambian statutory acts, legal precedents, or court rulings, or delegating executive governance decisions to predictive AI models.</w:t>
      </w:r>
    </w:p>
    <w:p>
      <w:pPr>
        <w:pStyle w:val="ListBullet"/>
        <w:spacing w:before="20" w:after="60" w:line="276" w:lineRule="auto"/>
        <w:ind w:left="360"/>
      </w:pPr>
      <w:r>
        <w:rPr>
          <w:rFonts w:ascii="Calibri" w:hAnsi="Calibri"/>
          <w:b/>
          <w:color w:val="141414"/>
          <w:sz w:val="21"/>
        </w:rPr>
        <w:t xml:space="preserve">✔ Guardrail Leg-01 (Statutory Legal Verification): </w:t>
      </w:r>
      <w:r>
        <w:rPr>
          <w:rFonts w:ascii="Calibri" w:hAnsi="Calibri"/>
          <w:color w:val="282828"/>
          <w:sz w:val="21"/>
        </w:rPr>
        <w:t>Legal Counsel must verify all AI-extracted legal references against official Republic of Zambia statutory books.</w:t>
      </w:r>
    </w:p>
    <w:p>
      <w:pPr>
        <w:pStyle w:val="ListBullet"/>
        <w:spacing w:before="20" w:after="60" w:line="276" w:lineRule="auto"/>
        <w:ind w:left="360"/>
      </w:pPr>
      <w:r>
        <w:rPr>
          <w:rFonts w:ascii="Calibri" w:hAnsi="Calibri"/>
          <w:b/>
          <w:color w:val="141414"/>
          <w:sz w:val="21"/>
        </w:rPr>
        <w:t xml:space="preserve">✔ Guardrail Leg-02 (Executive Non-Delegable Accountability): </w:t>
      </w:r>
      <w:r>
        <w:rPr>
          <w:rFonts w:ascii="Calibri" w:hAnsi="Calibri"/>
          <w:color w:val="282828"/>
          <w:sz w:val="21"/>
        </w:rPr>
        <w:t>Board risk decisions and institutional policies cannot be delegated to AI models under ISO 42001 Clause 5.1.</w:t>
      </w:r>
    </w:p>
    <w:p>
      <w:pPr>
        <w:keepNext/>
        <w:spacing w:before="240" w:after="80"/>
      </w:pPr>
      <w:r>
        <w:rPr>
          <w:rFonts w:ascii="Arial" w:hAnsi="Arial"/>
          <w:b/>
          <w:color w:val="2F5496"/>
          <w:sz w:val="25"/>
        </w:rPr>
        <w:t>3.6 Academic Faculty &amp; Classroom Educators</w:t>
      </w:r>
    </w:p>
    <w:p>
      <w:pPr>
        <w:pStyle w:val="ListBullet"/>
        <w:spacing w:before="20" w:after="60" w:line="276" w:lineRule="auto"/>
        <w:ind w:left="360"/>
      </w:pPr>
      <w:r>
        <w:rPr>
          <w:rFonts w:ascii="Calibri" w:hAnsi="Calibri"/>
          <w:b/>
          <w:color w:val="141414"/>
          <w:sz w:val="21"/>
        </w:rPr>
        <w:t xml:space="preserve">• Permitted Workflows: </w:t>
      </w:r>
      <w:r>
        <w:rPr>
          <w:rFonts w:ascii="Calibri" w:hAnsi="Calibri"/>
          <w:color w:val="282828"/>
          <w:sz w:val="21"/>
        </w:rPr>
        <w:t>Azure-hosted lesson planning, rubric criteria design, exercise generation, and formatting differentiated reading materials.</w:t>
      </w:r>
    </w:p>
    <w:p>
      <w:pPr>
        <w:pStyle w:val="ListBullet"/>
        <w:spacing w:before="20" w:after="60" w:line="276" w:lineRule="auto"/>
        <w:ind w:left="360"/>
      </w:pPr>
      <w:r>
        <w:rPr>
          <w:rFonts w:ascii="Calibri" w:hAnsi="Calibri"/>
          <w:b/>
          <w:color w:val="141414"/>
          <w:sz w:val="21"/>
        </w:rPr>
        <w:t xml:space="preserve">🚫 Strictly Prohibited Use Case 1: </w:t>
      </w:r>
      <w:r>
        <w:rPr>
          <w:rFonts w:ascii="Calibri" w:hAnsi="Calibri"/>
          <w:color w:val="282828"/>
          <w:sz w:val="21"/>
        </w:rPr>
        <w:t>Using AI tools to score, grade, or generate final marksheets for summative assessments, final exams, or Cambridge/Zambian national benchmark tests without human educator evaluation.</w:t>
      </w:r>
    </w:p>
    <w:p>
      <w:pPr>
        <w:pStyle w:val="ListBullet"/>
        <w:spacing w:before="20" w:after="60" w:line="276" w:lineRule="auto"/>
        <w:ind w:left="360"/>
      </w:pPr>
      <w:r>
        <w:rPr>
          <w:rFonts w:ascii="Calibri" w:hAnsi="Calibri"/>
          <w:b/>
          <w:color w:val="141414"/>
          <w:sz w:val="21"/>
        </w:rPr>
        <w:t xml:space="preserve">🚫 Strictly Prohibited Use Case 2: </w:t>
      </w:r>
      <w:r>
        <w:rPr>
          <w:rFonts w:ascii="Calibri" w:hAnsi="Calibri"/>
          <w:color w:val="282828"/>
          <w:sz w:val="21"/>
        </w:rPr>
        <w:t>Uploading identifiable student academic records, behavioral reports, medical notes, or Special Educational Needs (SEN) pastoral files into public or un-bounded AI systems.</w:t>
      </w:r>
    </w:p>
    <w:p>
      <w:pPr>
        <w:pStyle w:val="ListBullet"/>
        <w:spacing w:before="20" w:after="60" w:line="276" w:lineRule="auto"/>
        <w:ind w:left="360"/>
      </w:pPr>
      <w:r>
        <w:rPr>
          <w:rFonts w:ascii="Calibri" w:hAnsi="Calibri"/>
          <w:b/>
          <w:color w:val="141414"/>
          <w:sz w:val="21"/>
        </w:rPr>
        <w:t xml:space="preserve">🚫 Strictly Prohibited Use Case 3: </w:t>
      </w:r>
      <w:r>
        <w:rPr>
          <w:rFonts w:ascii="Calibri" w:hAnsi="Calibri"/>
          <w:color w:val="282828"/>
          <w:sz w:val="21"/>
        </w:rPr>
        <w:t>Distributing AI-generated lesson materials, study packs, or revision guides to students without verifying academic accuracy against Cambridge and Zambian national syllabi.</w:t>
      </w:r>
    </w:p>
    <w:p>
      <w:pPr>
        <w:pStyle w:val="ListBullet"/>
        <w:spacing w:before="20" w:after="60" w:line="276" w:lineRule="auto"/>
        <w:ind w:left="360"/>
      </w:pPr>
      <w:r>
        <w:rPr>
          <w:rFonts w:ascii="Calibri" w:hAnsi="Calibri"/>
          <w:b/>
          <w:color w:val="141414"/>
          <w:sz w:val="21"/>
        </w:rPr>
        <w:t xml:space="preserve">🚫 Strictly Prohibited Use Case 4: </w:t>
      </w:r>
      <w:r>
        <w:rPr>
          <w:rFonts w:ascii="Calibri" w:hAnsi="Calibri"/>
          <w:color w:val="282828"/>
          <w:sz w:val="21"/>
        </w:rPr>
        <w:t>Using AI tools to track student emotional states, classify student behavior, or create secret academic trajectory profiles (violating EU AI Act Article 5).</w:t>
      </w:r>
    </w:p>
    <w:p>
      <w:pPr>
        <w:pStyle w:val="ListBullet"/>
        <w:spacing w:before="20" w:after="60" w:line="276" w:lineRule="auto"/>
        <w:ind w:left="360"/>
      </w:pPr>
      <w:r>
        <w:rPr>
          <w:rFonts w:ascii="Calibri" w:hAnsi="Calibri"/>
          <w:b/>
          <w:color w:val="141414"/>
          <w:sz w:val="21"/>
        </w:rPr>
        <w:t xml:space="preserve">• Failure Edge Scenario: </w:t>
      </w:r>
      <w:r>
        <w:rPr>
          <w:rFonts w:ascii="Calibri" w:hAnsi="Calibri"/>
          <w:color w:val="282828"/>
          <w:sz w:val="21"/>
        </w:rPr>
        <w:t>AI generating incorrect academic facts in student handouts or automated grading tools mis-scoring summative exams.</w:t>
      </w:r>
    </w:p>
    <w:p>
      <w:pPr>
        <w:pStyle w:val="ListBullet"/>
        <w:spacing w:before="20" w:after="60" w:line="276" w:lineRule="auto"/>
        <w:ind w:left="360"/>
      </w:pPr>
      <w:r>
        <w:rPr>
          <w:rFonts w:ascii="Calibri" w:hAnsi="Calibri"/>
          <w:b/>
          <w:color w:val="141414"/>
          <w:sz w:val="21"/>
        </w:rPr>
        <w:t xml:space="preserve">✔ Guardrail Edu-01 (Prohibition of Automated Summative Grading): </w:t>
      </w:r>
      <w:r>
        <w:rPr>
          <w:rFonts w:ascii="Calibri" w:hAnsi="Calibri"/>
          <w:color w:val="282828"/>
          <w:sz w:val="21"/>
        </w:rPr>
        <w:t>Summative exam scoring and final report card marks must be assigned by human educators.</w:t>
      </w:r>
    </w:p>
    <w:p>
      <w:pPr>
        <w:pStyle w:val="ListBullet"/>
        <w:spacing w:before="20" w:after="60" w:line="276" w:lineRule="auto"/>
        <w:ind w:left="360"/>
      </w:pPr>
      <w:r>
        <w:rPr>
          <w:rFonts w:ascii="Calibri" w:hAnsi="Calibri"/>
          <w:b/>
          <w:color w:val="141414"/>
          <w:sz w:val="21"/>
        </w:rPr>
        <w:t xml:space="preserve">✔ Guardrail Edu-02 (Human-in-the-Loop Syllabus Verification): </w:t>
      </w:r>
      <w:r>
        <w:rPr>
          <w:rFonts w:ascii="Calibri" w:hAnsi="Calibri"/>
          <w:color w:val="282828"/>
          <w:sz w:val="21"/>
        </w:rPr>
        <w:t>Faculty must verify all AI-generated teaching resources against official Cambridge and Zambian syllabi.</w:t>
      </w:r>
    </w:p>
    <w:p>
      <w:pPr>
        <w:pStyle w:val="ListBullet"/>
        <w:spacing w:before="20" w:after="60" w:line="276" w:lineRule="auto"/>
        <w:ind w:left="360"/>
      </w:pPr>
      <w:r>
        <w:rPr>
          <w:rFonts w:ascii="Calibri" w:hAnsi="Calibri"/>
          <w:b/>
          <w:color w:val="141414"/>
          <w:sz w:val="21"/>
        </w:rPr>
        <w:t xml:space="preserve">✔ Guardrail Edu-03 (Student Depersonalization Rule): </w:t>
      </w:r>
      <w:r>
        <w:rPr>
          <w:rFonts w:ascii="Calibri" w:hAnsi="Calibri"/>
          <w:color w:val="282828"/>
          <w:sz w:val="21"/>
        </w:rPr>
        <w:t>Educators must strip all student names, IDs, and pastoral notes before using AI for lesson differentiation.</w:t>
      </w:r>
    </w:p>
    <w:p>
      <w:pPr>
        <w:keepNext/>
        <w:spacing w:before="240" w:after="80"/>
      </w:pPr>
      <w:r>
        <w:rPr>
          <w:rFonts w:ascii="Arial" w:hAnsi="Arial"/>
          <w:b/>
          <w:color w:val="2F5496"/>
          <w:sz w:val="25"/>
        </w:rPr>
        <w:t>3.7 Students &amp; Learners (Tier C)</w:t>
      </w:r>
    </w:p>
    <w:p>
      <w:pPr>
        <w:pStyle w:val="ListBullet"/>
        <w:spacing w:before="20" w:after="60" w:line="276" w:lineRule="auto"/>
        <w:ind w:left="360"/>
      </w:pPr>
      <w:r>
        <w:rPr>
          <w:rFonts w:ascii="Calibri" w:hAnsi="Calibri"/>
          <w:b/>
          <w:color w:val="141414"/>
          <w:sz w:val="21"/>
        </w:rPr>
        <w:t xml:space="preserve">• Permitted Workflows: </w:t>
      </w:r>
      <w:r>
        <w:rPr>
          <w:rFonts w:ascii="Calibri" w:hAnsi="Calibri"/>
          <w:color w:val="282828"/>
          <w:sz w:val="21"/>
        </w:rPr>
        <w:t>Interactive study guidance via Azure Socratic RAG tutors (Math/Physics) providing step-by-step diagnostic hints without direct answers.</w:t>
      </w:r>
    </w:p>
    <w:p>
      <w:pPr>
        <w:pStyle w:val="ListBullet"/>
        <w:spacing w:before="20" w:after="60" w:line="276" w:lineRule="auto"/>
        <w:ind w:left="360"/>
      </w:pPr>
      <w:r>
        <w:rPr>
          <w:rFonts w:ascii="Calibri" w:hAnsi="Calibri"/>
          <w:b/>
          <w:color w:val="141414"/>
          <w:sz w:val="21"/>
        </w:rPr>
        <w:t xml:space="preserve">🚫 Strictly Prohibited Use Case 1: </w:t>
      </w:r>
      <w:r>
        <w:rPr>
          <w:rFonts w:ascii="Calibri" w:hAnsi="Calibri"/>
          <w:color w:val="282828"/>
          <w:sz w:val="21"/>
        </w:rPr>
        <w:t>Using AI to write, generate, or complete essays, lab reports, coursework assignments, or research papers in full or in part to bypass active learning.</w:t>
      </w:r>
    </w:p>
    <w:p>
      <w:pPr>
        <w:pStyle w:val="ListBullet"/>
        <w:spacing w:before="20" w:after="60" w:line="276" w:lineRule="auto"/>
        <w:ind w:left="360"/>
      </w:pPr>
      <w:r>
        <w:rPr>
          <w:rFonts w:ascii="Calibri" w:hAnsi="Calibri"/>
          <w:b/>
          <w:color w:val="141414"/>
          <w:sz w:val="21"/>
        </w:rPr>
        <w:t xml:space="preserve">🚫 Strictly Prohibited Use Case 2: </w:t>
      </w:r>
      <w:r>
        <w:rPr>
          <w:rFonts w:ascii="Calibri" w:hAnsi="Calibri"/>
          <w:color w:val="282828"/>
          <w:sz w:val="21"/>
        </w:rPr>
        <w:t>Utilizing 4G/5G mobile hotspots, VPNs, or personal mobile data to access prohibited Tier 3 consumer LLMs (e.g., ChatGPT Free, Gemini Free) on campus devices or during school hours.</w:t>
      </w:r>
    </w:p>
    <w:p>
      <w:pPr>
        <w:pStyle w:val="ListBullet"/>
        <w:spacing w:before="20" w:after="60" w:line="276" w:lineRule="auto"/>
        <w:ind w:left="360"/>
      </w:pPr>
      <w:r>
        <w:rPr>
          <w:rFonts w:ascii="Calibri" w:hAnsi="Calibri"/>
          <w:b/>
          <w:color w:val="141414"/>
          <w:sz w:val="21"/>
        </w:rPr>
        <w:t xml:space="preserve">🚫 Strictly Prohibited Use Case 3: </w:t>
      </w:r>
      <w:r>
        <w:rPr>
          <w:rFonts w:ascii="Calibri" w:hAnsi="Calibri"/>
          <w:color w:val="282828"/>
          <w:sz w:val="21"/>
        </w:rPr>
        <w:t>Presenting AI-generated text, code, or analysis as original unassisted work without attaching a signed Declaration of Intellectual Ownership.</w:t>
      </w:r>
    </w:p>
    <w:p>
      <w:pPr>
        <w:pStyle w:val="ListBullet"/>
        <w:spacing w:before="20" w:after="60" w:line="276" w:lineRule="auto"/>
        <w:ind w:left="360"/>
      </w:pPr>
      <w:r>
        <w:rPr>
          <w:rFonts w:ascii="Calibri" w:hAnsi="Calibri"/>
          <w:b/>
          <w:color w:val="141414"/>
          <w:sz w:val="21"/>
        </w:rPr>
        <w:t xml:space="preserve">🚫 Strictly Prohibited Use Case 4: </w:t>
      </w:r>
      <w:r>
        <w:rPr>
          <w:rFonts w:ascii="Calibri" w:hAnsi="Calibri"/>
          <w:color w:val="282828"/>
          <w:sz w:val="21"/>
        </w:rPr>
        <w:t>Using AI to generate individual sections of group project deliverables while avoiding collaborative peer work and oral Viva Voce defense readiness.</w:t>
      </w:r>
    </w:p>
    <w:p>
      <w:pPr>
        <w:pStyle w:val="ListBullet"/>
        <w:spacing w:before="20" w:after="60" w:line="276" w:lineRule="auto"/>
        <w:ind w:left="360"/>
      </w:pPr>
      <w:r>
        <w:rPr>
          <w:rFonts w:ascii="Calibri" w:hAnsi="Calibri"/>
          <w:b/>
          <w:color w:val="141414"/>
          <w:sz w:val="21"/>
        </w:rPr>
        <w:t xml:space="preserve">• Failure Edge Scenario: </w:t>
      </w:r>
      <w:r>
        <w:rPr>
          <w:rFonts w:ascii="Calibri" w:hAnsi="Calibri"/>
          <w:color w:val="282828"/>
          <w:sz w:val="21"/>
        </w:rPr>
        <w:t>Cognitive bypass (students generating complete essays or fake prompt logs using AI) or using 4G mobile hotspots to bypass campus firewalls.</w:t>
      </w:r>
    </w:p>
    <w:p>
      <w:pPr>
        <w:pStyle w:val="ListBullet"/>
        <w:spacing w:before="20" w:after="60" w:line="276" w:lineRule="auto"/>
        <w:ind w:left="360"/>
      </w:pPr>
      <w:r>
        <w:rPr>
          <w:rFonts w:ascii="Calibri" w:hAnsi="Calibri"/>
          <w:b/>
          <w:color w:val="141414"/>
          <w:sz w:val="21"/>
        </w:rPr>
        <w:t xml:space="preserve">✔ Guardrail Stu-01 (Process-Based Viva Voce Oral Defenses): </w:t>
      </w:r>
      <w:r>
        <w:rPr>
          <w:rFonts w:ascii="Calibri" w:hAnsi="Calibri"/>
          <w:color w:val="282828"/>
          <w:sz w:val="21"/>
        </w:rPr>
        <w:t>Educators conduct unassisted in-class oral defenses and timed synoptic writes to verify genuine student mastery.</w:t>
      </w:r>
    </w:p>
    <w:p>
      <w:pPr>
        <w:pStyle w:val="ListBullet"/>
        <w:spacing w:before="20" w:after="60" w:line="276" w:lineRule="auto"/>
        <w:ind w:left="360"/>
      </w:pPr>
      <w:r>
        <w:rPr>
          <w:rFonts w:ascii="Calibri" w:hAnsi="Calibri"/>
          <w:b/>
          <w:color w:val="141414"/>
          <w:sz w:val="21"/>
        </w:rPr>
        <w:t xml:space="preserve">✔ Guardrail Stu-02 (Declaration of Intellectual Ownership): </w:t>
      </w:r>
      <w:r>
        <w:rPr>
          <w:rFonts w:ascii="Calibri" w:hAnsi="Calibri"/>
          <w:color w:val="282828"/>
          <w:sz w:val="21"/>
        </w:rPr>
        <w:t>Students attach signed sole-authorship pledges to all major assignments, taking full responsibility for submitted ideas.</w:t>
      </w:r>
    </w:p>
    <w:p>
      <w:pPr>
        <w:pStyle w:val="ListBullet"/>
        <w:spacing w:before="20" w:after="60" w:line="276" w:lineRule="auto"/>
        <w:ind w:left="360"/>
      </w:pPr>
      <w:r>
        <w:rPr>
          <w:rFonts w:ascii="Calibri" w:hAnsi="Calibri"/>
          <w:b/>
          <w:color w:val="141414"/>
          <w:sz w:val="21"/>
        </w:rPr>
        <w:t xml:space="preserve">✔ Guardrail Stu-03 (Individual Viva Voce for Group Work): </w:t>
      </w:r>
      <w:r>
        <w:rPr>
          <w:rFonts w:ascii="Calibri" w:hAnsi="Calibri"/>
          <w:color w:val="282828"/>
          <w:sz w:val="21"/>
        </w:rPr>
        <w:t>Group project submissions require individual oral spot-checks to ensure equal contribution and prevent AI free-riding.</w:t>
      </w:r>
    </w:p>
    <w:p>
      <w:pPr>
        <w:keepNext/>
        <w:spacing w:before="240" w:after="80"/>
      </w:pPr>
      <w:r>
        <w:rPr>
          <w:rFonts w:ascii="Arial" w:hAnsi="Arial"/>
          <w:b/>
          <w:color w:val="2F5496"/>
          <w:sz w:val="25"/>
        </w:rPr>
        <w:t>3.8 Facilities, Physical Security &amp; Logistics</w:t>
      </w:r>
    </w:p>
    <w:p>
      <w:pPr>
        <w:pStyle w:val="ListBullet"/>
        <w:spacing w:before="20" w:after="60" w:line="276" w:lineRule="auto"/>
        <w:ind w:left="360"/>
      </w:pPr>
      <w:r>
        <w:rPr>
          <w:rFonts w:ascii="Calibri" w:hAnsi="Calibri"/>
          <w:b/>
          <w:color w:val="141414"/>
          <w:sz w:val="21"/>
        </w:rPr>
        <w:t xml:space="preserve">• Permitted Workflows: </w:t>
      </w:r>
      <w:r>
        <w:rPr>
          <w:rFonts w:ascii="Calibri" w:hAnsi="Calibri"/>
          <w:color w:val="282828"/>
          <w:sz w:val="21"/>
        </w:rPr>
        <w:t>Campus maintenance route optimization, energy consumption tracking, and containerized IT helpdesk ticket triage.</w:t>
      </w:r>
    </w:p>
    <w:p>
      <w:pPr>
        <w:pStyle w:val="ListBullet"/>
        <w:spacing w:before="20" w:after="60" w:line="276" w:lineRule="auto"/>
        <w:ind w:left="360"/>
      </w:pPr>
      <w:r>
        <w:rPr>
          <w:rFonts w:ascii="Calibri" w:hAnsi="Calibri"/>
          <w:b/>
          <w:color w:val="141414"/>
          <w:sz w:val="21"/>
        </w:rPr>
        <w:t xml:space="preserve">🚫 Strictly Prohibited Use Case 1: </w:t>
      </w:r>
      <w:r>
        <w:rPr>
          <w:rFonts w:ascii="Calibri" w:hAnsi="Calibri"/>
          <w:color w:val="282828"/>
          <w:sz w:val="21"/>
        </w:rPr>
        <w:t>Deploying AI systems for facial recognition, gait analysis, or emotional tracking at campus entry gates, classrooms, or staff facilities (strictly banned under EU AI Act Article 5).</w:t>
      </w:r>
    </w:p>
    <w:p>
      <w:pPr>
        <w:pStyle w:val="ListBullet"/>
        <w:spacing w:before="20" w:after="60" w:line="276" w:lineRule="auto"/>
        <w:ind w:left="360"/>
      </w:pPr>
      <w:r>
        <w:rPr>
          <w:rFonts w:ascii="Calibri" w:hAnsi="Calibri"/>
          <w:b/>
          <w:color w:val="141414"/>
          <w:sz w:val="21"/>
        </w:rPr>
        <w:t xml:space="preserve">🚫 Strictly Prohibited Use Case 2: </w:t>
      </w:r>
      <w:r>
        <w:rPr>
          <w:rFonts w:ascii="Calibri" w:hAnsi="Calibri"/>
          <w:color w:val="282828"/>
          <w:sz w:val="21"/>
        </w:rPr>
        <w:t>Allowing AI bots to auto-close, downgrade, or defer critical physical safety, fire alarm, chemical hazard, or electrical defect maintenance tickets.</w:t>
      </w:r>
    </w:p>
    <w:p>
      <w:pPr>
        <w:pStyle w:val="ListBullet"/>
        <w:spacing w:before="20" w:after="60" w:line="276" w:lineRule="auto"/>
        <w:ind w:left="360"/>
      </w:pPr>
      <w:r>
        <w:rPr>
          <w:rFonts w:ascii="Calibri" w:hAnsi="Calibri"/>
          <w:b/>
          <w:color w:val="141414"/>
          <w:sz w:val="21"/>
        </w:rPr>
        <w:t xml:space="preserve">🚫 Strictly Prohibited Use Case 3: </w:t>
      </w:r>
      <w:r>
        <w:rPr>
          <w:rFonts w:ascii="Calibri" w:hAnsi="Calibri"/>
          <w:color w:val="282828"/>
          <w:sz w:val="21"/>
        </w:rPr>
        <w:t>Uploading campus security codes, master key logs, CCTV video feeds containing student faces, or biometric gate logs into cloud AI platforms.</w:t>
      </w:r>
    </w:p>
    <w:p>
      <w:pPr>
        <w:pStyle w:val="ListBullet"/>
        <w:spacing w:before="20" w:after="60" w:line="276" w:lineRule="auto"/>
        <w:ind w:left="360"/>
      </w:pPr>
      <w:r>
        <w:rPr>
          <w:rFonts w:ascii="Calibri" w:hAnsi="Calibri"/>
          <w:b/>
          <w:color w:val="141414"/>
          <w:sz w:val="21"/>
        </w:rPr>
        <w:t xml:space="preserve">🚫 Strictly Prohibited Use Case 4: </w:t>
      </w:r>
      <w:r>
        <w:rPr>
          <w:rFonts w:ascii="Calibri" w:hAnsi="Calibri"/>
          <w:color w:val="282828"/>
          <w:sz w:val="21"/>
        </w:rPr>
        <w:t>Allowing AI models to autonomously modify campus perimeter security access hours, fire suppression settings, or emergency evacuation doors without human facility manager authorization.</w:t>
      </w:r>
    </w:p>
    <w:p>
      <w:pPr>
        <w:pStyle w:val="ListBullet"/>
        <w:spacing w:before="20" w:after="60" w:line="276" w:lineRule="auto"/>
        <w:ind w:left="360"/>
      </w:pPr>
      <w:r>
        <w:rPr>
          <w:rFonts w:ascii="Calibri" w:hAnsi="Calibri"/>
          <w:b/>
          <w:color w:val="141414"/>
          <w:sz w:val="21"/>
        </w:rPr>
        <w:t xml:space="preserve">• Failure Edge Scenario: </w:t>
      </w:r>
      <w:r>
        <w:rPr>
          <w:rFonts w:ascii="Calibri" w:hAnsi="Calibri"/>
          <w:color w:val="282828"/>
          <w:sz w:val="21"/>
        </w:rPr>
        <w:t>Deploying facial recognition or emotion tracking at campus entry gates, or AI bots auto-closing critical physical safety hazard tickets.</w:t>
      </w:r>
    </w:p>
    <w:p>
      <w:pPr>
        <w:pStyle w:val="ListBullet"/>
        <w:spacing w:before="20" w:after="60" w:line="276" w:lineRule="auto"/>
        <w:ind w:left="360"/>
      </w:pPr>
      <w:r>
        <w:rPr>
          <w:rFonts w:ascii="Calibri" w:hAnsi="Calibri"/>
          <w:b/>
          <w:color w:val="141414"/>
          <w:sz w:val="21"/>
        </w:rPr>
        <w:t xml:space="preserve">✔ Guardrail Fac-01 (EU AI Act Article 5 Emotion/Facial Ban): </w:t>
      </w:r>
      <w:r>
        <w:rPr>
          <w:rFonts w:ascii="Calibri" w:hAnsi="Calibri"/>
          <w:color w:val="282828"/>
          <w:sz w:val="21"/>
        </w:rPr>
        <w:t>Strict prohibition on facial recognition or emotion tracking at school gates or workplaces.</w:t>
      </w:r>
    </w:p>
    <w:p>
      <w:pPr>
        <w:pStyle w:val="ListBullet"/>
        <w:spacing w:before="20" w:after="60" w:line="276" w:lineRule="auto"/>
        <w:ind w:left="360"/>
      </w:pPr>
      <w:r>
        <w:rPr>
          <w:rFonts w:ascii="Calibri" w:hAnsi="Calibri"/>
          <w:b/>
          <w:color w:val="141414"/>
          <w:sz w:val="21"/>
        </w:rPr>
        <w:t xml:space="preserve">✔ Guardrail Fac-02 (Immediate Human Emergency Dispatch): </w:t>
      </w:r>
      <w:r>
        <w:rPr>
          <w:rFonts w:ascii="Calibri" w:hAnsi="Calibri"/>
          <w:color w:val="282828"/>
          <w:sz w:val="21"/>
        </w:rPr>
        <w:t>Physical safety, electrical hazard, or security tickets automatically bypass AI triage and dispatch human responders instantly.</w:t>
      </w:r>
    </w:p>
    <w:p>
      <w:pPr>
        <w:keepNext/>
        <w:spacing w:before="320" w:after="120"/>
      </w:pPr>
      <w:r>
        <w:rPr>
          <w:rFonts w:ascii="Arial" w:hAnsi="Arial"/>
          <w:b/>
          <w:color w:val="003366"/>
          <w:sz w:val="30"/>
        </w:rPr>
        <w:t>4. Microsoft Purview Labeling Containers &amp; Data Boundaries</w:t>
      </w:r>
    </w:p>
    <w:p>
      <w:pPr>
        <w:spacing w:before="40" w:after="100" w:line="276" w:lineRule="auto"/>
      </w:pPr>
      <w:r>
        <w:rPr>
          <w:rFonts w:ascii="Calibri" w:hAnsi="Calibri"/>
          <w:i w:val="0"/>
          <w:color w:val="282828"/>
          <w:sz w:val="22"/>
        </w:rPr>
        <w:t>All institutional document libraries across SharePoint Online and OneDrive are mapped to four Microsoft Purview sensitivity containers to enforce strict data access boundaries:</w:t>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2880"/>
            <w:tcMar>
              <w:top w:w="120" w:type="dxa"/>
              <w:bottom w:w="120" w:type="dxa"/>
              <w:left w:w="150" w:type="dxa"/>
              <w:right w:w="150" w:type="dxa"/>
            </w:tcMar>
            <w:shd w:fill="003366" w:val="clear"/>
          </w:tcPr>
          <w:p>
            <w:pPr>
              <w:jc w:val="center"/>
            </w:pPr>
            <w:r>
              <w:rPr>
                <w:rFonts w:ascii="Arial" w:hAnsi="Arial"/>
                <w:b/>
                <w:color w:val="FFFFFF"/>
                <w:sz w:val="19"/>
              </w:rPr>
              <w:t>PURVIEW SENSITIVITY LABEL</w:t>
            </w:r>
          </w:p>
        </w:tc>
        <w:tc>
          <w:tcPr>
            <w:tcW w:type="dxa" w:w="3600"/>
            <w:tcMar>
              <w:top w:w="120" w:type="dxa"/>
              <w:bottom w:w="120" w:type="dxa"/>
              <w:left w:w="150" w:type="dxa"/>
              <w:right w:w="150" w:type="dxa"/>
            </w:tcMar>
            <w:shd w:fill="003366" w:val="clear"/>
          </w:tcPr>
          <w:p>
            <w:pPr>
              <w:jc w:val="center"/>
            </w:pPr>
            <w:r>
              <w:rPr>
                <w:rFonts w:ascii="Arial" w:hAnsi="Arial"/>
                <w:b/>
                <w:color w:val="FFFFFF"/>
                <w:sz w:val="19"/>
              </w:rPr>
              <w:t>DATA SCOPE &amp; CONTENT DESCRIPTION</w:t>
            </w:r>
          </w:p>
        </w:tc>
        <w:tc>
          <w:tcPr>
            <w:tcW w:type="dxa" w:w="3600"/>
            <w:tcMar>
              <w:top w:w="120" w:type="dxa"/>
              <w:bottom w:w="120" w:type="dxa"/>
              <w:left w:w="150" w:type="dxa"/>
              <w:right w:w="150" w:type="dxa"/>
            </w:tcMar>
            <w:shd w:fill="003366" w:val="clear"/>
          </w:tcPr>
          <w:p>
            <w:pPr>
              <w:jc w:val="center"/>
            </w:pPr>
            <w:r>
              <w:rPr>
                <w:rFonts w:ascii="Arial" w:hAnsi="Arial"/>
                <w:b/>
                <w:color w:val="FFFFFF"/>
                <w:sz w:val="19"/>
              </w:rPr>
              <w:t>PERMITTED AI PROCESSING BOUNDARY</w:t>
            </w:r>
          </w:p>
        </w:tc>
      </w:tr>
      <w:tr>
        <w:trPr>
          <w:cantSplit/>
        </w:trPr>
        <w:tc>
          <w:tcPr>
            <w:tcW w:type="dxa" w:w="2880"/>
            <w:tcMar>
              <w:top w:w="120" w:type="dxa"/>
              <w:bottom w:w="120" w:type="dxa"/>
              <w:left w:w="150" w:type="dxa"/>
              <w:right w:w="150" w:type="dxa"/>
            </w:tcMar>
            <w:shd w:fill="F2F5F9" w:val="clear"/>
          </w:tcPr>
          <w:p>
            <w:r>
              <w:rPr>
                <w:rFonts w:ascii="Calibri" w:hAnsi="Calibri"/>
                <w:b/>
                <w:sz w:val="19"/>
              </w:rPr>
              <w:t>Confidential - Admin / Finance</w:t>
            </w:r>
          </w:p>
        </w:tc>
        <w:tc>
          <w:tcPr>
            <w:tcW w:type="dxa" w:w="3600"/>
            <w:tcMar>
              <w:top w:w="120" w:type="dxa"/>
              <w:bottom w:w="120" w:type="dxa"/>
              <w:left w:w="150" w:type="dxa"/>
              <w:right w:w="150" w:type="dxa"/>
            </w:tcMar>
            <w:shd w:fill="F2F5F9" w:val="clear"/>
          </w:tcPr>
          <w:p>
            <w:r>
              <w:rPr>
                <w:rFonts w:ascii="Calibri" w:hAnsi="Calibri"/>
                <w:sz w:val="19"/>
              </w:rPr>
              <w:t>Financial ledgers, payroll, bursaries, executive board papers, legal contracts, HR personnel records.</w:t>
            </w:r>
          </w:p>
        </w:tc>
        <w:tc>
          <w:tcPr>
            <w:tcW w:type="dxa" w:w="3600"/>
            <w:tcMar>
              <w:top w:w="120" w:type="dxa"/>
              <w:bottom w:w="120" w:type="dxa"/>
              <w:left w:w="150" w:type="dxa"/>
              <w:right w:w="150" w:type="dxa"/>
            </w:tcMar>
            <w:shd w:fill="F2F5F9" w:val="clear"/>
          </w:tcPr>
          <w:p>
            <w:r>
              <w:rPr>
                <w:rFonts w:ascii="Calibri" w:hAnsi="Calibri"/>
                <w:sz w:val="19"/>
              </w:rPr>
              <w:t>Restricted exclusively to M365 Copilot Enterprise and Azure AI Search within secure admin tenants.</w:t>
            </w:r>
          </w:p>
        </w:tc>
      </w:tr>
      <w:tr>
        <w:trPr>
          <w:cantSplit/>
        </w:trPr>
        <w:tc>
          <w:tcPr>
            <w:tcW w:type="dxa" w:w="2880"/>
            <w:tcMar>
              <w:top w:w="120" w:type="dxa"/>
              <w:bottom w:w="120" w:type="dxa"/>
              <w:left w:w="150" w:type="dxa"/>
              <w:right w:w="150" w:type="dxa"/>
            </w:tcMar>
            <w:shd w:fill="FFFFFF" w:val="clear"/>
          </w:tcPr>
          <w:p>
            <w:r>
              <w:rPr>
                <w:rFonts w:ascii="Calibri" w:hAnsi="Calibri"/>
                <w:b/>
                <w:sz w:val="19"/>
              </w:rPr>
              <w:t>Restricted - IT / Systems</w:t>
            </w:r>
          </w:p>
        </w:tc>
        <w:tc>
          <w:tcPr>
            <w:tcW w:type="dxa" w:w="3600"/>
            <w:tcMar>
              <w:top w:w="120" w:type="dxa"/>
              <w:bottom w:w="120" w:type="dxa"/>
              <w:left w:w="150" w:type="dxa"/>
              <w:right w:w="150" w:type="dxa"/>
            </w:tcMar>
            <w:shd w:fill="FFFFFF" w:val="clear"/>
          </w:tcPr>
          <w:p>
            <w:r>
              <w:rPr>
                <w:rFonts w:ascii="Calibri" w:hAnsi="Calibri"/>
                <w:sz w:val="19"/>
              </w:rPr>
              <w:t>Network topologies, API keys, database schemas, security script repositories, server configurations.</w:t>
            </w:r>
          </w:p>
        </w:tc>
        <w:tc>
          <w:tcPr>
            <w:tcW w:type="dxa" w:w="3600"/>
            <w:tcMar>
              <w:top w:w="120" w:type="dxa"/>
              <w:bottom w:w="120" w:type="dxa"/>
              <w:left w:w="150" w:type="dxa"/>
              <w:right w:w="150" w:type="dxa"/>
            </w:tcMar>
            <w:shd w:fill="FFFFFF" w:val="clear"/>
          </w:tcPr>
          <w:p>
            <w:r>
              <w:rPr>
                <w:rFonts w:ascii="Calibri" w:hAnsi="Calibri"/>
                <w:sz w:val="19"/>
              </w:rPr>
              <w:t>Restricted to authenticated IT personnel using GitHub Copilot Enterprise with pre-commit secret scanning.</w:t>
            </w:r>
          </w:p>
        </w:tc>
      </w:tr>
      <w:tr>
        <w:trPr>
          <w:cantSplit/>
        </w:trPr>
        <w:tc>
          <w:tcPr>
            <w:tcW w:type="dxa" w:w="2880"/>
            <w:tcMar>
              <w:top w:w="120" w:type="dxa"/>
              <w:bottom w:w="120" w:type="dxa"/>
              <w:left w:w="150" w:type="dxa"/>
              <w:right w:w="150" w:type="dxa"/>
            </w:tcMar>
            <w:shd w:fill="F2F5F9" w:val="clear"/>
          </w:tcPr>
          <w:p>
            <w:r>
              <w:rPr>
                <w:rFonts w:ascii="Calibri" w:hAnsi="Calibri"/>
                <w:b/>
                <w:sz w:val="19"/>
              </w:rPr>
              <w:t>Internal - Educational</w:t>
            </w:r>
          </w:p>
        </w:tc>
        <w:tc>
          <w:tcPr>
            <w:tcW w:type="dxa" w:w="3600"/>
            <w:tcMar>
              <w:top w:w="120" w:type="dxa"/>
              <w:bottom w:w="120" w:type="dxa"/>
              <w:left w:w="150" w:type="dxa"/>
              <w:right w:w="150" w:type="dxa"/>
            </w:tcMar>
            <w:shd w:fill="F2F5F9" w:val="clear"/>
          </w:tcPr>
          <w:p>
            <w:r>
              <w:rPr>
                <w:rFonts w:ascii="Calibri" w:hAnsi="Calibri"/>
                <w:sz w:val="19"/>
              </w:rPr>
              <w:t>Curriculum plans, assessment rubrics, teaching guides, internal staff announcements, academy modules.</w:t>
            </w:r>
          </w:p>
        </w:tc>
        <w:tc>
          <w:tcPr>
            <w:tcW w:type="dxa" w:w="3600"/>
            <w:tcMar>
              <w:top w:w="120" w:type="dxa"/>
              <w:bottom w:w="120" w:type="dxa"/>
              <w:left w:w="150" w:type="dxa"/>
              <w:right w:w="150" w:type="dxa"/>
            </w:tcMar>
            <w:shd w:fill="F2F5F9" w:val="clear"/>
          </w:tcPr>
          <w:p>
            <w:r>
              <w:rPr>
                <w:rFonts w:ascii="Calibri" w:hAnsi="Calibri"/>
                <w:sz w:val="19"/>
              </w:rPr>
              <w:t>Accessible to teaching faculty for lesson design and resource formatting via M365 Copilot.</w:t>
            </w:r>
          </w:p>
        </w:tc>
      </w:tr>
      <w:tr>
        <w:trPr>
          <w:cantSplit/>
        </w:trPr>
        <w:tc>
          <w:tcPr>
            <w:tcW w:type="dxa" w:w="2880"/>
            <w:tcMar>
              <w:top w:w="120" w:type="dxa"/>
              <w:bottom w:w="120" w:type="dxa"/>
              <w:left w:w="150" w:type="dxa"/>
              <w:right w:w="150" w:type="dxa"/>
            </w:tcMar>
            <w:shd w:fill="FFFFFF" w:val="clear"/>
          </w:tcPr>
          <w:p>
            <w:r>
              <w:rPr>
                <w:rFonts w:ascii="Calibri" w:hAnsi="Calibri"/>
                <w:b/>
                <w:sz w:val="19"/>
              </w:rPr>
              <w:t>Public / Educational</w:t>
            </w:r>
          </w:p>
        </w:tc>
        <w:tc>
          <w:tcPr>
            <w:tcW w:type="dxa" w:w="3600"/>
            <w:tcMar>
              <w:top w:w="120" w:type="dxa"/>
              <w:bottom w:w="120" w:type="dxa"/>
              <w:left w:w="150" w:type="dxa"/>
              <w:right w:w="150" w:type="dxa"/>
            </w:tcMar>
            <w:shd w:fill="FFFFFF" w:val="clear"/>
          </w:tcPr>
          <w:p>
            <w:r>
              <w:rPr>
                <w:rFonts w:ascii="Calibri" w:hAnsi="Calibri"/>
                <w:sz w:val="19"/>
              </w:rPr>
              <w:t>Published syllabi, textbook indices, public school announcements, general educational resources.</w:t>
            </w:r>
          </w:p>
        </w:tc>
        <w:tc>
          <w:tcPr>
            <w:tcW w:type="dxa" w:w="3600"/>
            <w:tcMar>
              <w:top w:w="120" w:type="dxa"/>
              <w:bottom w:w="120" w:type="dxa"/>
              <w:left w:w="150" w:type="dxa"/>
              <w:right w:w="150" w:type="dxa"/>
            </w:tcMar>
            <w:shd w:fill="FFFFFF" w:val="clear"/>
          </w:tcPr>
          <w:p>
            <w:r>
              <w:rPr>
                <w:rFonts w:ascii="Calibri" w:hAnsi="Calibri"/>
                <w:sz w:val="19"/>
              </w:rPr>
              <w:t>Approved for read-only access by student-facing Azure Socratic RAG tutors and public web portals.</w:t>
            </w:r>
          </w:p>
        </w:tc>
      </w:tr>
    </w:tbl>
    <w:p>
      <w:pPr>
        <w:keepNext/>
        <w:spacing w:before="320" w:after="120"/>
      </w:pPr>
      <w:r>
        <w:rPr>
          <w:rFonts w:ascii="Arial" w:hAnsi="Arial"/>
          <w:b/>
          <w:color w:val="003366"/>
          <w:sz w:val="30"/>
        </w:rPr>
        <w:t>5. Statutory Safeguards &amp; Prohibited AI Red Lines</w:t>
      </w:r>
    </w:p>
    <w:p>
      <w:pPr>
        <w:spacing w:before="40" w:after="100" w:line="276" w:lineRule="auto"/>
      </w:pPr>
      <w:r>
        <w:rPr>
          <w:rFonts w:ascii="Calibri" w:hAnsi="Calibri"/>
          <w:i w:val="0"/>
          <w:color w:val="282828"/>
          <w:sz w:val="22"/>
        </w:rPr>
        <w:t>In accordance with the EU AI Act (Article 5), the Zambian Data Protection Act (No. 3 of 2021), and ISO/IEC 42001:2023, Educore Services enforces zero-tolerance statutory prohibitions against the following AI practices:</w:t>
      </w:r>
    </w:p>
    <w:p>
      <w:pPr>
        <w:pStyle w:val="ListBullet"/>
        <w:spacing w:before="20" w:after="60" w:line="276" w:lineRule="auto"/>
        <w:ind w:left="360"/>
      </w:pPr>
      <w:r>
        <w:rPr>
          <w:rFonts w:ascii="Calibri" w:hAnsi="Calibri"/>
          <w:b/>
          <w:color w:val="141414"/>
          <w:sz w:val="21"/>
        </w:rPr>
        <w:t xml:space="preserve">❌ Emotion Tracking Prohibitions: </w:t>
      </w:r>
      <w:r>
        <w:rPr>
          <w:rFonts w:ascii="Calibri" w:hAnsi="Calibri"/>
          <w:color w:val="282828"/>
          <w:sz w:val="21"/>
        </w:rPr>
        <w:t>Strictly banning all AI systems designed to analyze or track student or staff emotional states at campus gates or workplaces.</w:t>
      </w:r>
    </w:p>
    <w:p>
      <w:pPr>
        <w:pStyle w:val="ListBullet"/>
        <w:spacing w:before="20" w:after="60" w:line="276" w:lineRule="auto"/>
        <w:ind w:left="360"/>
      </w:pPr>
      <w:r>
        <w:rPr>
          <w:rFonts w:ascii="Calibri" w:hAnsi="Calibri"/>
          <w:b/>
          <w:color w:val="141414"/>
          <w:sz w:val="21"/>
        </w:rPr>
        <w:t xml:space="preserve">❌ Subliminal Manipulation &amp; Profiling: </w:t>
      </w:r>
      <w:r>
        <w:rPr>
          <w:rFonts w:ascii="Calibri" w:hAnsi="Calibri"/>
          <w:color w:val="282828"/>
          <w:sz w:val="21"/>
        </w:rPr>
        <w:t>Prohibiting AI applications that use subliminal techniques to manipulate student behavior or build secret risk profiles.</w:t>
      </w:r>
    </w:p>
    <w:p>
      <w:pPr>
        <w:pStyle w:val="ListBullet"/>
        <w:spacing w:before="20" w:after="60" w:line="276" w:lineRule="auto"/>
        <w:ind w:left="360"/>
      </w:pPr>
      <w:r>
        <w:rPr>
          <w:rFonts w:ascii="Calibri" w:hAnsi="Calibri"/>
          <w:b/>
          <w:color w:val="141414"/>
          <w:sz w:val="21"/>
        </w:rPr>
        <w:t xml:space="preserve">❌ Un-Bounded PII Export: </w:t>
      </w:r>
      <w:r>
        <w:rPr>
          <w:rFonts w:ascii="Calibri" w:hAnsi="Calibri"/>
          <w:color w:val="282828"/>
          <w:sz w:val="21"/>
        </w:rPr>
        <w:t>Prohibiting the transmission of unencrypted Zambian NRC numbers, health data, or financial records to external public servers.</w:t>
      </w:r>
    </w:p>
    <w:p>
      <w:pPr>
        <w:pStyle w:val="ListBullet"/>
        <w:spacing w:before="20" w:after="60" w:line="276" w:lineRule="auto"/>
        <w:ind w:left="360"/>
      </w:pPr>
      <w:r>
        <w:rPr>
          <w:rFonts w:ascii="Calibri" w:hAnsi="Calibri"/>
          <w:b/>
          <w:color w:val="141414"/>
          <w:sz w:val="21"/>
        </w:rPr>
        <w:t xml:space="preserve">❌ Unassisted High-Risk Decision Making: </w:t>
      </w:r>
      <w:r>
        <w:rPr>
          <w:rFonts w:ascii="Calibri" w:hAnsi="Calibri"/>
          <w:color w:val="282828"/>
          <w:sz w:val="21"/>
        </w:rPr>
        <w:t>Prohibiting fully automated AI systems from executing employment termination, candidate rejection, or final student exam scoring.</w:t>
      </w:r>
    </w:p>
    <w:p>
      <w:pPr>
        <w:keepNext/>
        <w:spacing w:before="320" w:after="120"/>
      </w:pPr>
      <w:r>
        <w:rPr>
          <w:rFonts w:ascii="Arial" w:hAnsi="Arial"/>
          <w:b/>
          <w:color w:val="003366"/>
          <w:sz w:val="30"/>
        </w:rPr>
        <w:t>6. Incident Reporting, Support &amp; Governance SLA</w:t>
      </w:r>
    </w:p>
    <w:p>
      <w:pPr>
        <w:spacing w:before="40" w:after="100" w:line="276" w:lineRule="auto"/>
      </w:pPr>
      <w:r>
        <w:rPr>
          <w:rFonts w:ascii="Calibri" w:hAnsi="Calibri"/>
          <w:i w:val="0"/>
          <w:color w:val="282828"/>
          <w:sz w:val="22"/>
        </w:rPr>
        <w:t>All employees and students have a duty to report suspected AI security breaches, data leaks, algorithmic hallucinations, or policy violations to the central intake channel:</w:t>
      </w:r>
    </w:p>
    <w:p>
      <w:pPr>
        <w:pStyle w:val="ListBullet"/>
        <w:spacing w:before="20" w:after="60" w:line="276" w:lineRule="auto"/>
        <w:ind w:left="360"/>
      </w:pPr>
      <w:r>
        <w:rPr>
          <w:rFonts w:ascii="Calibri" w:hAnsi="Calibri"/>
          <w:b/>
          <w:color w:val="141414"/>
          <w:sz w:val="21"/>
        </w:rPr>
        <w:t xml:space="preserve">• Governance Intake Portal: </w:t>
      </w:r>
      <w:r>
        <w:rPr>
          <w:rFonts w:ascii="Calibri" w:hAnsi="Calibri"/>
          <w:color w:val="282828"/>
          <w:sz w:val="21"/>
        </w:rPr>
        <w:t>ai-governance@educore.ac.zm</w:t>
      </w:r>
    </w:p>
    <w:p>
      <w:pPr>
        <w:pStyle w:val="ListBullet"/>
        <w:spacing w:before="20" w:after="60" w:line="276" w:lineRule="auto"/>
        <w:ind w:left="360"/>
      </w:pPr>
      <w:r>
        <w:rPr>
          <w:rFonts w:ascii="Calibri" w:hAnsi="Calibri"/>
          <w:b/>
          <w:color w:val="141414"/>
          <w:sz w:val="21"/>
        </w:rPr>
        <w:t xml:space="preserve">• Initial Acknowledgment SLA: </w:t>
      </w:r>
      <w:r>
        <w:rPr>
          <w:rFonts w:ascii="Calibri" w:hAnsi="Calibri"/>
          <w:color w:val="282828"/>
          <w:sz w:val="21"/>
        </w:rPr>
        <w:t>Within 24 Hours of submission.</w:t>
      </w:r>
    </w:p>
    <w:p>
      <w:pPr>
        <w:pStyle w:val="ListBullet"/>
        <w:spacing w:before="20" w:after="60" w:line="276" w:lineRule="auto"/>
        <w:ind w:left="360"/>
      </w:pPr>
      <w:r>
        <w:rPr>
          <w:rFonts w:ascii="Calibri" w:hAnsi="Calibri"/>
          <w:b/>
          <w:color w:val="141414"/>
          <w:sz w:val="21"/>
        </w:rPr>
        <w:t xml:space="preserve">• Steering Committee Resolution SLA: </w:t>
      </w:r>
      <w:r>
        <w:rPr>
          <w:rFonts w:ascii="Calibri" w:hAnsi="Calibri"/>
          <w:color w:val="282828"/>
          <w:sz w:val="21"/>
        </w:rPr>
        <w:t>Within 5 business days, including full investigation and corrective action logging under ISO 42001 Clause 10.1.</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8"/>
      </w:rPr>
      <w:t xml:space="preserve">Educore Services Limited • Confidential &amp; Proprietary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Educore Services • Organizational AI Governance Policy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