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2060"/>
          <w:sz w:val="44"/>
        </w:rPr>
        <w:t>Educore Pre-Rollout AI Audit Strategy &amp; Discovery Survey</w:t>
      </w:r>
    </w:p>
    <w:p>
      <w:pPr>
        <w:spacing w:before="0" w:after="360"/>
      </w:pPr>
      <w:r>
        <w:rPr>
          <w:rFonts w:ascii="Arial" w:hAnsi="Arial"/>
          <w:color w:val="595959"/>
          <w:sz w:val="24"/>
        </w:rPr>
        <w:t>Phase 1 Discovery Framework &amp; Departmental Audit Instrument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DOCUMENT TITLE: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Educore Pre-Rollout AI Audit Strategy &amp; Discovery Survey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DOCUMENT REFERENCE: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EDU-AIMS-AUD-v1.0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VERSION CONTROL: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Version 1.0 (Official Baseline Enterprise Release)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b/>
                <w:color w:val="002060"/>
                <w:sz w:val="18"/>
              </w:rPr>
              <w:t>EFFECTIVE DATE &amp; SCOPE: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shd w:fill="F2F4F7" w:val="clear"/>
          </w:tcPr>
          <w:p>
            <w:r>
              <w:rPr>
                <w:rFonts w:ascii="Arial" w:hAnsi="Arial"/>
                <w:color w:val="262626"/>
                <w:sz w:val="18"/>
              </w:rPr>
              <w:t>2026-10-01 | Network-Wide (All Units, Campuses &amp; Academies)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1. Executive Audit Overview &amp; 3-Vector Methodology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This document establishes the Phase 1 (Days 1–30) discovery framework required under ISO/IEC 42001:2023 Clause 4.3 and Annex A.4.4. It outlines a 3-vector assessment methodology to audit current AI usage, identify data sensitivity risks, and populate the official AI System Inventory: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Vector 1: Technical &amp; Network Traffic Discovery — </w:t>
      </w:r>
      <w:r>
        <w:rPr>
          <w:rFonts w:ascii="Arial" w:hAnsi="Arial"/>
          <w:color w:val="262626"/>
          <w:sz w:val="20"/>
        </w:rPr>
        <w:t>Firewall, DNS, and CASB log traffic inspection for hits on commercial AI endpoints (api.openai.com, chatgpt.com, gemini.google.com). Financial credit card expense reviews.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Vector 2: Data Sensitivity &amp; SharePoint Scoping — </w:t>
      </w:r>
      <w:r>
        <w:rPr>
          <w:rFonts w:ascii="Arial" w:hAnsi="Arial"/>
          <w:color w:val="262626"/>
          <w:sz w:val="20"/>
        </w:rPr>
        <w:t>Automated Microsoft Purview Information Protection scans across SharePoint Online libraries using Zambian NRC regex matching and financial/pastoral risk keywords.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262626"/>
          <w:sz w:val="20"/>
        </w:rPr>
        <w:t xml:space="preserve">Vector 3: Departmental Survey &amp; Risk Mapping — </w:t>
      </w:r>
      <w:r>
        <w:rPr>
          <w:rFonts w:ascii="Arial" w:hAnsi="Arial"/>
          <w:color w:val="262626"/>
          <w:sz w:val="20"/>
        </w:rPr>
        <w:t>Deployment of the 10-Question Discovery Survey instrument across Finance, Procurement, IT, HR, Admin, and Faculty.</w:t>
      </w:r>
    </w:p>
    <w:p>
      <w:pPr>
        <w:keepNext/>
        <w:spacing w:before="320" w:after="120"/>
      </w:pPr>
      <w:r>
        <w:rPr>
          <w:rFonts w:ascii="Arial" w:hAnsi="Arial"/>
          <w:b/>
          <w:color w:val="002060"/>
          <w:sz w:val="30"/>
        </w:rPr>
        <w:t>2. Departmental 10-Question Discovery Survey Instrument</w:t>
      </w:r>
    </w:p>
    <w:p>
      <w:pPr>
        <w:spacing w:before="0" w:after="120" w:line="276" w:lineRule="auto"/>
      </w:pPr>
      <w:r>
        <w:rPr>
          <w:rFonts w:ascii="Arial" w:hAnsi="Arial"/>
          <w:color w:val="262626"/>
          <w:sz w:val="21"/>
        </w:rPr>
        <w:t>This survey instrument captures operational AI usage across all business and academic units: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1. Current AI Tools Used: List all AI platforms (ChatGPT, Gemini, Copilot, Claude, Canva, Grammarly) accessed for work.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2. Account &amp; Licensing Type: Indicate whether tools are accessed via personal email logins or official Educore M365 SSO.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3. Data Input Sensitivity: Select data types entered into AI tools (financial spreadsheets, payroll, student PII, lesson plans, code).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4. SharePoint Integration: Do you upload documents directly from SharePoint Online or OneDrive into external AI tools?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5. Hardware Access Points: Indicate devices used (Educore laptops, personal home PCs, smartphones).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6. Primary Workflows: Detail specific operational tasks automated using AI (summarization, formatting, quiz design, coding).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7. Student AI Observations: Have you observed students submitting AI-generated work, and how is it currently verified?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8. Unsanctioned Scripts &amp; APIs: Are you using custom API keys, browser extensions, or unvetted software with embedded AI?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9. Purview Label Awareness: Are you familiar with Educore's data classification labels (Confidential - Admin/Finance, Internal - Educational)?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color w:val="262626"/>
          <w:sz w:val="20"/>
        </w:rPr>
        <w:t>10. Training &amp; Enterprise Needs: What specific training or approved enterprise M365/Azure tools would most improve your productivity?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7"/>
      </w:rPr>
      <w:t>CONFIDENTIAL &amp; PROPRIETARY — EDUCORE SERVICES LIMITED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7"/>
      </w:rPr>
      <w:t>EDUCORE SERVICES AI GOVERNANCE FRAMEWORK v1.0 | PRE-ROLLOUT AI AUDIT &amp; DISCOVERY SURVEY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